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03122" w14:textId="77777777" w:rsidR="001527C0" w:rsidRDefault="001527C0" w:rsidP="001527C0">
      <w:pPr>
        <w:jc w:val="both"/>
        <w:rPr>
          <w:b/>
          <w:sz w:val="28"/>
        </w:rPr>
      </w:pPr>
    </w:p>
    <w:p w14:paraId="1C315799" w14:textId="45A324B9" w:rsidR="001527C0" w:rsidRPr="00494FC0" w:rsidRDefault="00494FC0" w:rsidP="00494FC0">
      <w:pPr>
        <w:jc w:val="center"/>
        <w:rPr>
          <w:b/>
          <w:sz w:val="24"/>
          <w:szCs w:val="24"/>
        </w:rPr>
      </w:pPr>
      <w:r>
        <w:rPr>
          <w:b/>
          <w:sz w:val="24"/>
          <w:szCs w:val="24"/>
        </w:rPr>
        <w:t xml:space="preserve">BFUG </w:t>
      </w:r>
      <w:r w:rsidRPr="00494FC0">
        <w:rPr>
          <w:b/>
          <w:sz w:val="24"/>
          <w:szCs w:val="24"/>
        </w:rPr>
        <w:t>Proceedings 2015-2018</w:t>
      </w:r>
    </w:p>
    <w:p w14:paraId="40E556A4" w14:textId="7344271F" w:rsidR="00494FC0" w:rsidRDefault="00494FC0" w:rsidP="00494FC0">
      <w:pPr>
        <w:jc w:val="center"/>
        <w:rPr>
          <w:b/>
          <w:sz w:val="24"/>
          <w:szCs w:val="24"/>
        </w:rPr>
      </w:pPr>
      <w:r w:rsidRPr="00494FC0">
        <w:rPr>
          <w:b/>
          <w:sz w:val="24"/>
          <w:szCs w:val="24"/>
        </w:rPr>
        <w:t>Annex 2</w:t>
      </w:r>
    </w:p>
    <w:p w14:paraId="4A6A1302" w14:textId="4F0CD045" w:rsidR="00984D23" w:rsidRPr="00494FC0" w:rsidRDefault="00984D23" w:rsidP="00984D23">
      <w:pPr>
        <w:jc w:val="right"/>
        <w:rPr>
          <w:b/>
          <w:sz w:val="24"/>
          <w:szCs w:val="24"/>
        </w:rPr>
      </w:pPr>
      <w:r>
        <w:rPr>
          <w:i/>
        </w:rPr>
        <w:t>14.09.2015</w:t>
      </w:r>
    </w:p>
    <w:p w14:paraId="3B2C4E1F" w14:textId="258FA8DA" w:rsidR="001527C0" w:rsidRPr="001D2B6F" w:rsidRDefault="001527C0" w:rsidP="001D2B6F">
      <w:pPr>
        <w:shd w:val="clear" w:color="auto" w:fill="D5DCE4" w:themeFill="text2" w:themeFillTint="33"/>
        <w:jc w:val="both"/>
        <w:rPr>
          <w:b/>
          <w:sz w:val="28"/>
        </w:rPr>
      </w:pPr>
      <w:r w:rsidRPr="00DB2A10">
        <w:rPr>
          <w:b/>
          <w:sz w:val="28"/>
        </w:rPr>
        <w:t>BFUG Work Plan 2015-2018</w:t>
      </w:r>
    </w:p>
    <w:p w14:paraId="6DBE9465" w14:textId="0DCF7EC7" w:rsidR="00F93EC4" w:rsidRPr="00D67D87" w:rsidRDefault="001527C0" w:rsidP="001527C0">
      <w:pPr>
        <w:jc w:val="both"/>
      </w:pPr>
      <w:r w:rsidRPr="00D67D87">
        <w:t xml:space="preserve">On the basis of the Yerevan communiqué, the paper “The Bologna process revisited” and our preparatory work in the BFUG meetings in Riga (January and March) and the board in Vaduz, the BFUG work plan 2015-2018 has been restructured </w:t>
      </w:r>
      <w:r w:rsidR="002C2FF1">
        <w:t>in</w:t>
      </w:r>
      <w:r w:rsidR="002C2FF1" w:rsidRPr="00D67D87">
        <w:t xml:space="preserve"> </w:t>
      </w:r>
      <w:r w:rsidRPr="00D67D87">
        <w:t>th</w:t>
      </w:r>
      <w:r w:rsidR="00F93EC4" w:rsidRPr="00D67D87">
        <w:t>re</w:t>
      </w:r>
      <w:r w:rsidRPr="00D67D87">
        <w:t>e working groups (WGs)</w:t>
      </w:r>
      <w:r w:rsidR="00F93EC4" w:rsidRPr="00D67D87">
        <w:t xml:space="preserve"> and four advisory </w:t>
      </w:r>
      <w:r w:rsidR="00C449FA">
        <w:t>groups</w:t>
      </w:r>
      <w:r w:rsidR="00F93EC4" w:rsidRPr="00D67D87">
        <w:t>. The three WGs</w:t>
      </w:r>
      <w:r w:rsidRPr="00D67D87">
        <w:t xml:space="preserve"> </w:t>
      </w:r>
      <w:r w:rsidR="00D67D87">
        <w:t>focus</w:t>
      </w:r>
      <w:r w:rsidR="002E5387" w:rsidRPr="00D67D87">
        <w:t xml:space="preserve"> on </w:t>
      </w:r>
      <w:r w:rsidR="00AF4F73" w:rsidRPr="00D67D87">
        <w:rPr>
          <w:b/>
          <w:u w:val="single"/>
        </w:rPr>
        <w:t>reporting</w:t>
      </w:r>
      <w:r w:rsidR="002E5387" w:rsidRPr="00D67D87">
        <w:t xml:space="preserve">, on </w:t>
      </w:r>
      <w:r w:rsidR="00AF4F73" w:rsidRPr="00D67D87">
        <w:rPr>
          <w:b/>
          <w:u w:val="single"/>
        </w:rPr>
        <w:t>implementation</w:t>
      </w:r>
      <w:r w:rsidR="002E5387" w:rsidRPr="00D67D87">
        <w:t xml:space="preserve"> and on </w:t>
      </w:r>
      <w:r w:rsidR="00AF4F73" w:rsidRPr="00D67D87">
        <w:rPr>
          <w:b/>
          <w:u w:val="single"/>
        </w:rPr>
        <w:t>new visions</w:t>
      </w:r>
      <w:r w:rsidR="00F93EC4" w:rsidRPr="00D67D87">
        <w:t xml:space="preserve">. The four advisory </w:t>
      </w:r>
      <w:r w:rsidR="00C449FA">
        <w:t>groups</w:t>
      </w:r>
      <w:r w:rsidR="00F93EC4" w:rsidRPr="00D67D87">
        <w:t xml:space="preserve"> are focused on single targeted task</w:t>
      </w:r>
      <w:r w:rsidR="00D67D87">
        <w:t>s</w:t>
      </w:r>
      <w:r w:rsidR="006D09F0" w:rsidRPr="00D67D87">
        <w:t>.</w:t>
      </w:r>
      <w:r w:rsidR="00FF2A47" w:rsidRPr="00D67D87">
        <w:rPr>
          <w:rStyle w:val="Funotenzeichen"/>
        </w:rPr>
        <w:t xml:space="preserve"> </w:t>
      </w:r>
      <w:r w:rsidR="00FF2A47" w:rsidRPr="00D67D87">
        <w:rPr>
          <w:rStyle w:val="Funotenzeichen"/>
        </w:rPr>
        <w:footnoteReference w:id="1"/>
      </w:r>
      <w:r w:rsidR="006D09F0" w:rsidRPr="00D67D87">
        <w:t xml:space="preserve"> </w:t>
      </w:r>
    </w:p>
    <w:p w14:paraId="2DBDC2F8" w14:textId="486CC552" w:rsidR="001527C0" w:rsidRPr="00C449FA" w:rsidRDefault="006D09F0" w:rsidP="001D2B6F">
      <w:pPr>
        <w:jc w:val="both"/>
        <w:rPr>
          <w:color w:val="2E74B5" w:themeColor="accent1" w:themeShade="BF"/>
          <w:sz w:val="28"/>
        </w:rPr>
      </w:pPr>
      <w:r w:rsidRPr="00C449FA">
        <w:rPr>
          <w:color w:val="2E74B5" w:themeColor="accent1" w:themeShade="BF"/>
          <w:sz w:val="28"/>
        </w:rPr>
        <w:t>Working groups</w:t>
      </w:r>
      <w:bookmarkStart w:id="0" w:name="_GoBack"/>
      <w:bookmarkEnd w:id="0"/>
    </w:p>
    <w:p w14:paraId="63ED776A" w14:textId="750FE8F3" w:rsidR="001527C0" w:rsidRPr="00D67D87" w:rsidRDefault="001527C0" w:rsidP="001527C0">
      <w:pPr>
        <w:jc w:val="both"/>
      </w:pPr>
      <w:r w:rsidRPr="00D67D87">
        <w:t>The 1</w:t>
      </w:r>
      <w:r w:rsidRPr="00D67D87">
        <w:rPr>
          <w:vertAlign w:val="superscript"/>
        </w:rPr>
        <w:t>st</w:t>
      </w:r>
      <w:r w:rsidRPr="00D67D87">
        <w:t xml:space="preserve"> WG on “</w:t>
      </w:r>
      <w:r w:rsidRPr="00D67D87">
        <w:rPr>
          <w:b/>
        </w:rPr>
        <w:t>Monitoring</w:t>
      </w:r>
      <w:r w:rsidRPr="00D67D87">
        <w:t xml:space="preserve">” will have the task </w:t>
      </w:r>
      <w:r w:rsidRPr="00D67D87">
        <w:rPr>
          <w:u w:val="single"/>
        </w:rPr>
        <w:t>to monitor and to report</w:t>
      </w:r>
      <w:r w:rsidRPr="00D67D87">
        <w:t xml:space="preserve"> on the current state of implementation of the Bologna Process, as it was done in the period 2012-2015. M</w:t>
      </w:r>
      <w:r w:rsidRPr="00D67D87">
        <w:rPr>
          <w:color w:val="000000" w:themeColor="text1"/>
        </w:rPr>
        <w:t>onitoring is</w:t>
      </w:r>
      <w:r w:rsidRPr="00D67D87">
        <w:t xml:space="preserve"> critical for providing countries with a strong evidence base on the progress of implementation. The report of 2018 will constitute the basis for the period 2018-2020</w:t>
      </w:r>
      <w:r w:rsidR="00083C6F" w:rsidRPr="00D67D87">
        <w:rPr>
          <w:rStyle w:val="Funotenzeichen"/>
        </w:rPr>
        <w:t xml:space="preserve"> </w:t>
      </w:r>
      <w:r w:rsidR="00083C6F" w:rsidRPr="00D67D87">
        <w:rPr>
          <w:rStyle w:val="Funotenzeichen"/>
        </w:rPr>
        <w:footnoteReference w:id="2"/>
      </w:r>
      <w:r w:rsidR="002E5036" w:rsidRPr="00D67D87">
        <w:t>.</w:t>
      </w:r>
    </w:p>
    <w:p w14:paraId="280AF6C0" w14:textId="35014E2C" w:rsidR="001527C0" w:rsidRPr="00D67D87" w:rsidRDefault="001527C0" w:rsidP="001527C0">
      <w:pPr>
        <w:jc w:val="both"/>
      </w:pPr>
      <w:r w:rsidRPr="00D67D87">
        <w:t>The 2</w:t>
      </w:r>
      <w:r w:rsidRPr="00D67D87">
        <w:rPr>
          <w:vertAlign w:val="superscript"/>
        </w:rPr>
        <w:t>nd</w:t>
      </w:r>
      <w:r w:rsidRPr="00D67D87">
        <w:t xml:space="preserve"> WG on “</w:t>
      </w:r>
      <w:r w:rsidR="00F93EC4" w:rsidRPr="00D67D87">
        <w:rPr>
          <w:b/>
        </w:rPr>
        <w:t>Fostering</w:t>
      </w:r>
      <w:r w:rsidR="00F93EC4" w:rsidRPr="00D67D87">
        <w:t xml:space="preserve"> </w:t>
      </w:r>
      <w:r w:rsidR="00515603" w:rsidRPr="00D67D87">
        <w:rPr>
          <w:b/>
        </w:rPr>
        <w:t>i</w:t>
      </w:r>
      <w:r w:rsidRPr="00D67D87">
        <w:rPr>
          <w:b/>
        </w:rPr>
        <w:t xml:space="preserve">mplementation of </w:t>
      </w:r>
      <w:r w:rsidR="00F93EC4" w:rsidRPr="00D67D87">
        <w:rPr>
          <w:b/>
        </w:rPr>
        <w:t>agreed key commitments</w:t>
      </w:r>
      <w:r w:rsidRPr="00D67D87">
        <w:t xml:space="preserve">” will </w:t>
      </w:r>
      <w:r w:rsidR="00515603" w:rsidRPr="00B602DC">
        <w:rPr>
          <w:u w:val="single"/>
        </w:rPr>
        <w:t xml:space="preserve">support </w:t>
      </w:r>
      <w:r w:rsidR="00515603" w:rsidRPr="00C449FA">
        <w:rPr>
          <w:u w:val="single"/>
        </w:rPr>
        <w:t>implement</w:t>
      </w:r>
      <w:r w:rsidR="002C2FF1" w:rsidRPr="00C449FA">
        <w:rPr>
          <w:u w:val="single"/>
        </w:rPr>
        <w:t>ation</w:t>
      </w:r>
      <w:r w:rsidR="00515603" w:rsidRPr="00C449FA">
        <w:rPr>
          <w:u w:val="single"/>
        </w:rPr>
        <w:t xml:space="preserve"> </w:t>
      </w:r>
      <w:r w:rsidR="00CB01C1" w:rsidRPr="00C449FA">
        <w:rPr>
          <w:u w:val="single"/>
        </w:rPr>
        <w:t xml:space="preserve">on </w:t>
      </w:r>
      <w:r w:rsidR="00515603" w:rsidRPr="00C449FA">
        <w:rPr>
          <w:u w:val="single"/>
        </w:rPr>
        <w:t>agreed goals</w:t>
      </w:r>
      <w:r w:rsidR="00515603" w:rsidRPr="00D67D87">
        <w:t xml:space="preserve"> </w:t>
      </w:r>
      <w:r w:rsidR="00D67D87">
        <w:t>by</w:t>
      </w:r>
      <w:r w:rsidR="00515603" w:rsidRPr="00D67D87">
        <w:t xml:space="preserve"> peer learning and peer exchange events offering exchanges of good practice</w:t>
      </w:r>
      <w:r w:rsidR="00AE5B34" w:rsidRPr="00D67D87">
        <w:t xml:space="preserve"> on the basis of the implementation report 2015</w:t>
      </w:r>
      <w:r w:rsidR="002C2FF1">
        <w:t xml:space="preserve"> and the measures adopted in the Yerevan Communiqué</w:t>
      </w:r>
      <w:r w:rsidR="00515603" w:rsidRPr="00D67D87">
        <w:t xml:space="preserve">. </w:t>
      </w:r>
      <w:r w:rsidRPr="00D67D87">
        <w:t>It involve</w:t>
      </w:r>
      <w:r w:rsidR="002D6465" w:rsidRPr="00D67D87">
        <w:t>s</w:t>
      </w:r>
      <w:r w:rsidRPr="00D67D87">
        <w:t xml:space="preserve"> national stakeholders in </w:t>
      </w:r>
      <w:r w:rsidR="00432339" w:rsidRPr="00D67D87">
        <w:t>the</w:t>
      </w:r>
      <w:r w:rsidRPr="00D67D87">
        <w:t xml:space="preserve"> activities</w:t>
      </w:r>
      <w:r w:rsidR="002D6465" w:rsidRPr="00D67D87">
        <w:t>, in order</w:t>
      </w:r>
      <w:r w:rsidRPr="00D67D87">
        <w:t xml:space="preserve"> to encourage greater exchange a</w:t>
      </w:r>
      <w:r w:rsidR="00C449FA">
        <w:t>nd implementation on the ground</w:t>
      </w:r>
      <w:r w:rsidR="00AE5B34" w:rsidRPr="00D67D87">
        <w:rPr>
          <w:vertAlign w:val="superscript"/>
        </w:rPr>
        <w:t xml:space="preserve"> 2</w:t>
      </w:r>
      <w:r w:rsidR="00C449FA">
        <w:t>.</w:t>
      </w:r>
    </w:p>
    <w:p w14:paraId="0BF4D74E" w14:textId="3D8D6980" w:rsidR="003C576B" w:rsidRPr="00C449FA" w:rsidRDefault="001527C0" w:rsidP="001D2B6F">
      <w:pPr>
        <w:jc w:val="both"/>
      </w:pPr>
      <w:r w:rsidRPr="00D67D87">
        <w:t>The 3</w:t>
      </w:r>
      <w:r w:rsidRPr="00D67D87">
        <w:rPr>
          <w:vertAlign w:val="superscript"/>
        </w:rPr>
        <w:t>rd</w:t>
      </w:r>
      <w:r w:rsidRPr="00D67D87">
        <w:t xml:space="preserve"> WG on “</w:t>
      </w:r>
      <w:r w:rsidR="00F93EC4" w:rsidRPr="00D67D87">
        <w:rPr>
          <w:b/>
        </w:rPr>
        <w:t>Policy development for n</w:t>
      </w:r>
      <w:r w:rsidRPr="00D67D87">
        <w:rPr>
          <w:b/>
        </w:rPr>
        <w:t>ew EHEA goals</w:t>
      </w:r>
      <w:r w:rsidRPr="00D67D87">
        <w:t xml:space="preserve">” is dedicated to </w:t>
      </w:r>
      <w:r w:rsidRPr="00D67D87">
        <w:rPr>
          <w:u w:val="single"/>
        </w:rPr>
        <w:t>new priorities for the future of the EHEA</w:t>
      </w:r>
      <w:r w:rsidRPr="00D67D87">
        <w:t xml:space="preserve">. The group </w:t>
      </w:r>
      <w:r w:rsidRPr="00D67D87">
        <w:rPr>
          <w:rStyle w:val="st"/>
        </w:rPr>
        <w:t xml:space="preserve">serves as a platform for </w:t>
      </w:r>
      <w:r w:rsidR="00AE5B34" w:rsidRPr="00D67D87">
        <w:rPr>
          <w:rStyle w:val="st"/>
        </w:rPr>
        <w:t xml:space="preserve">finding policies to follow new EHEA goals and </w:t>
      </w:r>
      <w:r w:rsidRPr="00D67D87">
        <w:rPr>
          <w:rStyle w:val="Hervorhebung"/>
          <w:i w:val="0"/>
        </w:rPr>
        <w:t>innovation</w:t>
      </w:r>
      <w:r w:rsidRPr="00D67D87">
        <w:t xml:space="preserve">. The topics in </w:t>
      </w:r>
      <w:r w:rsidR="00AE5B34" w:rsidRPr="00D67D87">
        <w:t>the WG</w:t>
      </w:r>
      <w:r w:rsidRPr="00D67D87">
        <w:t xml:space="preserve"> </w:t>
      </w:r>
      <w:r w:rsidR="00B34ED2" w:rsidRPr="00D67D87">
        <w:t>are</w:t>
      </w:r>
      <w:r w:rsidRPr="00D67D87">
        <w:t xml:space="preserve"> focussed on new </w:t>
      </w:r>
      <w:r w:rsidR="00AE5B34" w:rsidRPr="00D67D87">
        <w:t xml:space="preserve">goals as adopted in the Yerevan Communiqué </w:t>
      </w:r>
      <w:r w:rsidR="00D67D87">
        <w:t xml:space="preserve">with a </w:t>
      </w:r>
      <w:r w:rsidR="00C449FA">
        <w:t>E</w:t>
      </w:r>
      <w:r w:rsidRPr="00D67D87">
        <w:t xml:space="preserve">uropean </w:t>
      </w:r>
      <w:r w:rsidR="002D6465" w:rsidRPr="00D67D87">
        <w:t>dimension</w:t>
      </w:r>
      <w:r w:rsidRPr="00D67D87">
        <w:t xml:space="preserve">. </w:t>
      </w:r>
      <w:r w:rsidR="0067723B" w:rsidRPr="00D67D87">
        <w:t>The</w:t>
      </w:r>
      <w:r w:rsidRPr="00D67D87">
        <w:t xml:space="preserve"> working group will coop</w:t>
      </w:r>
      <w:r w:rsidR="00D67D87">
        <w:t xml:space="preserve">erate closely with the national, </w:t>
      </w:r>
      <w:r w:rsidR="00C449FA">
        <w:t>E</w:t>
      </w:r>
      <w:r w:rsidRPr="00D67D87">
        <w:t xml:space="preserve">uropean </w:t>
      </w:r>
      <w:r w:rsidR="00AE5B34" w:rsidRPr="00D67D87">
        <w:t xml:space="preserve">and international </w:t>
      </w:r>
      <w:r w:rsidRPr="00D67D87">
        <w:t>stakeholders.</w:t>
      </w:r>
      <w:r w:rsidR="00D67D87">
        <w:rPr>
          <w:vertAlign w:val="superscript"/>
        </w:rPr>
        <w:t xml:space="preserve"> </w:t>
      </w:r>
      <w:r w:rsidR="00D67D87" w:rsidRPr="00D67D87">
        <w:t>The events held in the 3</w:t>
      </w:r>
      <w:r w:rsidR="00D67D87" w:rsidRPr="00D67D87">
        <w:rPr>
          <w:vertAlign w:val="superscript"/>
        </w:rPr>
        <w:t>rd</w:t>
      </w:r>
      <w:r w:rsidR="00D67D87" w:rsidRPr="00D67D87">
        <w:t xml:space="preserve"> WG have to</w:t>
      </w:r>
      <w:r w:rsidR="00C449FA">
        <w:t xml:space="preserve"> provide policy recommendations</w:t>
      </w:r>
      <w:r w:rsidR="00B602DC" w:rsidRPr="00B602DC">
        <w:rPr>
          <w:vertAlign w:val="superscript"/>
        </w:rPr>
        <w:t xml:space="preserve"> </w:t>
      </w:r>
      <w:r w:rsidR="00B602DC" w:rsidRPr="00D67D87">
        <w:rPr>
          <w:vertAlign w:val="superscript"/>
        </w:rPr>
        <w:t>2</w:t>
      </w:r>
      <w:r w:rsidR="00C449FA">
        <w:t>.</w:t>
      </w:r>
    </w:p>
    <w:p w14:paraId="4AC43BB9" w14:textId="571C96B2" w:rsidR="00A33394" w:rsidRPr="00C449FA" w:rsidRDefault="00FF2A47" w:rsidP="001527C0">
      <w:pPr>
        <w:jc w:val="both"/>
        <w:rPr>
          <w:color w:val="2E74B5" w:themeColor="accent1" w:themeShade="BF"/>
          <w:sz w:val="28"/>
        </w:rPr>
      </w:pPr>
      <w:r w:rsidRPr="00C449FA">
        <w:rPr>
          <w:color w:val="2E74B5" w:themeColor="accent1" w:themeShade="BF"/>
          <w:sz w:val="28"/>
        </w:rPr>
        <w:t xml:space="preserve">Advisory </w:t>
      </w:r>
      <w:r w:rsidR="00CB01C1" w:rsidRPr="00C449FA">
        <w:rPr>
          <w:color w:val="2E74B5" w:themeColor="accent1" w:themeShade="BF"/>
          <w:sz w:val="28"/>
        </w:rPr>
        <w:t>groups</w:t>
      </w:r>
      <w:r w:rsidR="00B602DC" w:rsidRPr="00C449FA">
        <w:rPr>
          <w:rStyle w:val="Funotenzeichen"/>
          <w:color w:val="2E74B5" w:themeColor="accent1" w:themeShade="BF"/>
          <w:sz w:val="28"/>
        </w:rPr>
        <w:footnoteReference w:id="3"/>
      </w:r>
    </w:p>
    <w:p w14:paraId="20E2A10A" w14:textId="28830D63" w:rsidR="003C576B" w:rsidRPr="00D67D87" w:rsidRDefault="00FF2A47" w:rsidP="001D2B6F">
      <w:pPr>
        <w:jc w:val="both"/>
      </w:pPr>
      <w:r w:rsidRPr="00D67D87">
        <w:t xml:space="preserve">They </w:t>
      </w:r>
      <w:r w:rsidR="00A829F8" w:rsidRPr="00D67D87">
        <w:t>advice the BFUG on</w:t>
      </w:r>
      <w:r w:rsidRPr="00D67D87">
        <w:t xml:space="preserve"> “EHEA international cooperation”</w:t>
      </w:r>
      <w:r w:rsidR="00D67D87">
        <w:t xml:space="preserve"> including the BPF</w:t>
      </w:r>
      <w:r w:rsidRPr="00D67D87">
        <w:t>, “Support for the Belarus Roadmap”, “Dealing with non-implementation” and “</w:t>
      </w:r>
      <w:r w:rsidR="00C449FA" w:rsidRPr="00D67D87">
        <w:t xml:space="preserve">Revision of </w:t>
      </w:r>
      <w:r w:rsidRPr="00D67D87">
        <w:t>Diploma Supplement”.</w:t>
      </w:r>
      <w:r w:rsidR="00B602DC">
        <w:t xml:space="preserve"> T</w:t>
      </w:r>
      <w:r w:rsidR="00D46D91" w:rsidRPr="00D67D87">
        <w:t xml:space="preserve">he </w:t>
      </w:r>
      <w:r w:rsidR="00CB01C1" w:rsidRPr="00D67D87">
        <w:t>A</w:t>
      </w:r>
      <w:r w:rsidR="00CB01C1">
        <w:t>G</w:t>
      </w:r>
      <w:r w:rsidR="00CB01C1" w:rsidRPr="00D67D87">
        <w:t xml:space="preserve"> </w:t>
      </w:r>
      <w:r w:rsidR="00D46D91" w:rsidRPr="00D67D87">
        <w:t xml:space="preserve">on the </w:t>
      </w:r>
      <w:r w:rsidR="00D46D91" w:rsidRPr="00D67D87">
        <w:lastRenderedPageBreak/>
        <w:t>Revision of the Diploma Supplement supports the Council of Europe, the European Commission and UNESCO in reviewing the Diploma Supplement.</w:t>
      </w:r>
    </w:p>
    <w:p w14:paraId="3C3CF0AB" w14:textId="4089DACB" w:rsidR="001527C0" w:rsidRPr="00C449FA" w:rsidRDefault="002E5036" w:rsidP="001527C0">
      <w:pPr>
        <w:jc w:val="both"/>
        <w:rPr>
          <w:color w:val="2E74B5" w:themeColor="accent1" w:themeShade="BF"/>
          <w:sz w:val="28"/>
        </w:rPr>
      </w:pPr>
      <w:r w:rsidRPr="00C449FA">
        <w:rPr>
          <w:color w:val="2E74B5" w:themeColor="accent1" w:themeShade="BF"/>
          <w:sz w:val="28"/>
        </w:rPr>
        <w:t xml:space="preserve">Organisation of </w:t>
      </w:r>
      <w:r w:rsidR="009467C4" w:rsidRPr="00C449FA">
        <w:rPr>
          <w:color w:val="2E74B5" w:themeColor="accent1" w:themeShade="BF"/>
          <w:sz w:val="28"/>
        </w:rPr>
        <w:t>the</w:t>
      </w:r>
      <w:r w:rsidR="001527C0" w:rsidRPr="00C449FA">
        <w:rPr>
          <w:color w:val="2E74B5" w:themeColor="accent1" w:themeShade="BF"/>
          <w:sz w:val="28"/>
        </w:rPr>
        <w:t xml:space="preserve"> </w:t>
      </w:r>
      <w:r w:rsidR="00A33394" w:rsidRPr="00C449FA">
        <w:rPr>
          <w:color w:val="2E74B5" w:themeColor="accent1" w:themeShade="BF"/>
          <w:sz w:val="28"/>
        </w:rPr>
        <w:t>WGs</w:t>
      </w:r>
    </w:p>
    <w:p w14:paraId="46DDE225" w14:textId="59444FCC" w:rsidR="009467C4" w:rsidRPr="00D67D87" w:rsidRDefault="009467C4" w:rsidP="001527C0">
      <w:pPr>
        <w:jc w:val="both"/>
      </w:pPr>
      <w:r w:rsidRPr="00D67D87">
        <w:t xml:space="preserve">Each WG consists of a number of co-chairs and working group members. </w:t>
      </w:r>
      <w:r w:rsidR="00D46D91" w:rsidRPr="00D67D87">
        <w:t>The</w:t>
      </w:r>
      <w:r w:rsidR="00D67D87">
        <w:t xml:space="preserve"> co-chairs are responsi</w:t>
      </w:r>
      <w:r w:rsidRPr="00D67D87">
        <w:t>ble for the reporting of the policy recommendations to the BFUG.</w:t>
      </w:r>
    </w:p>
    <w:p w14:paraId="08E999A1" w14:textId="1CCB9A21" w:rsidR="001527C0" w:rsidRPr="00D67D87" w:rsidRDefault="001527C0" w:rsidP="001527C0">
      <w:pPr>
        <w:jc w:val="both"/>
      </w:pPr>
      <w:r w:rsidRPr="00D67D87">
        <w:t>Whereas the WG on “Monitoring” functions in a similar way compared to the last period</w:t>
      </w:r>
      <w:r w:rsidR="009467C4" w:rsidRPr="00D67D87">
        <w:t xml:space="preserve"> (2012-2015)</w:t>
      </w:r>
      <w:r w:rsidRPr="00D67D87">
        <w:t xml:space="preserve">, the two other WGs </w:t>
      </w:r>
      <w:r w:rsidR="0016380E" w:rsidRPr="00D67D87">
        <w:t>are mandated to organise</w:t>
      </w:r>
      <w:r w:rsidRPr="00D67D87">
        <w:t xml:space="preserve"> various actions and events (e.g. peer learning, conference, seminar, pathfinder group, etc). </w:t>
      </w:r>
      <w:r w:rsidR="00EC3D41" w:rsidRPr="00D67D87">
        <w:t xml:space="preserve">The approach follows </w:t>
      </w:r>
      <w:r w:rsidR="00D67D87">
        <w:t>a</w:t>
      </w:r>
      <w:r w:rsidRPr="00D67D87">
        <w:t xml:space="preserve"> matrix </w:t>
      </w:r>
      <w:r w:rsidR="00EC3D41" w:rsidRPr="00D67D87">
        <w:t>structure addressing different topics by di</w:t>
      </w:r>
      <w:r w:rsidR="00D67D87">
        <w:t>fferent peer learning</w:t>
      </w:r>
      <w:r w:rsidR="00EC3D41" w:rsidRPr="00D67D87">
        <w:t xml:space="preserve"> events such as conferences, </w:t>
      </w:r>
      <w:r w:rsidR="00D46D91" w:rsidRPr="00D67D87">
        <w:t xml:space="preserve">research </w:t>
      </w:r>
      <w:r w:rsidR="00EC3D41" w:rsidRPr="00D67D87">
        <w:t>seminars, workshop</w:t>
      </w:r>
      <w:r w:rsidR="00D67D87">
        <w:t>s</w:t>
      </w:r>
      <w:r w:rsidR="00D46D91" w:rsidRPr="00D67D87">
        <w:t>.</w:t>
      </w:r>
      <w:r w:rsidRPr="00D67D87">
        <w:t xml:space="preserve"> </w:t>
      </w:r>
    </w:p>
    <w:p w14:paraId="3461FD2D" w14:textId="6BC9F2D8" w:rsidR="00D46D91" w:rsidRPr="00D67D87" w:rsidRDefault="001527C0" w:rsidP="001527C0">
      <w:pPr>
        <w:jc w:val="both"/>
      </w:pPr>
      <w:r w:rsidRPr="00D67D87">
        <w:t xml:space="preserve">To meet the goals of the Yerevan Communiqué, a list of specific topics and challenges </w:t>
      </w:r>
      <w:r w:rsidR="00D46D91" w:rsidRPr="00D67D87">
        <w:t>will be</w:t>
      </w:r>
      <w:r w:rsidRPr="00D67D87">
        <w:t xml:space="preserve"> identified and proposed</w:t>
      </w:r>
      <w:r w:rsidR="00D46D91" w:rsidRPr="00D67D87">
        <w:t xml:space="preserve"> by the co-chairs of the groups to the BFUG</w:t>
      </w:r>
      <w:r w:rsidRPr="00D67D87">
        <w:t xml:space="preserve">. </w:t>
      </w:r>
    </w:p>
    <w:p w14:paraId="04B7703C" w14:textId="2DADA5B9" w:rsidR="001527C0" w:rsidRPr="00D67D87" w:rsidRDefault="005E213A" w:rsidP="001527C0">
      <w:pPr>
        <w:jc w:val="both"/>
        <w:rPr>
          <w:szCs w:val="20"/>
        </w:rPr>
      </w:pPr>
      <w:r w:rsidRPr="00D67D87">
        <w:rPr>
          <w:szCs w:val="20"/>
        </w:rPr>
        <w:t>Event organi</w:t>
      </w:r>
      <w:r w:rsidR="002E5036" w:rsidRPr="00D67D87">
        <w:rPr>
          <w:szCs w:val="20"/>
        </w:rPr>
        <w:t>sers will finance the a</w:t>
      </w:r>
      <w:r w:rsidR="00D67D87">
        <w:rPr>
          <w:szCs w:val="20"/>
        </w:rPr>
        <w:t>ctivity while the</w:t>
      </w:r>
      <w:r w:rsidR="002E5036" w:rsidRPr="00D67D87">
        <w:rPr>
          <w:szCs w:val="20"/>
        </w:rPr>
        <w:t xml:space="preserve"> </w:t>
      </w:r>
      <w:r w:rsidRPr="00D67D87">
        <w:rPr>
          <w:szCs w:val="20"/>
        </w:rPr>
        <w:t>participant</w:t>
      </w:r>
      <w:r w:rsidR="002E5036" w:rsidRPr="00D67D87">
        <w:rPr>
          <w:szCs w:val="20"/>
        </w:rPr>
        <w:t>s</w:t>
      </w:r>
      <w:r w:rsidRPr="00D67D87">
        <w:rPr>
          <w:szCs w:val="20"/>
        </w:rPr>
        <w:t xml:space="preserve"> cover</w:t>
      </w:r>
      <w:r w:rsidR="002E5036" w:rsidRPr="00D67D87">
        <w:rPr>
          <w:szCs w:val="20"/>
        </w:rPr>
        <w:t xml:space="preserve"> </w:t>
      </w:r>
      <w:r w:rsidRPr="00D67D87">
        <w:rPr>
          <w:szCs w:val="20"/>
        </w:rPr>
        <w:t xml:space="preserve">for travel and accommodation expenses. The </w:t>
      </w:r>
      <w:r w:rsidR="00D46D91" w:rsidRPr="00D67D87">
        <w:rPr>
          <w:szCs w:val="20"/>
        </w:rPr>
        <w:t xml:space="preserve">Secretariat will assist the co-chairs. </w:t>
      </w:r>
      <w:r w:rsidR="00597DD4" w:rsidRPr="00D67D87">
        <w:rPr>
          <w:szCs w:val="20"/>
        </w:rPr>
        <w:t xml:space="preserve"> </w:t>
      </w:r>
    </w:p>
    <w:p w14:paraId="49EE9065" w14:textId="65B43446" w:rsidR="001527C0" w:rsidRPr="00C449FA" w:rsidRDefault="001527C0" w:rsidP="00687E3C">
      <w:pPr>
        <w:jc w:val="both"/>
        <w:rPr>
          <w:color w:val="2E74B5" w:themeColor="accent1" w:themeShade="BF"/>
          <w:sz w:val="28"/>
        </w:rPr>
      </w:pPr>
      <w:r w:rsidRPr="00C449FA">
        <w:rPr>
          <w:color w:val="2E74B5" w:themeColor="accent1" w:themeShade="BF"/>
          <w:sz w:val="28"/>
        </w:rPr>
        <w:t>W</w:t>
      </w:r>
      <w:r w:rsidR="001D2B6F" w:rsidRPr="00C449FA">
        <w:rPr>
          <w:color w:val="2E74B5" w:themeColor="accent1" w:themeShade="BF"/>
          <w:sz w:val="28"/>
        </w:rPr>
        <w:t xml:space="preserve">orking </w:t>
      </w:r>
      <w:r w:rsidRPr="00C449FA">
        <w:rPr>
          <w:color w:val="2E74B5" w:themeColor="accent1" w:themeShade="BF"/>
          <w:sz w:val="28"/>
        </w:rPr>
        <w:t>G</w:t>
      </w:r>
      <w:r w:rsidR="001D2B6F" w:rsidRPr="00C449FA">
        <w:rPr>
          <w:color w:val="2E74B5" w:themeColor="accent1" w:themeShade="BF"/>
          <w:sz w:val="28"/>
        </w:rPr>
        <w:t>roup</w:t>
      </w:r>
      <w:r w:rsidRPr="00C449FA">
        <w:rPr>
          <w:color w:val="2E74B5" w:themeColor="accent1" w:themeShade="BF"/>
          <w:sz w:val="28"/>
        </w:rPr>
        <w:t xml:space="preserve"> and </w:t>
      </w:r>
      <w:r w:rsidR="001D2B6F" w:rsidRPr="00C449FA">
        <w:rPr>
          <w:color w:val="2E74B5" w:themeColor="accent1" w:themeShade="BF"/>
          <w:sz w:val="28"/>
        </w:rPr>
        <w:t xml:space="preserve">Advisory </w:t>
      </w:r>
      <w:r w:rsidR="00CB01C1" w:rsidRPr="00C449FA">
        <w:rPr>
          <w:color w:val="2E74B5" w:themeColor="accent1" w:themeShade="BF"/>
          <w:sz w:val="28"/>
        </w:rPr>
        <w:t xml:space="preserve">Group </w:t>
      </w:r>
      <w:r w:rsidRPr="00C449FA">
        <w:rPr>
          <w:color w:val="2E74B5" w:themeColor="accent1" w:themeShade="BF"/>
          <w:sz w:val="28"/>
        </w:rPr>
        <w:t xml:space="preserve">membership </w:t>
      </w:r>
    </w:p>
    <w:p w14:paraId="2CA7DE1C" w14:textId="421FFE2E" w:rsidR="002C5CE7" w:rsidRPr="00D67D87" w:rsidRDefault="00D010A1" w:rsidP="00D010A1">
      <w:pPr>
        <w:jc w:val="both"/>
        <w:rPr>
          <w:b/>
        </w:rPr>
      </w:pPr>
      <w:r w:rsidRPr="00D67D87">
        <w:t xml:space="preserve">BFUG and consultative members are invited to express their interest in participating in one </w:t>
      </w:r>
      <w:r w:rsidR="00D74620">
        <w:t xml:space="preserve">or more </w:t>
      </w:r>
      <w:r w:rsidRPr="00D67D87">
        <w:t xml:space="preserve">WGs or </w:t>
      </w:r>
      <w:r w:rsidR="00D46D91" w:rsidRPr="00D67D87">
        <w:t xml:space="preserve">advisory </w:t>
      </w:r>
      <w:r w:rsidR="00CB01C1">
        <w:t>groups</w:t>
      </w:r>
      <w:r w:rsidR="00CB01C1" w:rsidRPr="00D67D87">
        <w:t xml:space="preserve"> </w:t>
      </w:r>
      <w:r w:rsidRPr="00D67D87">
        <w:t>and as co-chair</w:t>
      </w:r>
      <w:r w:rsidR="002C5CE7" w:rsidRPr="00D67D87">
        <w:t xml:space="preserve"> </w:t>
      </w:r>
      <w:r w:rsidR="008403DF" w:rsidRPr="00D67D87">
        <w:t>by completing</w:t>
      </w:r>
      <w:r w:rsidR="002C5CE7" w:rsidRPr="00D67D87">
        <w:t xml:space="preserve"> the declaration of participation</w:t>
      </w:r>
      <w:r w:rsidR="002C5CE7" w:rsidRPr="00D67D87">
        <w:rPr>
          <w:rStyle w:val="Funotenzeichen"/>
        </w:rPr>
        <w:footnoteReference w:id="4"/>
      </w:r>
      <w:r w:rsidR="002C5CE7" w:rsidRPr="00D67D87">
        <w:t>.</w:t>
      </w:r>
      <w:r w:rsidRPr="00D67D87">
        <w:t xml:space="preserve"> </w:t>
      </w:r>
      <w:r w:rsidR="008403DF" w:rsidRPr="00D67D87">
        <w:rPr>
          <w:b/>
        </w:rPr>
        <w:t>Each</w:t>
      </w:r>
      <w:r w:rsidR="004B3A65" w:rsidRPr="00D67D87">
        <w:rPr>
          <w:b/>
        </w:rPr>
        <w:t xml:space="preserve"> declaration of participation should include a short explanation of interest and motivation for participating or for organising an event. </w:t>
      </w:r>
      <w:r w:rsidR="002C5CE7" w:rsidRPr="00D67D87">
        <w:t>All WGs/</w:t>
      </w:r>
      <w:r w:rsidR="00CB01C1" w:rsidRPr="00D67D87">
        <w:t>A</w:t>
      </w:r>
      <w:r w:rsidR="00CB01C1">
        <w:t>G</w:t>
      </w:r>
      <w:r w:rsidR="00CB01C1" w:rsidRPr="00D67D87">
        <w:t xml:space="preserve">s </w:t>
      </w:r>
      <w:r w:rsidR="002C5CE7" w:rsidRPr="00D67D87">
        <w:t>are open to participation from BFUG members</w:t>
      </w:r>
      <w:r w:rsidR="00C449FA">
        <w:t>, experts nominated by</w:t>
      </w:r>
      <w:r w:rsidR="002C5CE7" w:rsidRPr="00D67D87">
        <w:t xml:space="preserve"> </w:t>
      </w:r>
      <w:r w:rsidR="002C2FF1">
        <w:t xml:space="preserve">national authorities </w:t>
      </w:r>
      <w:r w:rsidR="002C5CE7" w:rsidRPr="00D67D87">
        <w:t>and consultative members. Composition should reflect the diversity of the EHEA.</w:t>
      </w:r>
    </w:p>
    <w:p w14:paraId="2FD00433" w14:textId="065A9A85" w:rsidR="00D010A1" w:rsidRPr="00D67D87" w:rsidRDefault="00D010A1" w:rsidP="00D010A1">
      <w:pPr>
        <w:jc w:val="both"/>
        <w:rPr>
          <w:b/>
        </w:rPr>
      </w:pPr>
      <w:r w:rsidRPr="00D67D87">
        <w:t>To allow coherence and synergy and to avoid duplication of work</w:t>
      </w:r>
      <w:r w:rsidR="00610713" w:rsidRPr="00D67D87">
        <w:t>,</w:t>
      </w:r>
      <w:r w:rsidRPr="00D67D87">
        <w:t xml:space="preserve"> WGs and </w:t>
      </w:r>
      <w:r w:rsidR="00CB01C1">
        <w:t>AGs</w:t>
      </w:r>
      <w:r w:rsidR="00CB01C1" w:rsidRPr="00D67D87">
        <w:t xml:space="preserve"> </w:t>
      </w:r>
      <w:r w:rsidR="00D74620">
        <w:t>should be</w:t>
      </w:r>
      <w:r w:rsidRPr="00D67D87">
        <w:t xml:space="preserve"> interlinked by members</w:t>
      </w:r>
      <w:r w:rsidR="00610713" w:rsidRPr="00D67D87">
        <w:t xml:space="preserve"> participating in </w:t>
      </w:r>
      <w:r w:rsidR="00D74620">
        <w:t>more than one</w:t>
      </w:r>
      <w:r w:rsidR="000F275D" w:rsidRPr="00D67D87">
        <w:t xml:space="preserve"> </w:t>
      </w:r>
      <w:r w:rsidR="00D74620">
        <w:t xml:space="preserve">WGs or </w:t>
      </w:r>
      <w:r w:rsidR="00CB01C1" w:rsidRPr="00D67D87">
        <w:t>A</w:t>
      </w:r>
      <w:r w:rsidR="00CB01C1">
        <w:t>G</w:t>
      </w:r>
      <w:r w:rsidR="00CB01C1" w:rsidRPr="00D67D87">
        <w:t>s</w:t>
      </w:r>
      <w:r w:rsidRPr="00D67D87">
        <w:t>. In addition</w:t>
      </w:r>
      <w:r w:rsidR="00D74620">
        <w:t xml:space="preserve"> to that</w:t>
      </w:r>
      <w:r w:rsidRPr="00D67D87">
        <w:t xml:space="preserve">, regular exchange between co-chairs is </w:t>
      </w:r>
      <w:r w:rsidR="00D74620">
        <w:t>necessary</w:t>
      </w:r>
      <w:r w:rsidRPr="00D67D87">
        <w:t>.</w:t>
      </w:r>
      <w:r w:rsidRPr="00D67D87">
        <w:rPr>
          <w:b/>
        </w:rPr>
        <w:t xml:space="preserve"> </w:t>
      </w:r>
    </w:p>
    <w:p w14:paraId="68F0F682" w14:textId="48155963" w:rsidR="00390668" w:rsidRPr="00D67D87" w:rsidRDefault="00A134E2" w:rsidP="00C35C54">
      <w:pPr>
        <w:jc w:val="both"/>
        <w:rPr>
          <w:rFonts w:ascii="Calibri" w:eastAsia="Calibri" w:hAnsi="Calibri" w:cs="Times New Roman"/>
        </w:rPr>
      </w:pPr>
      <w:r>
        <w:t>T</w:t>
      </w:r>
      <w:r w:rsidR="00790B07" w:rsidRPr="00D67D87">
        <w:t>he</w:t>
      </w:r>
      <w:r w:rsidR="008403DF" w:rsidRPr="00D67D87">
        <w:t xml:space="preserve"> tasks</w:t>
      </w:r>
      <w:r w:rsidR="00D010A1" w:rsidRPr="00D67D87">
        <w:t xml:space="preserve"> </w:t>
      </w:r>
      <w:r>
        <w:t>of</w:t>
      </w:r>
      <w:r w:rsidRPr="00D67D87">
        <w:t xml:space="preserve"> co-chair</w:t>
      </w:r>
      <w:r>
        <w:t>ing</w:t>
      </w:r>
      <w:r w:rsidRPr="00D67D87">
        <w:t xml:space="preserve"> </w:t>
      </w:r>
      <w:r w:rsidR="00D010A1" w:rsidRPr="00D67D87">
        <w:t>require</w:t>
      </w:r>
      <w:r>
        <w:t>s</w:t>
      </w:r>
      <w:r w:rsidR="00D010A1" w:rsidRPr="00D67D87">
        <w:t xml:space="preserve"> </w:t>
      </w:r>
      <w:r w:rsidR="001527C0" w:rsidRPr="00D67D87">
        <w:t>leadership and commitment to keep</w:t>
      </w:r>
      <w:r>
        <w:t xml:space="preserve"> up contact with other</w:t>
      </w:r>
      <w:r w:rsidR="001527C0" w:rsidRPr="00D67D87">
        <w:t xml:space="preserve"> </w:t>
      </w:r>
      <w:r w:rsidRPr="00D67D87">
        <w:t>WG/</w:t>
      </w:r>
      <w:r w:rsidR="00CB01C1" w:rsidRPr="00D67D87">
        <w:t>A</w:t>
      </w:r>
      <w:r w:rsidR="00CB01C1">
        <w:t xml:space="preserve">G </w:t>
      </w:r>
      <w:r>
        <w:t xml:space="preserve">and the </w:t>
      </w:r>
      <w:r w:rsidR="001527C0" w:rsidRPr="00D67D87">
        <w:t>BFUG secretariat</w:t>
      </w:r>
      <w:r w:rsidR="00280E81" w:rsidRPr="00D67D87">
        <w:t>.</w:t>
      </w:r>
      <w:r w:rsidR="005B621B" w:rsidRPr="00D67D87">
        <w:t xml:space="preserve"> </w:t>
      </w:r>
      <w:r w:rsidR="00060630">
        <w:t>O</w:t>
      </w:r>
      <w:r w:rsidR="0060478E" w:rsidRPr="00D67D87">
        <w:t>ne</w:t>
      </w:r>
      <w:r w:rsidR="00060630">
        <w:t xml:space="preserve"> </w:t>
      </w:r>
      <w:r w:rsidR="00060630" w:rsidRPr="00D67D87">
        <w:t xml:space="preserve">co-chair </w:t>
      </w:r>
      <w:r w:rsidR="00060630">
        <w:t>of each</w:t>
      </w:r>
      <w:r w:rsidR="0060478E" w:rsidRPr="00D67D87">
        <w:t xml:space="preserve"> </w:t>
      </w:r>
      <w:r w:rsidR="00D010A1" w:rsidRPr="00D67D87">
        <w:t>WG/</w:t>
      </w:r>
      <w:r w:rsidR="00CB01C1" w:rsidRPr="00D67D87">
        <w:t>A</w:t>
      </w:r>
      <w:r w:rsidR="00CB01C1">
        <w:t>G</w:t>
      </w:r>
      <w:r w:rsidR="00CB01C1" w:rsidRPr="00D67D87">
        <w:t xml:space="preserve"> </w:t>
      </w:r>
      <w:r w:rsidR="00374EC2" w:rsidRPr="00D67D87">
        <w:t xml:space="preserve">should </w:t>
      </w:r>
      <w:r w:rsidR="00FF780B" w:rsidRPr="00D67D87">
        <w:t>regularly</w:t>
      </w:r>
      <w:r w:rsidR="00060630">
        <w:t xml:space="preserve"> be</w:t>
      </w:r>
      <w:r w:rsidR="00FF780B" w:rsidRPr="00D67D87">
        <w:t xml:space="preserve"> invited to the BFUG board meetings</w:t>
      </w:r>
      <w:r w:rsidR="00D010A1" w:rsidRPr="00D67D87">
        <w:t>.</w:t>
      </w:r>
    </w:p>
    <w:p w14:paraId="1422DCD9" w14:textId="3DE2EBF4" w:rsidR="001527C0" w:rsidRPr="00C449FA" w:rsidRDefault="002E5036" w:rsidP="001527C0">
      <w:pPr>
        <w:jc w:val="both"/>
        <w:rPr>
          <w:color w:val="2E74B5" w:themeColor="accent1" w:themeShade="BF"/>
          <w:sz w:val="28"/>
        </w:rPr>
      </w:pPr>
      <w:r w:rsidRPr="00C449FA">
        <w:rPr>
          <w:color w:val="2E74B5" w:themeColor="accent1" w:themeShade="BF"/>
          <w:sz w:val="28"/>
        </w:rPr>
        <w:t xml:space="preserve">Tentative </w:t>
      </w:r>
      <w:r w:rsidR="001527C0" w:rsidRPr="00C449FA">
        <w:rPr>
          <w:color w:val="2E74B5" w:themeColor="accent1" w:themeShade="BF"/>
          <w:sz w:val="28"/>
        </w:rPr>
        <w:t>Schedule</w:t>
      </w:r>
      <w:r w:rsidR="001527C0" w:rsidRPr="00C449FA">
        <w:rPr>
          <w:rStyle w:val="Funotenzeichen"/>
          <w:color w:val="2E74B5" w:themeColor="accent1" w:themeShade="BF"/>
          <w:sz w:val="28"/>
        </w:rPr>
        <w:footnoteReference w:id="5"/>
      </w:r>
    </w:p>
    <w:p w14:paraId="717B9433" w14:textId="7CB4F244" w:rsidR="006A24B5" w:rsidRPr="00D67D87" w:rsidRDefault="001527C0" w:rsidP="001D2B6F">
      <w:pPr>
        <w:jc w:val="both"/>
      </w:pPr>
      <w:r w:rsidRPr="00D67D87">
        <w:t xml:space="preserve">This </w:t>
      </w:r>
      <w:r w:rsidR="0060478E" w:rsidRPr="00D67D87">
        <w:t>work program</w:t>
      </w:r>
      <w:r w:rsidRPr="00D67D87">
        <w:t xml:space="preserve"> is accompanied by a</w:t>
      </w:r>
      <w:r w:rsidR="00567715" w:rsidRPr="00D67D87">
        <w:t xml:space="preserve"> </w:t>
      </w:r>
      <w:r w:rsidR="002E5036" w:rsidRPr="00D67D87">
        <w:t>tentative</w:t>
      </w:r>
      <w:r w:rsidRPr="00D67D87">
        <w:t xml:space="preserve"> schedule</w:t>
      </w:r>
      <w:r w:rsidR="002E5036" w:rsidRPr="00D67D87">
        <w:t xml:space="preserve"> for the BFUG 2015-2018 period</w:t>
      </w:r>
      <w:r w:rsidRPr="00D67D87">
        <w:t xml:space="preserve">. The schedule shall also serve as a guideline for succeeding </w:t>
      </w:r>
      <w:r w:rsidR="008403DF" w:rsidRPr="00D67D87">
        <w:t>co</w:t>
      </w:r>
      <w:r w:rsidRPr="00D67D87">
        <w:t>-chairs during the period 2015-2018.</w:t>
      </w:r>
    </w:p>
    <w:p w14:paraId="6A786DF2" w14:textId="77777777" w:rsidR="00D67D87" w:rsidRPr="00D67D87" w:rsidRDefault="00D67D87">
      <w:pPr>
        <w:jc w:val="both"/>
      </w:pPr>
    </w:p>
    <w:sectPr w:rsidR="00D67D87" w:rsidRPr="00D67D87" w:rsidSect="001D2B6F">
      <w:foot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775C5" w14:textId="77777777" w:rsidR="00C05486" w:rsidRDefault="00C05486" w:rsidP="001527C0">
      <w:pPr>
        <w:spacing w:after="0" w:line="240" w:lineRule="auto"/>
      </w:pPr>
      <w:r>
        <w:separator/>
      </w:r>
    </w:p>
  </w:endnote>
  <w:endnote w:type="continuationSeparator" w:id="0">
    <w:p w14:paraId="73F49E46" w14:textId="77777777" w:rsidR="00C05486" w:rsidRDefault="00C05486" w:rsidP="0015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801756"/>
      <w:docPartObj>
        <w:docPartGallery w:val="Page Numbers (Bottom of Page)"/>
        <w:docPartUnique/>
      </w:docPartObj>
    </w:sdtPr>
    <w:sdtEndPr/>
    <w:sdtContent>
      <w:p w14:paraId="4668BDB3" w14:textId="77777777" w:rsidR="006A24B5" w:rsidRDefault="006A24B5">
        <w:pPr>
          <w:pStyle w:val="Fuzeile"/>
          <w:jc w:val="center"/>
        </w:pPr>
        <w:r>
          <w:fldChar w:fldCharType="begin"/>
        </w:r>
        <w:r>
          <w:instrText>PAGE   \* MERGEFORMAT</w:instrText>
        </w:r>
        <w:r>
          <w:fldChar w:fldCharType="separate"/>
        </w:r>
        <w:r w:rsidR="00984D23" w:rsidRPr="00984D23">
          <w:rPr>
            <w:noProof/>
            <w:lang w:val="de-DE"/>
          </w:rPr>
          <w:t>2</w:t>
        </w:r>
        <w:r>
          <w:fldChar w:fldCharType="end"/>
        </w:r>
      </w:p>
    </w:sdtContent>
  </w:sdt>
  <w:p w14:paraId="3B424396" w14:textId="77777777" w:rsidR="006A24B5" w:rsidRDefault="006A24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A0BB2" w14:textId="77777777" w:rsidR="00C05486" w:rsidRDefault="00C05486" w:rsidP="001527C0">
      <w:pPr>
        <w:spacing w:after="0" w:line="240" w:lineRule="auto"/>
      </w:pPr>
      <w:r>
        <w:separator/>
      </w:r>
    </w:p>
  </w:footnote>
  <w:footnote w:type="continuationSeparator" w:id="0">
    <w:p w14:paraId="5F8A27B3" w14:textId="77777777" w:rsidR="00C05486" w:rsidRDefault="00C05486" w:rsidP="001527C0">
      <w:pPr>
        <w:spacing w:after="0" w:line="240" w:lineRule="auto"/>
      </w:pPr>
      <w:r>
        <w:continuationSeparator/>
      </w:r>
    </w:p>
  </w:footnote>
  <w:footnote w:id="1">
    <w:p w14:paraId="73B1F435" w14:textId="51D9910B" w:rsidR="00FF2A47" w:rsidRDefault="00FF2A47" w:rsidP="00FF2A47">
      <w:pPr>
        <w:pStyle w:val="Funotentext"/>
      </w:pPr>
      <w:r>
        <w:rPr>
          <w:rStyle w:val="Funotenzeichen"/>
        </w:rPr>
        <w:footnoteRef/>
      </w:r>
      <w:r>
        <w:t xml:space="preserve"> Please refer to t</w:t>
      </w:r>
      <w:r w:rsidR="00C449FA">
        <w:t>he organisation chart 2015-2018</w:t>
      </w:r>
    </w:p>
  </w:footnote>
  <w:footnote w:id="2">
    <w:p w14:paraId="287A7A25" w14:textId="3A74078E" w:rsidR="006A24B5" w:rsidRPr="003B7BD9" w:rsidRDefault="006A24B5" w:rsidP="00083C6F">
      <w:pPr>
        <w:pStyle w:val="Funotentext"/>
      </w:pPr>
      <w:r>
        <w:rPr>
          <w:rStyle w:val="Funotenzeichen"/>
        </w:rPr>
        <w:footnoteRef/>
      </w:r>
      <w:r>
        <w:t xml:space="preserve"> Please refer to th</w:t>
      </w:r>
      <w:r w:rsidR="002E5036">
        <w:t>e Terms of Reference of the WGs</w:t>
      </w:r>
    </w:p>
  </w:footnote>
  <w:footnote w:id="3">
    <w:p w14:paraId="46BAC3F3" w14:textId="5A58F225" w:rsidR="00B602DC" w:rsidRPr="003B7BD9" w:rsidRDefault="00B602DC" w:rsidP="00B602DC">
      <w:pPr>
        <w:pStyle w:val="Funotentext"/>
      </w:pPr>
      <w:r>
        <w:rPr>
          <w:rStyle w:val="Funotenzeichen"/>
        </w:rPr>
        <w:footnoteRef/>
      </w:r>
      <w:r>
        <w:t xml:space="preserve"> Please refer to the Terms of Reference of the A</w:t>
      </w:r>
      <w:r w:rsidR="00C449FA">
        <w:t>G</w:t>
      </w:r>
      <w:r>
        <w:t>s</w:t>
      </w:r>
    </w:p>
  </w:footnote>
  <w:footnote w:id="4">
    <w:p w14:paraId="03488C23" w14:textId="57A1D7F1" w:rsidR="006A24B5" w:rsidRPr="002C5CE7" w:rsidRDefault="006A24B5">
      <w:pPr>
        <w:pStyle w:val="Funotentext"/>
      </w:pPr>
      <w:r>
        <w:rPr>
          <w:rStyle w:val="Funotenzeichen"/>
        </w:rPr>
        <w:footnoteRef/>
      </w:r>
      <w:r w:rsidR="00280E81">
        <w:t xml:space="preserve"> Please r</w:t>
      </w:r>
      <w:r>
        <w:t>efer to the declaration of participation</w:t>
      </w:r>
    </w:p>
  </w:footnote>
  <w:footnote w:id="5">
    <w:p w14:paraId="37D1974F" w14:textId="49A7B8EF" w:rsidR="006A24B5" w:rsidRPr="00934FF7" w:rsidRDefault="006A24B5" w:rsidP="001527C0">
      <w:pPr>
        <w:pStyle w:val="Funotentext"/>
      </w:pPr>
      <w:r>
        <w:rPr>
          <w:rStyle w:val="Funotenzeichen"/>
        </w:rPr>
        <w:footnoteRef/>
      </w:r>
      <w:r>
        <w:t xml:space="preserve"> </w:t>
      </w:r>
      <w:r w:rsidR="00280E81">
        <w:t xml:space="preserve">Please refer to </w:t>
      </w:r>
      <w:r w:rsidR="002E5036">
        <w:t xml:space="preserve">the tentative </w:t>
      </w:r>
      <w:r w:rsidRPr="00934FF7">
        <w:t>schedule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E5A28" w14:textId="2EC9167E" w:rsidR="00A33394" w:rsidRDefault="00494FC0">
    <w:pPr>
      <w:pStyle w:val="Kopfzeile"/>
    </w:pPr>
    <w:r>
      <w:rPr>
        <w:noProof/>
        <w:lang w:val="de-DE" w:eastAsia="de-DE"/>
      </w:rPr>
      <w:drawing>
        <wp:inline distT="0" distB="0" distL="0" distR="0" wp14:anchorId="7370B989" wp14:editId="5BCF9565">
          <wp:extent cx="5943600" cy="750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_BFUGMeeting_NL_MO.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508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61762"/>
    <w:multiLevelType w:val="hybridMultilevel"/>
    <w:tmpl w:val="989E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776FE"/>
    <w:multiLevelType w:val="hybridMultilevel"/>
    <w:tmpl w:val="9600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33F14"/>
    <w:multiLevelType w:val="hybridMultilevel"/>
    <w:tmpl w:val="EB0A8D6C"/>
    <w:lvl w:ilvl="0" w:tplc="928A2E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C0"/>
    <w:rsid w:val="00000628"/>
    <w:rsid w:val="00033FEA"/>
    <w:rsid w:val="00036ED2"/>
    <w:rsid w:val="00041307"/>
    <w:rsid w:val="00060630"/>
    <w:rsid w:val="00077558"/>
    <w:rsid w:val="00083C6F"/>
    <w:rsid w:val="000E4838"/>
    <w:rsid w:val="000F1C57"/>
    <w:rsid w:val="000F275D"/>
    <w:rsid w:val="00114373"/>
    <w:rsid w:val="0013011A"/>
    <w:rsid w:val="001527C0"/>
    <w:rsid w:val="0016380E"/>
    <w:rsid w:val="00167955"/>
    <w:rsid w:val="001C23AC"/>
    <w:rsid w:val="001D22E5"/>
    <w:rsid w:val="001D2B6F"/>
    <w:rsid w:val="002009BD"/>
    <w:rsid w:val="00205ECF"/>
    <w:rsid w:val="002426A1"/>
    <w:rsid w:val="00244C2C"/>
    <w:rsid w:val="00280E81"/>
    <w:rsid w:val="00281221"/>
    <w:rsid w:val="002A1D0F"/>
    <w:rsid w:val="002C2FF1"/>
    <w:rsid w:val="002C5CE7"/>
    <w:rsid w:val="002D3D38"/>
    <w:rsid w:val="002D6465"/>
    <w:rsid w:val="002E5036"/>
    <w:rsid w:val="002E5387"/>
    <w:rsid w:val="00370112"/>
    <w:rsid w:val="00374EC2"/>
    <w:rsid w:val="00390668"/>
    <w:rsid w:val="003B7BD9"/>
    <w:rsid w:val="003C576B"/>
    <w:rsid w:val="0042624A"/>
    <w:rsid w:val="00432339"/>
    <w:rsid w:val="00447563"/>
    <w:rsid w:val="00450DA8"/>
    <w:rsid w:val="004853AD"/>
    <w:rsid w:val="004853B2"/>
    <w:rsid w:val="00494FC0"/>
    <w:rsid w:val="004B3A65"/>
    <w:rsid w:val="00515603"/>
    <w:rsid w:val="00567715"/>
    <w:rsid w:val="00580D7A"/>
    <w:rsid w:val="00597DD4"/>
    <w:rsid w:val="005B621B"/>
    <w:rsid w:val="005E213A"/>
    <w:rsid w:val="005E24F9"/>
    <w:rsid w:val="005F3B48"/>
    <w:rsid w:val="0060478E"/>
    <w:rsid w:val="00610713"/>
    <w:rsid w:val="0064659C"/>
    <w:rsid w:val="00647894"/>
    <w:rsid w:val="006632EE"/>
    <w:rsid w:val="0067723B"/>
    <w:rsid w:val="00687E3C"/>
    <w:rsid w:val="00691C0D"/>
    <w:rsid w:val="006923FB"/>
    <w:rsid w:val="006A24B5"/>
    <w:rsid w:val="006D09F0"/>
    <w:rsid w:val="0070779F"/>
    <w:rsid w:val="00721660"/>
    <w:rsid w:val="00741941"/>
    <w:rsid w:val="0075214D"/>
    <w:rsid w:val="00790B07"/>
    <w:rsid w:val="0080761E"/>
    <w:rsid w:val="008403DF"/>
    <w:rsid w:val="008634BC"/>
    <w:rsid w:val="00940B41"/>
    <w:rsid w:val="009467C4"/>
    <w:rsid w:val="00984D23"/>
    <w:rsid w:val="009C635F"/>
    <w:rsid w:val="009E4A9C"/>
    <w:rsid w:val="009E7766"/>
    <w:rsid w:val="009F17B0"/>
    <w:rsid w:val="009F7DCC"/>
    <w:rsid w:val="00A134E2"/>
    <w:rsid w:val="00A33394"/>
    <w:rsid w:val="00A829F8"/>
    <w:rsid w:val="00A8497B"/>
    <w:rsid w:val="00AB5823"/>
    <w:rsid w:val="00AC78D1"/>
    <w:rsid w:val="00AE5B34"/>
    <w:rsid w:val="00AF3DD0"/>
    <w:rsid w:val="00AF4F73"/>
    <w:rsid w:val="00B26A37"/>
    <w:rsid w:val="00B34ED2"/>
    <w:rsid w:val="00B51479"/>
    <w:rsid w:val="00B602DC"/>
    <w:rsid w:val="00BB1F86"/>
    <w:rsid w:val="00BE7871"/>
    <w:rsid w:val="00C05486"/>
    <w:rsid w:val="00C112DC"/>
    <w:rsid w:val="00C35C54"/>
    <w:rsid w:val="00C449FA"/>
    <w:rsid w:val="00C774C9"/>
    <w:rsid w:val="00C87248"/>
    <w:rsid w:val="00CB01C1"/>
    <w:rsid w:val="00D010A1"/>
    <w:rsid w:val="00D036C1"/>
    <w:rsid w:val="00D46D91"/>
    <w:rsid w:val="00D55FA8"/>
    <w:rsid w:val="00D6602E"/>
    <w:rsid w:val="00D67D87"/>
    <w:rsid w:val="00D74620"/>
    <w:rsid w:val="00D77811"/>
    <w:rsid w:val="00D84E50"/>
    <w:rsid w:val="00D94FC6"/>
    <w:rsid w:val="00D95DB0"/>
    <w:rsid w:val="00DD2192"/>
    <w:rsid w:val="00DE226A"/>
    <w:rsid w:val="00DE2B37"/>
    <w:rsid w:val="00DF6842"/>
    <w:rsid w:val="00E16CC1"/>
    <w:rsid w:val="00E337E6"/>
    <w:rsid w:val="00E46F99"/>
    <w:rsid w:val="00E519BE"/>
    <w:rsid w:val="00E8374C"/>
    <w:rsid w:val="00E94E9E"/>
    <w:rsid w:val="00EB27C9"/>
    <w:rsid w:val="00EC3D41"/>
    <w:rsid w:val="00F93EC4"/>
    <w:rsid w:val="00FC205E"/>
    <w:rsid w:val="00FC307D"/>
    <w:rsid w:val="00FF2A47"/>
    <w:rsid w:val="00FF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2BD47F"/>
  <w15:docId w15:val="{56CD0510-3CBA-4F6C-AA35-1F9FF86D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27C0"/>
    <w:pPr>
      <w:spacing w:after="200" w:line="276"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gc">
    <w:name w:val="_tgc"/>
    <w:basedOn w:val="Absatz-Standardschriftart"/>
    <w:rsid w:val="001527C0"/>
  </w:style>
  <w:style w:type="character" w:customStyle="1" w:styleId="st">
    <w:name w:val="st"/>
    <w:basedOn w:val="Absatz-Standardschriftart"/>
    <w:rsid w:val="001527C0"/>
  </w:style>
  <w:style w:type="character" w:styleId="Hervorhebung">
    <w:name w:val="Emphasis"/>
    <w:basedOn w:val="Absatz-Standardschriftart"/>
    <w:uiPriority w:val="20"/>
    <w:qFormat/>
    <w:rsid w:val="001527C0"/>
    <w:rPr>
      <w:i/>
      <w:iCs/>
    </w:rPr>
  </w:style>
  <w:style w:type="paragraph" w:styleId="Funotentext">
    <w:name w:val="footnote text"/>
    <w:basedOn w:val="Standard"/>
    <w:link w:val="FunotentextZchn"/>
    <w:uiPriority w:val="99"/>
    <w:semiHidden/>
    <w:unhideWhenUsed/>
    <w:rsid w:val="001527C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527C0"/>
    <w:rPr>
      <w:sz w:val="20"/>
      <w:szCs w:val="20"/>
    </w:rPr>
  </w:style>
  <w:style w:type="character" w:styleId="Funotenzeichen">
    <w:name w:val="footnote reference"/>
    <w:basedOn w:val="Absatz-Standardschriftart"/>
    <w:uiPriority w:val="99"/>
    <w:semiHidden/>
    <w:unhideWhenUsed/>
    <w:rsid w:val="001527C0"/>
    <w:rPr>
      <w:vertAlign w:val="superscript"/>
    </w:rPr>
  </w:style>
  <w:style w:type="paragraph" w:styleId="Listenabsatz">
    <w:name w:val="List Paragraph"/>
    <w:basedOn w:val="Standard"/>
    <w:qFormat/>
    <w:rsid w:val="001527C0"/>
    <w:pPr>
      <w:spacing w:after="160" w:line="254" w:lineRule="auto"/>
      <w:ind w:left="720"/>
      <w:contextualSpacing/>
    </w:pPr>
    <w:rPr>
      <w:rFonts w:ascii="Calibri" w:eastAsia="Calibri" w:hAnsi="Calibri" w:cs="Times New Roman"/>
    </w:rPr>
  </w:style>
  <w:style w:type="paragraph" w:styleId="Kopfzeile">
    <w:name w:val="header"/>
    <w:basedOn w:val="Standard"/>
    <w:link w:val="KopfzeileZchn"/>
    <w:uiPriority w:val="99"/>
    <w:unhideWhenUsed/>
    <w:rsid w:val="001527C0"/>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1527C0"/>
  </w:style>
  <w:style w:type="paragraph" w:styleId="Fuzeile">
    <w:name w:val="footer"/>
    <w:basedOn w:val="Standard"/>
    <w:link w:val="FuzeileZchn"/>
    <w:uiPriority w:val="99"/>
    <w:unhideWhenUsed/>
    <w:rsid w:val="001527C0"/>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1527C0"/>
  </w:style>
  <w:style w:type="character" w:styleId="Kommentarzeichen">
    <w:name w:val="annotation reference"/>
    <w:basedOn w:val="Absatz-Standardschriftart"/>
    <w:uiPriority w:val="99"/>
    <w:semiHidden/>
    <w:unhideWhenUsed/>
    <w:rsid w:val="00E8374C"/>
    <w:rPr>
      <w:sz w:val="16"/>
      <w:szCs w:val="16"/>
    </w:rPr>
  </w:style>
  <w:style w:type="paragraph" w:styleId="Kommentartext">
    <w:name w:val="annotation text"/>
    <w:basedOn w:val="Standard"/>
    <w:link w:val="KommentartextZchn"/>
    <w:uiPriority w:val="99"/>
    <w:semiHidden/>
    <w:unhideWhenUsed/>
    <w:rsid w:val="00E8374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374C"/>
    <w:rPr>
      <w:sz w:val="20"/>
      <w:szCs w:val="20"/>
    </w:rPr>
  </w:style>
  <w:style w:type="paragraph" w:styleId="Kommentarthema">
    <w:name w:val="annotation subject"/>
    <w:basedOn w:val="Kommentartext"/>
    <w:next w:val="Kommentartext"/>
    <w:link w:val="KommentarthemaZchn"/>
    <w:uiPriority w:val="99"/>
    <w:semiHidden/>
    <w:unhideWhenUsed/>
    <w:rsid w:val="00E8374C"/>
    <w:rPr>
      <w:b/>
      <w:bCs/>
    </w:rPr>
  </w:style>
  <w:style w:type="character" w:customStyle="1" w:styleId="KommentarthemaZchn">
    <w:name w:val="Kommentarthema Zchn"/>
    <w:basedOn w:val="KommentartextZchn"/>
    <w:link w:val="Kommentarthema"/>
    <w:uiPriority w:val="99"/>
    <w:semiHidden/>
    <w:rsid w:val="00E8374C"/>
    <w:rPr>
      <w:b/>
      <w:bCs/>
      <w:sz w:val="20"/>
      <w:szCs w:val="20"/>
    </w:rPr>
  </w:style>
  <w:style w:type="paragraph" w:styleId="Sprechblasentext">
    <w:name w:val="Balloon Text"/>
    <w:basedOn w:val="Standard"/>
    <w:link w:val="SprechblasentextZchn"/>
    <w:uiPriority w:val="99"/>
    <w:semiHidden/>
    <w:unhideWhenUsed/>
    <w:rsid w:val="00E837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374C"/>
    <w:rPr>
      <w:rFonts w:ascii="Tahoma" w:hAnsi="Tahoma" w:cs="Tahoma"/>
      <w:sz w:val="16"/>
      <w:szCs w:val="16"/>
    </w:rPr>
  </w:style>
  <w:style w:type="paragraph" w:customStyle="1" w:styleId="Default">
    <w:name w:val="Default"/>
    <w:rsid w:val="005E24F9"/>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433C0FFCC77981479300DBCD86B43115" ma:contentTypeVersion="2" ma:contentTypeDescription="Crée un document." ma:contentTypeScope="" ma:versionID="b3e179dd4c5bb549c29d28c7616965bf">
  <xsd:schema xmlns:xsd="http://www.w3.org/2001/XMLSchema" xmlns:xs="http://www.w3.org/2001/XMLSchema" xmlns:p="http://schemas.microsoft.com/office/2006/metadata/properties" xmlns:ns2="bcc68411-ae40-483d-bb2c-2870ac712b91" targetNamespace="http://schemas.microsoft.com/office/2006/metadata/properties" ma:root="true" ma:fieldsID="714fe317e918994c0b037f0bb363f95c" ns2:_="">
    <xsd:import namespace="bcc68411-ae40-483d-bb2c-2870ac712b9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68411-ae40-483d-bb2c-2870ac712b91"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tion0 xmlns="bcc68411-ae40-483d-bb2c-2870ac712b91" xsi:nil="true"/>
  </documentManagement>
</p:properties>
</file>

<file path=customXml/itemProps1.xml><?xml version="1.0" encoding="utf-8"?>
<ds:datastoreItem xmlns:ds="http://schemas.openxmlformats.org/officeDocument/2006/customXml" ds:itemID="{4E41DFA7-F269-4992-864E-606BBC81A77F}"/>
</file>

<file path=customXml/itemProps2.xml><?xml version="1.0" encoding="utf-8"?>
<ds:datastoreItem xmlns:ds="http://schemas.openxmlformats.org/officeDocument/2006/customXml" ds:itemID="{24783E41-D49A-47C1-98DF-59C2DEE9C648}"/>
</file>

<file path=customXml/itemProps3.xml><?xml version="1.0" encoding="utf-8"?>
<ds:datastoreItem xmlns:ds="http://schemas.openxmlformats.org/officeDocument/2006/customXml" ds:itemID="{A275F692-0F5D-4018-A18F-BCA9B0457E1D}"/>
</file>

<file path=customXml/itemProps4.xml><?xml version="1.0" encoding="utf-8"?>
<ds:datastoreItem xmlns:ds="http://schemas.openxmlformats.org/officeDocument/2006/customXml" ds:itemID="{7CEE36A0-1523-4873-8220-581C7205296D}"/>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3635</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CTIE</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Corinne Kox</dc:creator>
  <cp:lastModifiedBy>Nina Salden</cp:lastModifiedBy>
  <cp:revision>4</cp:revision>
  <dcterms:created xsi:type="dcterms:W3CDTF">2016-01-11T09:31:00Z</dcterms:created>
  <dcterms:modified xsi:type="dcterms:W3CDTF">2016-01-11T14:45:00Z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0x010100873AB55E0CC5DA459F57F5A42893F46A005A087D358B12CA4E82A8A8BA9B8A8CF200D3544DBFAD4F664AA25DF68E6D1F0A9E00689F2856DFEDCE40890FDCED81A7DFC900433C0FFCC77981479300DBCD86B43115</vt:lpwstr>
  </property>
</Properties>
</file>