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DB485" w14:textId="77777777" w:rsidR="00A76D24" w:rsidRDefault="00A76D24" w:rsidP="00162EE2">
      <w:pPr>
        <w:spacing w:after="120" w:line="288" w:lineRule="auto"/>
        <w:jc w:val="right"/>
        <w:rPr>
          <w:rFonts w:ascii="Verdana" w:hAnsi="Verdana"/>
          <w:i/>
          <w:sz w:val="20"/>
          <w:szCs w:val="20"/>
        </w:rPr>
      </w:pPr>
    </w:p>
    <w:p w14:paraId="0D532723" w14:textId="1AE6FE68" w:rsidR="00A76D24" w:rsidRPr="00A76D24" w:rsidRDefault="00142B8E" w:rsidP="00162EE2">
      <w:pPr>
        <w:spacing w:after="120" w:line="288" w:lineRule="auto"/>
        <w:jc w:val="right"/>
        <w:rPr>
          <w:rFonts w:ascii="Verdana" w:hAnsi="Verdana"/>
          <w:i/>
          <w:sz w:val="20"/>
          <w:szCs w:val="20"/>
        </w:rPr>
      </w:pPr>
      <w:r>
        <w:rPr>
          <w:rFonts w:ascii="Verdana" w:hAnsi="Verdana"/>
          <w:i/>
          <w:sz w:val="20"/>
          <w:szCs w:val="20"/>
        </w:rPr>
        <w:t xml:space="preserve">Doc Code: </w:t>
      </w:r>
      <w:r w:rsidRPr="00A76D24">
        <w:rPr>
          <w:rFonts w:ascii="Verdana" w:hAnsi="Verdana"/>
          <w:i/>
          <w:sz w:val="20"/>
          <w:szCs w:val="20"/>
        </w:rPr>
        <w:t>BFUG_</w:t>
      </w:r>
      <w:r>
        <w:rPr>
          <w:rFonts w:ascii="Verdana" w:hAnsi="Verdana"/>
          <w:i/>
          <w:sz w:val="20"/>
          <w:szCs w:val="20"/>
        </w:rPr>
        <w:t>LV_IS_43_5b.1</w:t>
      </w:r>
    </w:p>
    <w:p w14:paraId="4A1134DE" w14:textId="41F28CE8" w:rsidR="00162EE2" w:rsidRPr="00A76D24" w:rsidRDefault="00142B8E" w:rsidP="00162EE2">
      <w:pPr>
        <w:spacing w:after="120" w:line="288" w:lineRule="auto"/>
        <w:jc w:val="right"/>
        <w:rPr>
          <w:rFonts w:ascii="Verdana" w:hAnsi="Verdana"/>
          <w:i/>
          <w:sz w:val="20"/>
          <w:szCs w:val="20"/>
        </w:rPr>
      </w:pPr>
      <w:r>
        <w:rPr>
          <w:rFonts w:ascii="Verdana" w:hAnsi="Verdana"/>
          <w:i/>
          <w:sz w:val="20"/>
          <w:szCs w:val="20"/>
        </w:rPr>
        <w:t>Last modified: 20</w:t>
      </w:r>
      <w:r w:rsidR="000D779F">
        <w:rPr>
          <w:rFonts w:ascii="Verdana" w:hAnsi="Verdana"/>
          <w:i/>
          <w:sz w:val="20"/>
          <w:szCs w:val="20"/>
        </w:rPr>
        <w:t>.01.2015</w:t>
      </w:r>
    </w:p>
    <w:p w14:paraId="1126099C" w14:textId="77777777" w:rsidR="00A76D24" w:rsidRPr="00CA0FD1" w:rsidRDefault="00A76D24" w:rsidP="00162EE2">
      <w:pPr>
        <w:spacing w:after="120" w:line="288" w:lineRule="auto"/>
        <w:jc w:val="right"/>
        <w:rPr>
          <w:rFonts w:ascii="Verdana" w:hAnsi="Verdana"/>
          <w:i/>
          <w:sz w:val="20"/>
          <w:szCs w:val="20"/>
        </w:rPr>
      </w:pPr>
    </w:p>
    <w:p w14:paraId="7B4B5ACB" w14:textId="77777777" w:rsidR="00A76D24" w:rsidRDefault="00A76D24" w:rsidP="00A76D24">
      <w:pPr>
        <w:spacing w:after="120" w:line="480" w:lineRule="auto"/>
        <w:jc w:val="both"/>
        <w:rPr>
          <w:rFonts w:ascii="Verdana" w:hAnsi="Verdana"/>
          <w:b/>
          <w:sz w:val="20"/>
          <w:szCs w:val="20"/>
        </w:rPr>
      </w:pPr>
    </w:p>
    <w:p w14:paraId="14E715A2" w14:textId="77777777" w:rsidR="00A76D24" w:rsidRDefault="00A76D24" w:rsidP="00A76D24">
      <w:pPr>
        <w:spacing w:after="120" w:line="480" w:lineRule="auto"/>
        <w:jc w:val="both"/>
        <w:rPr>
          <w:rFonts w:ascii="Verdana" w:hAnsi="Verdana"/>
          <w:b/>
          <w:sz w:val="20"/>
          <w:szCs w:val="20"/>
        </w:rPr>
      </w:pPr>
    </w:p>
    <w:p w14:paraId="0035B34F" w14:textId="77777777" w:rsidR="00A76D24" w:rsidRPr="00A76D24" w:rsidRDefault="00A76D24" w:rsidP="00A76D24">
      <w:pPr>
        <w:spacing w:after="120" w:line="480" w:lineRule="auto"/>
        <w:jc w:val="both"/>
        <w:rPr>
          <w:rFonts w:ascii="Verdana" w:hAnsi="Verdana"/>
          <w:b/>
          <w:sz w:val="28"/>
          <w:szCs w:val="28"/>
        </w:rPr>
      </w:pPr>
    </w:p>
    <w:p w14:paraId="272C8DCE" w14:textId="77777777" w:rsidR="00162EE2" w:rsidRPr="00A76D24" w:rsidRDefault="00162EE2" w:rsidP="00A76D24">
      <w:pPr>
        <w:spacing w:after="120" w:line="480" w:lineRule="auto"/>
        <w:jc w:val="both"/>
        <w:rPr>
          <w:rFonts w:ascii="Verdana" w:hAnsi="Verdana"/>
          <w:b/>
          <w:sz w:val="28"/>
          <w:szCs w:val="28"/>
        </w:rPr>
      </w:pPr>
      <w:r w:rsidRPr="00A76D24">
        <w:rPr>
          <w:rFonts w:ascii="Verdana" w:hAnsi="Verdana"/>
          <w:b/>
          <w:sz w:val="28"/>
          <w:szCs w:val="28"/>
        </w:rPr>
        <w:t xml:space="preserve">DRAFT REPORT OF THE 2012-2015 BFUG WORKING GROUP ON THE SOCIAL DIMENSION AND LIFELONG LEARNING </w:t>
      </w:r>
      <w:r w:rsidR="00A76D24" w:rsidRPr="00A76D24">
        <w:rPr>
          <w:rFonts w:ascii="Verdana" w:hAnsi="Verdana"/>
          <w:b/>
          <w:sz w:val="28"/>
          <w:szCs w:val="28"/>
        </w:rPr>
        <w:t>TO THE BFUG</w:t>
      </w:r>
    </w:p>
    <w:p w14:paraId="556012F7" w14:textId="77777777" w:rsidR="00FE724E" w:rsidRDefault="00A76D24" w:rsidP="00FE724E">
      <w:pPr>
        <w:pStyle w:val="TOCHeading"/>
      </w:pPr>
      <w:r>
        <w:rPr>
          <w:rFonts w:ascii="Verdana" w:hAnsi="Verdana"/>
          <w:sz w:val="20"/>
          <w:szCs w:val="20"/>
        </w:rPr>
        <w:br w:type="page"/>
      </w:r>
      <w:r w:rsidR="00FE724E">
        <w:lastRenderedPageBreak/>
        <w:t xml:space="preserve"> </w:t>
      </w:r>
    </w:p>
    <w:sdt>
      <w:sdtPr>
        <w:rPr>
          <w:rFonts w:ascii="Times New Roman" w:eastAsia="Arial Unicode MS" w:hAnsi="Times New Roman"/>
          <w:b w:val="0"/>
          <w:bCs w:val="0"/>
          <w:color w:val="auto"/>
          <w:sz w:val="24"/>
          <w:szCs w:val="24"/>
          <w:bdr w:val="nil"/>
        </w:rPr>
        <w:id w:val="1156271571"/>
        <w:docPartObj>
          <w:docPartGallery w:val="Table of Contents"/>
          <w:docPartUnique/>
        </w:docPartObj>
      </w:sdtPr>
      <w:sdtEndPr>
        <w:rPr>
          <w:noProof/>
        </w:rPr>
      </w:sdtEndPr>
      <w:sdtContent>
        <w:p w14:paraId="68E7662B" w14:textId="37ADD2A0" w:rsidR="00FE724E" w:rsidRDefault="00FE724E">
          <w:pPr>
            <w:pStyle w:val="TOCHeading"/>
          </w:pPr>
          <w:r>
            <w:t>Table of Contents</w:t>
          </w:r>
        </w:p>
        <w:p w14:paraId="5DAC1B12" w14:textId="77777777" w:rsidR="00A21671" w:rsidRDefault="00FE724E">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b w:val="0"/>
            </w:rPr>
            <w:fldChar w:fldCharType="begin"/>
          </w:r>
          <w:r>
            <w:instrText xml:space="preserve"> TOC \o "1-3" \h \z \u </w:instrText>
          </w:r>
          <w:r>
            <w:rPr>
              <w:b w:val="0"/>
            </w:rPr>
            <w:fldChar w:fldCharType="separate"/>
          </w:r>
          <w:r w:rsidR="00A21671" w:rsidRPr="0017210C">
            <w:rPr>
              <w:rFonts w:cs="DINPro-Medium"/>
              <w:noProof/>
              <w:lang w:val="en-GB"/>
            </w:rPr>
            <w:t>Executive Summary</w:t>
          </w:r>
          <w:r w:rsidR="00A21671">
            <w:rPr>
              <w:noProof/>
            </w:rPr>
            <w:tab/>
          </w:r>
          <w:r w:rsidR="00A21671">
            <w:rPr>
              <w:noProof/>
            </w:rPr>
            <w:fldChar w:fldCharType="begin"/>
          </w:r>
          <w:r w:rsidR="00A21671">
            <w:rPr>
              <w:noProof/>
            </w:rPr>
            <w:instrText xml:space="preserve"> PAGEREF _Toc283387961 \h </w:instrText>
          </w:r>
          <w:r w:rsidR="00A21671">
            <w:rPr>
              <w:noProof/>
            </w:rPr>
          </w:r>
          <w:r w:rsidR="00A21671">
            <w:rPr>
              <w:noProof/>
            </w:rPr>
            <w:fldChar w:fldCharType="separate"/>
          </w:r>
          <w:r w:rsidR="00A21671">
            <w:rPr>
              <w:noProof/>
            </w:rPr>
            <w:t>3</w:t>
          </w:r>
          <w:r w:rsidR="00A21671">
            <w:rPr>
              <w:noProof/>
            </w:rPr>
            <w:fldChar w:fldCharType="end"/>
          </w:r>
        </w:p>
        <w:p w14:paraId="2E975F20"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cs="DINPro-Medium"/>
              <w:noProof/>
              <w:lang w:val="en-GB"/>
            </w:rPr>
            <w:t>Background</w:t>
          </w:r>
          <w:r>
            <w:rPr>
              <w:noProof/>
            </w:rPr>
            <w:tab/>
          </w:r>
          <w:r>
            <w:rPr>
              <w:noProof/>
            </w:rPr>
            <w:fldChar w:fldCharType="begin"/>
          </w:r>
          <w:r>
            <w:rPr>
              <w:noProof/>
            </w:rPr>
            <w:instrText xml:space="preserve"> PAGEREF _Toc283387962 \h </w:instrText>
          </w:r>
          <w:r>
            <w:rPr>
              <w:noProof/>
            </w:rPr>
          </w:r>
          <w:r>
            <w:rPr>
              <w:noProof/>
            </w:rPr>
            <w:fldChar w:fldCharType="separate"/>
          </w:r>
          <w:r>
            <w:rPr>
              <w:noProof/>
            </w:rPr>
            <w:t>3</w:t>
          </w:r>
          <w:r>
            <w:rPr>
              <w:noProof/>
            </w:rPr>
            <w:fldChar w:fldCharType="end"/>
          </w:r>
        </w:p>
        <w:p w14:paraId="00292373"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Pr>
              <w:noProof/>
            </w:rPr>
            <w:t>About the report</w:t>
          </w:r>
          <w:r>
            <w:rPr>
              <w:noProof/>
            </w:rPr>
            <w:tab/>
          </w:r>
          <w:r>
            <w:rPr>
              <w:noProof/>
            </w:rPr>
            <w:fldChar w:fldCharType="begin"/>
          </w:r>
          <w:r>
            <w:rPr>
              <w:noProof/>
            </w:rPr>
            <w:instrText xml:space="preserve"> PAGEREF _Toc283387963 \h </w:instrText>
          </w:r>
          <w:r>
            <w:rPr>
              <w:noProof/>
            </w:rPr>
          </w:r>
          <w:r>
            <w:rPr>
              <w:noProof/>
            </w:rPr>
            <w:fldChar w:fldCharType="separate"/>
          </w:r>
          <w:r>
            <w:rPr>
              <w:noProof/>
            </w:rPr>
            <w:t>3</w:t>
          </w:r>
          <w:r>
            <w:rPr>
              <w:noProof/>
            </w:rPr>
            <w:fldChar w:fldCharType="end"/>
          </w:r>
        </w:p>
        <w:p w14:paraId="45419791"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Pr>
              <w:noProof/>
            </w:rPr>
            <w:t>Key recommendations</w:t>
          </w:r>
          <w:r>
            <w:rPr>
              <w:noProof/>
            </w:rPr>
            <w:tab/>
          </w:r>
          <w:r>
            <w:rPr>
              <w:noProof/>
            </w:rPr>
            <w:fldChar w:fldCharType="begin"/>
          </w:r>
          <w:r>
            <w:rPr>
              <w:noProof/>
            </w:rPr>
            <w:instrText xml:space="preserve"> PAGEREF _Toc283387964 \h </w:instrText>
          </w:r>
          <w:r>
            <w:rPr>
              <w:noProof/>
            </w:rPr>
          </w:r>
          <w:r>
            <w:rPr>
              <w:noProof/>
            </w:rPr>
            <w:fldChar w:fldCharType="separate"/>
          </w:r>
          <w:r>
            <w:rPr>
              <w:noProof/>
            </w:rPr>
            <w:t>3</w:t>
          </w:r>
          <w:r>
            <w:rPr>
              <w:noProof/>
            </w:rPr>
            <w:fldChar w:fldCharType="end"/>
          </w:r>
        </w:p>
        <w:p w14:paraId="006076A3"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1. Introduction</w:t>
          </w:r>
          <w:r>
            <w:rPr>
              <w:noProof/>
            </w:rPr>
            <w:tab/>
          </w:r>
          <w:r>
            <w:rPr>
              <w:noProof/>
            </w:rPr>
            <w:fldChar w:fldCharType="begin"/>
          </w:r>
          <w:r>
            <w:rPr>
              <w:noProof/>
            </w:rPr>
            <w:instrText xml:space="preserve"> PAGEREF _Toc283387965 \h </w:instrText>
          </w:r>
          <w:r>
            <w:rPr>
              <w:noProof/>
            </w:rPr>
          </w:r>
          <w:r>
            <w:rPr>
              <w:noProof/>
            </w:rPr>
            <w:fldChar w:fldCharType="separate"/>
          </w:r>
          <w:r>
            <w:rPr>
              <w:noProof/>
            </w:rPr>
            <w:t>4</w:t>
          </w:r>
          <w:r>
            <w:rPr>
              <w:noProof/>
            </w:rPr>
            <w:fldChar w:fldCharType="end"/>
          </w:r>
        </w:p>
        <w:p w14:paraId="0FB40EBA"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cs="DINPro-Medium"/>
              <w:noProof/>
              <w:lang w:val="en-GB"/>
            </w:rPr>
            <w:t>1.1. Context</w:t>
          </w:r>
          <w:r>
            <w:rPr>
              <w:noProof/>
            </w:rPr>
            <w:tab/>
          </w:r>
          <w:r>
            <w:rPr>
              <w:noProof/>
            </w:rPr>
            <w:fldChar w:fldCharType="begin"/>
          </w:r>
          <w:r>
            <w:rPr>
              <w:noProof/>
            </w:rPr>
            <w:instrText xml:space="preserve"> PAGEREF _Toc283387966 \h </w:instrText>
          </w:r>
          <w:r>
            <w:rPr>
              <w:noProof/>
            </w:rPr>
          </w:r>
          <w:r>
            <w:rPr>
              <w:noProof/>
            </w:rPr>
            <w:fldChar w:fldCharType="separate"/>
          </w:r>
          <w:r>
            <w:rPr>
              <w:noProof/>
            </w:rPr>
            <w:t>4</w:t>
          </w:r>
          <w:r>
            <w:rPr>
              <w:noProof/>
            </w:rPr>
            <w:fldChar w:fldCharType="end"/>
          </w:r>
        </w:p>
        <w:p w14:paraId="09A5C24D"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1.2. Current Position: Social Dimension and Lifelong Learning WG’s Mandate and Membership</w:t>
          </w:r>
          <w:r>
            <w:rPr>
              <w:noProof/>
            </w:rPr>
            <w:tab/>
          </w:r>
          <w:r>
            <w:rPr>
              <w:noProof/>
            </w:rPr>
            <w:fldChar w:fldCharType="begin"/>
          </w:r>
          <w:r>
            <w:rPr>
              <w:noProof/>
            </w:rPr>
            <w:instrText xml:space="preserve"> PAGEREF _Toc283387967 \h </w:instrText>
          </w:r>
          <w:r>
            <w:rPr>
              <w:noProof/>
            </w:rPr>
          </w:r>
          <w:r>
            <w:rPr>
              <w:noProof/>
            </w:rPr>
            <w:fldChar w:fldCharType="separate"/>
          </w:r>
          <w:r>
            <w:rPr>
              <w:noProof/>
            </w:rPr>
            <w:t>6</w:t>
          </w:r>
          <w:r>
            <w:rPr>
              <w:noProof/>
            </w:rPr>
            <w:fldChar w:fldCharType="end"/>
          </w:r>
        </w:p>
        <w:p w14:paraId="371BC5D1"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2.   2012-2015 Social Dimension and Lifelong Learning WG: Achievement of the Action Plan</w:t>
          </w:r>
          <w:r>
            <w:rPr>
              <w:noProof/>
            </w:rPr>
            <w:tab/>
          </w:r>
          <w:r>
            <w:rPr>
              <w:noProof/>
            </w:rPr>
            <w:fldChar w:fldCharType="begin"/>
          </w:r>
          <w:r>
            <w:rPr>
              <w:noProof/>
            </w:rPr>
            <w:instrText xml:space="preserve"> PAGEREF _Toc283387968 \h </w:instrText>
          </w:r>
          <w:r>
            <w:rPr>
              <w:noProof/>
            </w:rPr>
          </w:r>
          <w:r>
            <w:rPr>
              <w:noProof/>
            </w:rPr>
            <w:fldChar w:fldCharType="separate"/>
          </w:r>
          <w:r>
            <w:rPr>
              <w:noProof/>
            </w:rPr>
            <w:t>7</w:t>
          </w:r>
          <w:r>
            <w:rPr>
              <w:noProof/>
            </w:rPr>
            <w:fldChar w:fldCharType="end"/>
          </w:r>
        </w:p>
        <w:p w14:paraId="3F80B7A7"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noProof/>
            </w:rPr>
            <w:t>2.1. Widening Participation for Equity and Growth - A Strategy for the Development of the Social Dimension and Lifelong Learning in the EHEA to 2020</w:t>
          </w:r>
          <w:r>
            <w:rPr>
              <w:noProof/>
            </w:rPr>
            <w:tab/>
          </w:r>
          <w:r>
            <w:rPr>
              <w:noProof/>
            </w:rPr>
            <w:fldChar w:fldCharType="begin"/>
          </w:r>
          <w:r>
            <w:rPr>
              <w:noProof/>
            </w:rPr>
            <w:instrText xml:space="preserve"> PAGEREF _Toc283387969 \h </w:instrText>
          </w:r>
          <w:r>
            <w:rPr>
              <w:noProof/>
            </w:rPr>
          </w:r>
          <w:r>
            <w:rPr>
              <w:noProof/>
            </w:rPr>
            <w:fldChar w:fldCharType="separate"/>
          </w:r>
          <w:r>
            <w:rPr>
              <w:noProof/>
            </w:rPr>
            <w:t>8</w:t>
          </w:r>
          <w:r>
            <w:rPr>
              <w:noProof/>
            </w:rPr>
            <w:fldChar w:fldCharType="end"/>
          </w:r>
        </w:p>
        <w:p w14:paraId="48124DB8"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2.2. TG on Access</w:t>
          </w:r>
          <w:r>
            <w:rPr>
              <w:noProof/>
            </w:rPr>
            <w:tab/>
          </w:r>
          <w:r>
            <w:rPr>
              <w:noProof/>
            </w:rPr>
            <w:fldChar w:fldCharType="begin"/>
          </w:r>
          <w:r>
            <w:rPr>
              <w:noProof/>
            </w:rPr>
            <w:instrText xml:space="preserve"> PAGEREF _Toc283387970 \h </w:instrText>
          </w:r>
          <w:r>
            <w:rPr>
              <w:noProof/>
            </w:rPr>
          </w:r>
          <w:r>
            <w:rPr>
              <w:noProof/>
            </w:rPr>
            <w:fldChar w:fldCharType="separate"/>
          </w:r>
          <w:r>
            <w:rPr>
              <w:noProof/>
            </w:rPr>
            <w:t>9</w:t>
          </w:r>
          <w:r>
            <w:rPr>
              <w:noProof/>
            </w:rPr>
            <w:fldChar w:fldCharType="end"/>
          </w:r>
        </w:p>
        <w:p w14:paraId="013C73B3"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2.2. TG on Teaching and Learning</w:t>
          </w:r>
          <w:r>
            <w:rPr>
              <w:noProof/>
            </w:rPr>
            <w:tab/>
          </w:r>
          <w:r>
            <w:rPr>
              <w:noProof/>
            </w:rPr>
            <w:fldChar w:fldCharType="begin"/>
          </w:r>
          <w:r>
            <w:rPr>
              <w:noProof/>
            </w:rPr>
            <w:instrText xml:space="preserve"> PAGEREF _Toc283387971 \h </w:instrText>
          </w:r>
          <w:r>
            <w:rPr>
              <w:noProof/>
            </w:rPr>
          </w:r>
          <w:r>
            <w:rPr>
              <w:noProof/>
            </w:rPr>
            <w:fldChar w:fldCharType="separate"/>
          </w:r>
          <w:r>
            <w:rPr>
              <w:noProof/>
            </w:rPr>
            <w:t>9</w:t>
          </w:r>
          <w:r>
            <w:rPr>
              <w:noProof/>
            </w:rPr>
            <w:fldChar w:fldCharType="end"/>
          </w:r>
        </w:p>
        <w:p w14:paraId="072F4411"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2.3. TG on Student Supports and Services</w:t>
          </w:r>
          <w:r>
            <w:rPr>
              <w:noProof/>
            </w:rPr>
            <w:tab/>
          </w:r>
          <w:r>
            <w:rPr>
              <w:noProof/>
            </w:rPr>
            <w:fldChar w:fldCharType="begin"/>
          </w:r>
          <w:r>
            <w:rPr>
              <w:noProof/>
            </w:rPr>
            <w:instrText xml:space="preserve"> PAGEREF _Toc283387972 \h </w:instrText>
          </w:r>
          <w:r>
            <w:rPr>
              <w:noProof/>
            </w:rPr>
          </w:r>
          <w:r>
            <w:rPr>
              <w:noProof/>
            </w:rPr>
            <w:fldChar w:fldCharType="separate"/>
          </w:r>
          <w:r>
            <w:rPr>
              <w:noProof/>
            </w:rPr>
            <w:t>10</w:t>
          </w:r>
          <w:r>
            <w:rPr>
              <w:noProof/>
            </w:rPr>
            <w:fldChar w:fldCharType="end"/>
          </w:r>
        </w:p>
        <w:p w14:paraId="3B52EFD5"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2.4. TG on Lifelong Learning and Employability</w:t>
          </w:r>
          <w:r>
            <w:rPr>
              <w:noProof/>
            </w:rPr>
            <w:tab/>
          </w:r>
          <w:r>
            <w:rPr>
              <w:noProof/>
            </w:rPr>
            <w:fldChar w:fldCharType="begin"/>
          </w:r>
          <w:r>
            <w:rPr>
              <w:noProof/>
            </w:rPr>
            <w:instrText xml:space="preserve"> PAGEREF _Toc283387973 \h </w:instrText>
          </w:r>
          <w:r>
            <w:rPr>
              <w:noProof/>
            </w:rPr>
          </w:r>
          <w:r>
            <w:rPr>
              <w:noProof/>
            </w:rPr>
            <w:fldChar w:fldCharType="separate"/>
          </w:r>
          <w:r>
            <w:rPr>
              <w:noProof/>
            </w:rPr>
            <w:t>11</w:t>
          </w:r>
          <w:r>
            <w:rPr>
              <w:noProof/>
            </w:rPr>
            <w:fldChar w:fldCharType="end"/>
          </w:r>
        </w:p>
        <w:p w14:paraId="77C7916F"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3.  Peer Learning for the Social Dimension (PL4SD) Project</w:t>
          </w:r>
          <w:r>
            <w:rPr>
              <w:noProof/>
            </w:rPr>
            <w:tab/>
          </w:r>
          <w:r>
            <w:rPr>
              <w:noProof/>
            </w:rPr>
            <w:fldChar w:fldCharType="begin"/>
          </w:r>
          <w:r>
            <w:rPr>
              <w:noProof/>
            </w:rPr>
            <w:instrText xml:space="preserve"> PAGEREF _Toc283387974 \h </w:instrText>
          </w:r>
          <w:r>
            <w:rPr>
              <w:noProof/>
            </w:rPr>
          </w:r>
          <w:r>
            <w:rPr>
              <w:noProof/>
            </w:rPr>
            <w:fldChar w:fldCharType="separate"/>
          </w:r>
          <w:r>
            <w:rPr>
              <w:noProof/>
            </w:rPr>
            <w:t>11</w:t>
          </w:r>
          <w:r>
            <w:rPr>
              <w:noProof/>
            </w:rPr>
            <w:fldChar w:fldCharType="end"/>
          </w:r>
        </w:p>
        <w:p w14:paraId="3E2349C2"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3.1. PL4SD database</w:t>
          </w:r>
          <w:r>
            <w:rPr>
              <w:noProof/>
            </w:rPr>
            <w:tab/>
          </w:r>
          <w:r>
            <w:rPr>
              <w:noProof/>
            </w:rPr>
            <w:fldChar w:fldCharType="begin"/>
          </w:r>
          <w:r>
            <w:rPr>
              <w:noProof/>
            </w:rPr>
            <w:instrText xml:space="preserve"> PAGEREF _Toc283387975 \h </w:instrText>
          </w:r>
          <w:r>
            <w:rPr>
              <w:noProof/>
            </w:rPr>
          </w:r>
          <w:r>
            <w:rPr>
              <w:noProof/>
            </w:rPr>
            <w:fldChar w:fldCharType="separate"/>
          </w:r>
          <w:r>
            <w:rPr>
              <w:noProof/>
            </w:rPr>
            <w:t>12</w:t>
          </w:r>
          <w:r>
            <w:rPr>
              <w:noProof/>
            </w:rPr>
            <w:fldChar w:fldCharType="end"/>
          </w:r>
        </w:p>
        <w:p w14:paraId="6AD169D2"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3.2. PL4SD country reviews</w:t>
          </w:r>
          <w:r>
            <w:rPr>
              <w:noProof/>
            </w:rPr>
            <w:tab/>
          </w:r>
          <w:r>
            <w:rPr>
              <w:noProof/>
            </w:rPr>
            <w:fldChar w:fldCharType="begin"/>
          </w:r>
          <w:r>
            <w:rPr>
              <w:noProof/>
            </w:rPr>
            <w:instrText xml:space="preserve"> PAGEREF _Toc283387976 \h </w:instrText>
          </w:r>
          <w:r>
            <w:rPr>
              <w:noProof/>
            </w:rPr>
          </w:r>
          <w:r>
            <w:rPr>
              <w:noProof/>
            </w:rPr>
            <w:fldChar w:fldCharType="separate"/>
          </w:r>
          <w:r>
            <w:rPr>
              <w:noProof/>
            </w:rPr>
            <w:t>13</w:t>
          </w:r>
          <w:r>
            <w:rPr>
              <w:noProof/>
            </w:rPr>
            <w:fldChar w:fldCharType="end"/>
          </w:r>
        </w:p>
        <w:p w14:paraId="7ED58F07"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3.3. Peer-Learning</w:t>
          </w:r>
          <w:r>
            <w:rPr>
              <w:noProof/>
            </w:rPr>
            <w:tab/>
          </w:r>
          <w:r>
            <w:rPr>
              <w:noProof/>
            </w:rPr>
            <w:fldChar w:fldCharType="begin"/>
          </w:r>
          <w:r>
            <w:rPr>
              <w:noProof/>
            </w:rPr>
            <w:instrText xml:space="preserve"> PAGEREF _Toc283387977 \h </w:instrText>
          </w:r>
          <w:r>
            <w:rPr>
              <w:noProof/>
            </w:rPr>
          </w:r>
          <w:r>
            <w:rPr>
              <w:noProof/>
            </w:rPr>
            <w:fldChar w:fldCharType="separate"/>
          </w:r>
          <w:r>
            <w:rPr>
              <w:noProof/>
            </w:rPr>
            <w:t>13</w:t>
          </w:r>
          <w:r>
            <w:rPr>
              <w:noProof/>
            </w:rPr>
            <w:fldChar w:fldCharType="end"/>
          </w:r>
        </w:p>
        <w:p w14:paraId="61DCF58E"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3.4. Added value applicable to the Bologna Process</w:t>
          </w:r>
          <w:r>
            <w:rPr>
              <w:noProof/>
            </w:rPr>
            <w:tab/>
          </w:r>
          <w:r>
            <w:rPr>
              <w:noProof/>
            </w:rPr>
            <w:fldChar w:fldCharType="begin"/>
          </w:r>
          <w:r>
            <w:rPr>
              <w:noProof/>
            </w:rPr>
            <w:instrText xml:space="preserve"> PAGEREF _Toc283387978 \h </w:instrText>
          </w:r>
          <w:r>
            <w:rPr>
              <w:noProof/>
            </w:rPr>
          </w:r>
          <w:r>
            <w:rPr>
              <w:noProof/>
            </w:rPr>
            <w:fldChar w:fldCharType="separate"/>
          </w:r>
          <w:r>
            <w:rPr>
              <w:noProof/>
            </w:rPr>
            <w:t>14</w:t>
          </w:r>
          <w:r>
            <w:rPr>
              <w:noProof/>
            </w:rPr>
            <w:fldChar w:fldCharType="end"/>
          </w:r>
        </w:p>
        <w:p w14:paraId="74C525B8"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3.5. Future of PL4SD</w:t>
          </w:r>
          <w:r>
            <w:rPr>
              <w:noProof/>
            </w:rPr>
            <w:tab/>
          </w:r>
          <w:r>
            <w:rPr>
              <w:noProof/>
            </w:rPr>
            <w:fldChar w:fldCharType="begin"/>
          </w:r>
          <w:r>
            <w:rPr>
              <w:noProof/>
            </w:rPr>
            <w:instrText xml:space="preserve"> PAGEREF _Toc283387979 \h </w:instrText>
          </w:r>
          <w:r>
            <w:rPr>
              <w:noProof/>
            </w:rPr>
          </w:r>
          <w:r>
            <w:rPr>
              <w:noProof/>
            </w:rPr>
            <w:fldChar w:fldCharType="separate"/>
          </w:r>
          <w:r>
            <w:rPr>
              <w:noProof/>
            </w:rPr>
            <w:t>15</w:t>
          </w:r>
          <w:r>
            <w:rPr>
              <w:noProof/>
            </w:rPr>
            <w:fldChar w:fldCharType="end"/>
          </w:r>
        </w:p>
        <w:p w14:paraId="4A44FB94"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Conclusions</w:t>
          </w:r>
          <w:r>
            <w:rPr>
              <w:noProof/>
            </w:rPr>
            <w:tab/>
          </w:r>
          <w:r>
            <w:rPr>
              <w:noProof/>
            </w:rPr>
            <w:fldChar w:fldCharType="begin"/>
          </w:r>
          <w:r>
            <w:rPr>
              <w:noProof/>
            </w:rPr>
            <w:instrText xml:space="preserve"> PAGEREF _Toc283387980 \h </w:instrText>
          </w:r>
          <w:r>
            <w:rPr>
              <w:noProof/>
            </w:rPr>
          </w:r>
          <w:r>
            <w:rPr>
              <w:noProof/>
            </w:rPr>
            <w:fldChar w:fldCharType="separate"/>
          </w:r>
          <w:r>
            <w:rPr>
              <w:noProof/>
            </w:rPr>
            <w:t>16</w:t>
          </w:r>
          <w:r>
            <w:rPr>
              <w:noProof/>
            </w:rPr>
            <w:fldChar w:fldCharType="end"/>
          </w:r>
        </w:p>
        <w:p w14:paraId="537440CB"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Recommendations</w:t>
          </w:r>
          <w:r>
            <w:rPr>
              <w:noProof/>
            </w:rPr>
            <w:tab/>
          </w:r>
          <w:r>
            <w:rPr>
              <w:noProof/>
            </w:rPr>
            <w:fldChar w:fldCharType="begin"/>
          </w:r>
          <w:r>
            <w:rPr>
              <w:noProof/>
            </w:rPr>
            <w:instrText xml:space="preserve"> PAGEREF _Toc283387981 \h </w:instrText>
          </w:r>
          <w:r>
            <w:rPr>
              <w:noProof/>
            </w:rPr>
          </w:r>
          <w:r>
            <w:rPr>
              <w:noProof/>
            </w:rPr>
            <w:fldChar w:fldCharType="separate"/>
          </w:r>
          <w:r>
            <w:rPr>
              <w:noProof/>
            </w:rPr>
            <w:t>18</w:t>
          </w:r>
          <w:r>
            <w:rPr>
              <w:noProof/>
            </w:rPr>
            <w:fldChar w:fldCharType="end"/>
          </w:r>
        </w:p>
        <w:p w14:paraId="2DE69865"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Acronyms</w:t>
          </w:r>
          <w:r>
            <w:rPr>
              <w:noProof/>
            </w:rPr>
            <w:tab/>
          </w:r>
          <w:r>
            <w:rPr>
              <w:noProof/>
            </w:rPr>
            <w:fldChar w:fldCharType="begin"/>
          </w:r>
          <w:r>
            <w:rPr>
              <w:noProof/>
            </w:rPr>
            <w:instrText xml:space="preserve"> PAGEREF _Toc283387982 \h </w:instrText>
          </w:r>
          <w:r>
            <w:rPr>
              <w:noProof/>
            </w:rPr>
          </w:r>
          <w:r>
            <w:rPr>
              <w:noProof/>
            </w:rPr>
            <w:fldChar w:fldCharType="separate"/>
          </w:r>
          <w:r>
            <w:rPr>
              <w:noProof/>
            </w:rPr>
            <w:t>19</w:t>
          </w:r>
          <w:r>
            <w:rPr>
              <w:noProof/>
            </w:rPr>
            <w:fldChar w:fldCharType="end"/>
          </w:r>
        </w:p>
        <w:p w14:paraId="02711CB5"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Figures and Tables</w:t>
          </w:r>
          <w:r>
            <w:rPr>
              <w:noProof/>
            </w:rPr>
            <w:tab/>
          </w:r>
          <w:r>
            <w:rPr>
              <w:noProof/>
            </w:rPr>
            <w:fldChar w:fldCharType="begin"/>
          </w:r>
          <w:r>
            <w:rPr>
              <w:noProof/>
            </w:rPr>
            <w:instrText xml:space="preserve"> PAGEREF _Toc283387983 \h </w:instrText>
          </w:r>
          <w:r>
            <w:rPr>
              <w:noProof/>
            </w:rPr>
          </w:r>
          <w:r>
            <w:rPr>
              <w:noProof/>
            </w:rPr>
            <w:fldChar w:fldCharType="separate"/>
          </w:r>
          <w:r>
            <w:rPr>
              <w:noProof/>
            </w:rPr>
            <w:t>19</w:t>
          </w:r>
          <w:r>
            <w:rPr>
              <w:noProof/>
            </w:rPr>
            <w:fldChar w:fldCharType="end"/>
          </w:r>
        </w:p>
        <w:p w14:paraId="48670034"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Pr>
              <w:noProof/>
            </w:rPr>
            <w:t>Figure 1</w:t>
          </w:r>
          <w:r>
            <w:rPr>
              <w:noProof/>
            </w:rPr>
            <w:tab/>
          </w:r>
          <w:r>
            <w:rPr>
              <w:noProof/>
            </w:rPr>
            <w:fldChar w:fldCharType="begin"/>
          </w:r>
          <w:r>
            <w:rPr>
              <w:noProof/>
            </w:rPr>
            <w:instrText xml:space="preserve"> PAGEREF _Toc283387984 \h </w:instrText>
          </w:r>
          <w:r>
            <w:rPr>
              <w:noProof/>
            </w:rPr>
          </w:r>
          <w:r>
            <w:rPr>
              <w:noProof/>
            </w:rPr>
            <w:fldChar w:fldCharType="separate"/>
          </w:r>
          <w:r>
            <w:rPr>
              <w:noProof/>
            </w:rPr>
            <w:t>20</w:t>
          </w:r>
          <w:r>
            <w:rPr>
              <w:noProof/>
            </w:rPr>
            <w:fldChar w:fldCharType="end"/>
          </w:r>
        </w:p>
        <w:p w14:paraId="327FAA6D"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Pr>
              <w:noProof/>
            </w:rPr>
            <w:t>Table 1</w:t>
          </w:r>
          <w:r>
            <w:rPr>
              <w:noProof/>
            </w:rPr>
            <w:tab/>
          </w:r>
          <w:r>
            <w:rPr>
              <w:noProof/>
            </w:rPr>
            <w:fldChar w:fldCharType="begin"/>
          </w:r>
          <w:r>
            <w:rPr>
              <w:noProof/>
            </w:rPr>
            <w:instrText xml:space="preserve"> PAGEREF _Toc283387985 \h </w:instrText>
          </w:r>
          <w:r>
            <w:rPr>
              <w:noProof/>
            </w:rPr>
          </w:r>
          <w:r>
            <w:rPr>
              <w:noProof/>
            </w:rPr>
            <w:fldChar w:fldCharType="separate"/>
          </w:r>
          <w:r>
            <w:rPr>
              <w:noProof/>
            </w:rPr>
            <w:t>21</w:t>
          </w:r>
          <w:r>
            <w:rPr>
              <w:noProof/>
            </w:rPr>
            <w:fldChar w:fldCharType="end"/>
          </w:r>
        </w:p>
        <w:p w14:paraId="66B9F8C7" w14:textId="77777777" w:rsidR="00A21671" w:rsidRDefault="00A21671">
          <w:pPr>
            <w:pStyle w:val="TOC1"/>
            <w:tabs>
              <w:tab w:val="right" w:leader="dot" w:pos="8290"/>
            </w:tabs>
            <w:rPr>
              <w:rFonts w:asciiTheme="minorHAnsi" w:eastAsiaTheme="minorEastAsia" w:hAnsiTheme="minorHAnsi" w:cstheme="minorBidi"/>
              <w:b w:val="0"/>
              <w:noProof/>
              <w:color w:val="auto"/>
              <w:bdr w:val="none" w:sz="0" w:space="0" w:color="auto"/>
              <w:lang w:val="en-GB" w:eastAsia="ja-JP"/>
            </w:rPr>
          </w:pPr>
          <w:r>
            <w:rPr>
              <w:noProof/>
            </w:rPr>
            <w:t>Appendices</w:t>
          </w:r>
          <w:r>
            <w:rPr>
              <w:noProof/>
            </w:rPr>
            <w:tab/>
          </w:r>
          <w:r>
            <w:rPr>
              <w:noProof/>
            </w:rPr>
            <w:fldChar w:fldCharType="begin"/>
          </w:r>
          <w:r>
            <w:rPr>
              <w:noProof/>
            </w:rPr>
            <w:instrText xml:space="preserve"> PAGEREF _Toc283387986 \h </w:instrText>
          </w:r>
          <w:r>
            <w:rPr>
              <w:noProof/>
            </w:rPr>
          </w:r>
          <w:r>
            <w:rPr>
              <w:noProof/>
            </w:rPr>
            <w:fldChar w:fldCharType="separate"/>
          </w:r>
          <w:r>
            <w:rPr>
              <w:noProof/>
            </w:rPr>
            <w:t>22</w:t>
          </w:r>
          <w:r>
            <w:rPr>
              <w:noProof/>
            </w:rPr>
            <w:fldChar w:fldCharType="end"/>
          </w:r>
        </w:p>
        <w:p w14:paraId="0789DAB0"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Appendix 1</w:t>
          </w:r>
          <w:r>
            <w:rPr>
              <w:noProof/>
            </w:rPr>
            <w:tab/>
          </w:r>
          <w:r>
            <w:rPr>
              <w:noProof/>
            </w:rPr>
            <w:fldChar w:fldCharType="begin"/>
          </w:r>
          <w:r>
            <w:rPr>
              <w:noProof/>
            </w:rPr>
            <w:instrText xml:space="preserve"> PAGEREF _Toc283387987 \h </w:instrText>
          </w:r>
          <w:r>
            <w:rPr>
              <w:noProof/>
            </w:rPr>
          </w:r>
          <w:r>
            <w:rPr>
              <w:noProof/>
            </w:rPr>
            <w:fldChar w:fldCharType="separate"/>
          </w:r>
          <w:r>
            <w:rPr>
              <w:noProof/>
            </w:rPr>
            <w:t>22</w:t>
          </w:r>
          <w:r>
            <w:rPr>
              <w:noProof/>
            </w:rPr>
            <w:fldChar w:fldCharType="end"/>
          </w:r>
        </w:p>
        <w:p w14:paraId="4E975719"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Appendix 2</w:t>
          </w:r>
          <w:r>
            <w:rPr>
              <w:noProof/>
            </w:rPr>
            <w:tab/>
          </w:r>
          <w:r>
            <w:rPr>
              <w:noProof/>
            </w:rPr>
            <w:fldChar w:fldCharType="begin"/>
          </w:r>
          <w:r>
            <w:rPr>
              <w:noProof/>
            </w:rPr>
            <w:instrText xml:space="preserve"> PAGEREF _Toc283387988 \h </w:instrText>
          </w:r>
          <w:r>
            <w:rPr>
              <w:noProof/>
            </w:rPr>
          </w:r>
          <w:r>
            <w:rPr>
              <w:noProof/>
            </w:rPr>
            <w:fldChar w:fldCharType="separate"/>
          </w:r>
          <w:r>
            <w:rPr>
              <w:noProof/>
            </w:rPr>
            <w:t>26</w:t>
          </w:r>
          <w:r>
            <w:rPr>
              <w:noProof/>
            </w:rPr>
            <w:fldChar w:fldCharType="end"/>
          </w:r>
        </w:p>
        <w:p w14:paraId="1EF526A9" w14:textId="77777777" w:rsidR="00A21671" w:rsidRDefault="00A21671">
          <w:pPr>
            <w:pStyle w:val="TOC2"/>
            <w:tabs>
              <w:tab w:val="right" w:leader="dot" w:pos="8290"/>
            </w:tabs>
            <w:rPr>
              <w:rFonts w:eastAsiaTheme="minorEastAsia" w:cstheme="minorBidi"/>
              <w:noProof/>
              <w:sz w:val="24"/>
              <w:szCs w:val="24"/>
              <w:bdr w:val="none" w:sz="0" w:space="0" w:color="auto"/>
              <w:lang w:val="en-GB" w:eastAsia="ja-JP"/>
            </w:rPr>
          </w:pPr>
          <w:r w:rsidRPr="0017210C">
            <w:rPr>
              <w:rFonts w:ascii="Verdana" w:hAnsi="Verdana"/>
              <w:noProof/>
            </w:rPr>
            <w:t>Appendix 3</w:t>
          </w:r>
          <w:r>
            <w:rPr>
              <w:noProof/>
            </w:rPr>
            <w:tab/>
          </w:r>
          <w:r>
            <w:rPr>
              <w:noProof/>
            </w:rPr>
            <w:fldChar w:fldCharType="begin"/>
          </w:r>
          <w:r>
            <w:rPr>
              <w:noProof/>
            </w:rPr>
            <w:instrText xml:space="preserve"> PAGEREF _Toc283387989 \h </w:instrText>
          </w:r>
          <w:r>
            <w:rPr>
              <w:noProof/>
            </w:rPr>
          </w:r>
          <w:r>
            <w:rPr>
              <w:noProof/>
            </w:rPr>
            <w:fldChar w:fldCharType="separate"/>
          </w:r>
          <w:r>
            <w:rPr>
              <w:noProof/>
            </w:rPr>
            <w:t>31</w:t>
          </w:r>
          <w:r>
            <w:rPr>
              <w:noProof/>
            </w:rPr>
            <w:fldChar w:fldCharType="end"/>
          </w:r>
        </w:p>
        <w:p w14:paraId="10476D9E" w14:textId="648E06F5" w:rsidR="00FE724E" w:rsidRDefault="00FE724E">
          <w:r>
            <w:rPr>
              <w:b/>
              <w:bCs/>
              <w:noProof/>
            </w:rPr>
            <w:fldChar w:fldCharType="end"/>
          </w:r>
        </w:p>
      </w:sdtContent>
    </w:sdt>
    <w:p w14:paraId="7348E2D6" w14:textId="2FA12DA0" w:rsidR="00FE724E" w:rsidRDefault="00FE724E" w:rsidP="00FE724E">
      <w:pPr>
        <w:pStyle w:val="TOCHeading"/>
      </w:pPr>
    </w:p>
    <w:p w14:paraId="20D1B093" w14:textId="7D8AAABC" w:rsidR="00A76D24" w:rsidRDefault="00A76D24"/>
    <w:p w14:paraId="276FCA5A" w14:textId="77777777" w:rsidR="00162EE2" w:rsidRDefault="00162EE2" w:rsidP="00162EE2">
      <w:pPr>
        <w:pBdr>
          <w:top w:val="none" w:sz="0" w:space="0" w:color="auto"/>
          <w:left w:val="none" w:sz="0" w:space="0" w:color="auto"/>
          <w:bottom w:val="none" w:sz="0" w:space="0" w:color="auto"/>
          <w:right w:val="none" w:sz="0" w:space="0" w:color="auto"/>
          <w:between w:val="none" w:sz="0" w:space="0" w:color="auto"/>
          <w:bar w:val="none" w:sz="0" w:color="auto"/>
        </w:pBdr>
        <w:rPr>
          <w:rFonts w:ascii="Verdana" w:hAnsi="Verdana"/>
          <w:sz w:val="20"/>
          <w:szCs w:val="20"/>
        </w:rPr>
      </w:pPr>
      <w:r>
        <w:rPr>
          <w:rFonts w:ascii="Verdana" w:hAnsi="Verdana"/>
          <w:sz w:val="20"/>
          <w:szCs w:val="20"/>
        </w:rPr>
        <w:br w:type="page"/>
      </w:r>
    </w:p>
    <w:p w14:paraId="06B29519" w14:textId="77777777" w:rsidR="008C106F" w:rsidRPr="00FE724E" w:rsidRDefault="00133A94" w:rsidP="00FE724E">
      <w:pPr>
        <w:pStyle w:val="Heading1"/>
      </w:pPr>
      <w:bookmarkStart w:id="0" w:name="_Toc283387961"/>
      <w:r w:rsidRPr="00FE724E">
        <w:rPr>
          <w:rStyle w:val="Strong"/>
          <w:rFonts w:ascii="Cambria" w:hAnsi="Cambria"/>
          <w:sz w:val="28"/>
        </w:rPr>
        <w:lastRenderedPageBreak/>
        <w:t>Executive Summary</w:t>
      </w:r>
      <w:bookmarkStart w:id="1" w:name="_Toc278555187"/>
      <w:bookmarkStart w:id="2" w:name="_Toc278625889"/>
      <w:bookmarkEnd w:id="0"/>
      <w:r w:rsidRPr="00FE724E" w:rsidDel="00133A94">
        <w:t xml:space="preserve"> </w:t>
      </w:r>
      <w:bookmarkStart w:id="3" w:name="_Toc278555188"/>
      <w:bookmarkStart w:id="4" w:name="_Toc278625890"/>
      <w:bookmarkEnd w:id="1"/>
      <w:bookmarkEnd w:id="2"/>
    </w:p>
    <w:p w14:paraId="0C0E8E9E" w14:textId="77777777" w:rsidR="008C106F" w:rsidRDefault="008C106F" w:rsidP="008C106F"/>
    <w:p w14:paraId="04C0AE5F" w14:textId="618654B7" w:rsidR="00A04330" w:rsidRPr="00A21671" w:rsidRDefault="00431E6B" w:rsidP="00A21671">
      <w:pPr>
        <w:pStyle w:val="Heading2"/>
        <w:spacing w:after="120"/>
        <w:rPr>
          <w:rStyle w:val="Strong"/>
          <w:rFonts w:ascii="Verdana" w:hAnsi="Verdana"/>
          <w:b w:val="0"/>
          <w:sz w:val="20"/>
          <w:szCs w:val="20"/>
        </w:rPr>
      </w:pPr>
      <w:bookmarkStart w:id="5" w:name="_Toc283387962"/>
      <w:bookmarkEnd w:id="3"/>
      <w:bookmarkEnd w:id="4"/>
      <w:r w:rsidRPr="00852F86">
        <w:rPr>
          <w:rStyle w:val="Strong"/>
          <w:rFonts w:ascii="Verdana" w:hAnsi="Verdana"/>
          <w:sz w:val="20"/>
          <w:szCs w:val="20"/>
        </w:rPr>
        <w:t>Background</w:t>
      </w:r>
      <w:bookmarkEnd w:id="5"/>
    </w:p>
    <w:p w14:paraId="6EEE2802" w14:textId="77777777" w:rsidR="00AF1B59" w:rsidRDefault="00DE56F8" w:rsidP="00DE56F8">
      <w:pPr>
        <w:widowControl w:val="0"/>
        <w:autoSpaceDE w:val="0"/>
        <w:autoSpaceDN w:val="0"/>
        <w:adjustRightInd w:val="0"/>
        <w:spacing w:after="120" w:line="288" w:lineRule="auto"/>
        <w:ind w:right="-772"/>
        <w:jc w:val="both"/>
        <w:rPr>
          <w:rFonts w:ascii="Verdana" w:hAnsi="Verdana"/>
          <w:sz w:val="20"/>
          <w:szCs w:val="20"/>
        </w:rPr>
      </w:pPr>
      <w:r w:rsidRPr="00C95FFA">
        <w:rPr>
          <w:rFonts w:ascii="Verdana" w:hAnsi="Verdana"/>
          <w:sz w:val="20"/>
          <w:szCs w:val="20"/>
        </w:rPr>
        <w:t xml:space="preserve">The </w:t>
      </w:r>
      <w:r w:rsidR="00AF1B59">
        <w:rPr>
          <w:rFonts w:ascii="Verdana" w:hAnsi="Verdana"/>
          <w:sz w:val="20"/>
          <w:szCs w:val="20"/>
        </w:rPr>
        <w:t>s</w:t>
      </w:r>
      <w:r w:rsidRPr="00C95FFA">
        <w:rPr>
          <w:rFonts w:ascii="Verdana" w:hAnsi="Verdana"/>
          <w:sz w:val="20"/>
          <w:szCs w:val="20"/>
        </w:rPr>
        <w:t xml:space="preserve">ocial </w:t>
      </w:r>
      <w:r w:rsidR="00AF1B59">
        <w:rPr>
          <w:rFonts w:ascii="Verdana" w:hAnsi="Verdana"/>
          <w:sz w:val="20"/>
          <w:szCs w:val="20"/>
        </w:rPr>
        <w:t>d</w:t>
      </w:r>
      <w:r w:rsidRPr="00C95FFA">
        <w:rPr>
          <w:rFonts w:ascii="Verdana" w:hAnsi="Verdana"/>
          <w:sz w:val="20"/>
          <w:szCs w:val="20"/>
        </w:rPr>
        <w:t xml:space="preserve">imension plays an important role in enhancing the attractiveness and competitiveness of the European Higher Education Area (EHEA). </w:t>
      </w:r>
      <w:r w:rsidR="00C95FFA" w:rsidRPr="00C95FFA">
        <w:rPr>
          <w:rFonts w:ascii="Verdana" w:hAnsi="Verdana"/>
          <w:sz w:val="20"/>
          <w:szCs w:val="20"/>
        </w:rPr>
        <w:t xml:space="preserve">The EHEA aims to </w:t>
      </w:r>
      <w:r w:rsidRPr="00C95FFA">
        <w:rPr>
          <w:rFonts w:ascii="Verdana" w:hAnsi="Verdana"/>
          <w:sz w:val="20"/>
          <w:szCs w:val="20"/>
        </w:rPr>
        <w:t>widen overall access and increas</w:t>
      </w:r>
      <w:r w:rsidR="00C95FFA" w:rsidRPr="00C95FFA">
        <w:rPr>
          <w:rFonts w:ascii="Verdana" w:hAnsi="Verdana"/>
          <w:sz w:val="20"/>
          <w:szCs w:val="20"/>
        </w:rPr>
        <w:t>e</w:t>
      </w:r>
      <w:r w:rsidRPr="00C95FFA">
        <w:rPr>
          <w:rFonts w:ascii="Verdana" w:hAnsi="Verdana"/>
          <w:sz w:val="20"/>
          <w:szCs w:val="20"/>
        </w:rPr>
        <w:t xml:space="preserve"> participation and completion of underrepresented groups in higher education, according to the diversity of the national populations. </w:t>
      </w:r>
      <w:r w:rsidR="00C95FFA">
        <w:rPr>
          <w:rFonts w:ascii="Verdana" w:hAnsi="Verdana"/>
          <w:sz w:val="20"/>
          <w:szCs w:val="20"/>
        </w:rPr>
        <w:t>In its turn, widening access to quality higher education is viewed as a precondition for societal progress and economic development</w:t>
      </w:r>
      <w:r w:rsidR="00D32DD5">
        <w:rPr>
          <w:rFonts w:ascii="Verdana" w:hAnsi="Verdana"/>
          <w:sz w:val="20"/>
          <w:szCs w:val="20"/>
        </w:rPr>
        <w:t>.</w:t>
      </w:r>
      <w:r w:rsidR="00C95FFA">
        <w:rPr>
          <w:rFonts w:ascii="Verdana" w:hAnsi="Verdana"/>
          <w:sz w:val="20"/>
          <w:szCs w:val="20"/>
        </w:rPr>
        <w:t xml:space="preserve"> </w:t>
      </w:r>
    </w:p>
    <w:p w14:paraId="4181C917" w14:textId="77777777" w:rsidR="00FA24D2" w:rsidRDefault="00DE56F8" w:rsidP="00DE56F8">
      <w:pPr>
        <w:widowControl w:val="0"/>
        <w:autoSpaceDE w:val="0"/>
        <w:autoSpaceDN w:val="0"/>
        <w:adjustRightInd w:val="0"/>
        <w:spacing w:after="120" w:line="288" w:lineRule="auto"/>
        <w:ind w:right="-772"/>
        <w:jc w:val="both"/>
        <w:rPr>
          <w:rFonts w:ascii="Verdana" w:hAnsi="Verdana"/>
          <w:sz w:val="20"/>
          <w:szCs w:val="20"/>
        </w:rPr>
      </w:pPr>
      <w:r w:rsidRPr="00CA0FD1">
        <w:rPr>
          <w:rFonts w:ascii="Verdana" w:hAnsi="Verdana"/>
          <w:sz w:val="20"/>
          <w:szCs w:val="20"/>
        </w:rPr>
        <w:t xml:space="preserve">Akin to the social dimension, lifelong learning is accredited for its aim to provide learning opportunities for more diverse student population. The social dimension and lifelong learning are interwoven themes that share such central issues as the provision of appropriate education support, guidance and </w:t>
      </w:r>
      <w:r w:rsidR="00E012CD" w:rsidRPr="00CA0FD1">
        <w:rPr>
          <w:rFonts w:ascii="Verdana" w:hAnsi="Verdana"/>
          <w:sz w:val="20"/>
          <w:szCs w:val="20"/>
        </w:rPr>
        <w:t>counseling</w:t>
      </w:r>
      <w:r w:rsidRPr="00CA0FD1">
        <w:rPr>
          <w:rFonts w:ascii="Verdana" w:hAnsi="Verdana"/>
          <w:sz w:val="20"/>
          <w:szCs w:val="20"/>
        </w:rPr>
        <w:t>, student-</w:t>
      </w:r>
      <w:proofErr w:type="spellStart"/>
      <w:r>
        <w:rPr>
          <w:rFonts w:ascii="Verdana" w:hAnsi="Verdana"/>
          <w:sz w:val="20"/>
          <w:szCs w:val="20"/>
        </w:rPr>
        <w:t>ce</w:t>
      </w:r>
      <w:r w:rsidRPr="00CA0FD1">
        <w:rPr>
          <w:rFonts w:ascii="Verdana" w:hAnsi="Verdana"/>
          <w:sz w:val="20"/>
          <w:szCs w:val="20"/>
        </w:rPr>
        <w:t>ntred</w:t>
      </w:r>
      <w:proofErr w:type="spellEnd"/>
      <w:r w:rsidRPr="00CA0FD1">
        <w:rPr>
          <w:rFonts w:ascii="Verdana" w:hAnsi="Verdana"/>
          <w:sz w:val="20"/>
          <w:szCs w:val="20"/>
        </w:rPr>
        <w:t xml:space="preserve"> learning, and rec</w:t>
      </w:r>
      <w:r>
        <w:rPr>
          <w:rFonts w:ascii="Verdana" w:hAnsi="Verdana"/>
          <w:sz w:val="20"/>
          <w:szCs w:val="20"/>
        </w:rPr>
        <w:t>ognition of prior learning</w:t>
      </w:r>
      <w:r w:rsidRPr="00CA0FD1">
        <w:rPr>
          <w:rFonts w:ascii="Verdana" w:hAnsi="Verdana"/>
          <w:sz w:val="20"/>
          <w:szCs w:val="20"/>
        </w:rPr>
        <w:t>. In the context of the EHEA, access and equity are critical to lifelong learning, and lifelong learning itself is critical to advancing the social dimension of higher education in its integrity.</w:t>
      </w:r>
    </w:p>
    <w:p w14:paraId="1317F6E4" w14:textId="6954A47A" w:rsidR="00431E6B" w:rsidRDefault="00D77A27" w:rsidP="00A21671">
      <w:pPr>
        <w:widowControl w:val="0"/>
        <w:autoSpaceDE w:val="0"/>
        <w:autoSpaceDN w:val="0"/>
        <w:adjustRightInd w:val="0"/>
        <w:spacing w:after="360" w:line="288" w:lineRule="auto"/>
        <w:ind w:right="-771"/>
        <w:jc w:val="both"/>
        <w:rPr>
          <w:rFonts w:ascii="Verdana" w:hAnsi="Verdana"/>
          <w:sz w:val="20"/>
          <w:szCs w:val="20"/>
        </w:rPr>
      </w:pPr>
      <w:r>
        <w:rPr>
          <w:rFonts w:ascii="Verdana" w:hAnsi="Verdana"/>
          <w:sz w:val="20"/>
          <w:szCs w:val="20"/>
        </w:rPr>
        <w:t xml:space="preserve">Taking into account the </w:t>
      </w:r>
      <w:proofErr w:type="spellStart"/>
      <w:r>
        <w:rPr>
          <w:rFonts w:ascii="Verdana" w:hAnsi="Verdana"/>
          <w:sz w:val="20"/>
          <w:szCs w:val="20"/>
        </w:rPr>
        <w:t>interlinkages</w:t>
      </w:r>
      <w:proofErr w:type="spellEnd"/>
      <w:r>
        <w:rPr>
          <w:rFonts w:ascii="Verdana" w:hAnsi="Verdana"/>
          <w:sz w:val="20"/>
          <w:szCs w:val="20"/>
        </w:rPr>
        <w:t xml:space="preserve"> between the two policy areas, in its 2012-2015 work </w:t>
      </w:r>
      <w:proofErr w:type="spellStart"/>
      <w:r>
        <w:rPr>
          <w:rFonts w:ascii="Verdana" w:hAnsi="Verdana"/>
          <w:sz w:val="20"/>
          <w:szCs w:val="20"/>
        </w:rPr>
        <w:t>programme</w:t>
      </w:r>
      <w:proofErr w:type="spellEnd"/>
      <w:r>
        <w:rPr>
          <w:rFonts w:ascii="Verdana" w:hAnsi="Verdana"/>
          <w:sz w:val="20"/>
          <w:szCs w:val="20"/>
        </w:rPr>
        <w:t xml:space="preserve"> the BFUG decided to </w:t>
      </w:r>
      <w:r w:rsidR="002F69BC">
        <w:rPr>
          <w:rFonts w:ascii="Verdana" w:hAnsi="Verdana"/>
          <w:sz w:val="20"/>
          <w:szCs w:val="20"/>
        </w:rPr>
        <w:t xml:space="preserve">establish a single </w:t>
      </w:r>
      <w:r w:rsidR="008768E5">
        <w:rPr>
          <w:rFonts w:ascii="Verdana" w:hAnsi="Verdana"/>
          <w:sz w:val="20"/>
          <w:szCs w:val="20"/>
        </w:rPr>
        <w:t>Social Dimension and Lifelong Learning Working Group (SD&amp;LLL WG).</w:t>
      </w:r>
      <w:r w:rsidR="00431E6B">
        <w:rPr>
          <w:rFonts w:ascii="Verdana" w:hAnsi="Verdana"/>
          <w:sz w:val="20"/>
          <w:szCs w:val="20"/>
        </w:rPr>
        <w:t xml:space="preserve"> </w:t>
      </w:r>
    </w:p>
    <w:p w14:paraId="19673E1B" w14:textId="3C620096" w:rsidR="006E05F8" w:rsidRPr="00AA6518" w:rsidRDefault="006E05F8" w:rsidP="00A21671">
      <w:pPr>
        <w:pStyle w:val="Heading2"/>
        <w:spacing w:after="120"/>
        <w:rPr>
          <w:rFonts w:eastAsia="ＭＳ 明朝"/>
        </w:rPr>
      </w:pPr>
      <w:bookmarkStart w:id="6" w:name="_Toc283387963"/>
      <w:r w:rsidRPr="00AA6518">
        <w:t>About the report</w:t>
      </w:r>
      <w:bookmarkEnd w:id="6"/>
    </w:p>
    <w:p w14:paraId="28C64AE8" w14:textId="77777777" w:rsidR="00162EE2" w:rsidRDefault="00EA6649" w:rsidP="000119E7">
      <w:pPr>
        <w:spacing w:after="120" w:line="288" w:lineRule="auto"/>
        <w:ind w:right="-772"/>
        <w:jc w:val="both"/>
        <w:rPr>
          <w:rFonts w:ascii="Verdana" w:hAnsi="Verdana"/>
          <w:sz w:val="20"/>
          <w:szCs w:val="20"/>
        </w:rPr>
      </w:pPr>
      <w:r>
        <w:rPr>
          <w:rFonts w:ascii="Verdana" w:hAnsi="Verdana"/>
          <w:sz w:val="20"/>
          <w:szCs w:val="20"/>
        </w:rPr>
        <w:t>The present report</w:t>
      </w:r>
      <w:r w:rsidR="00E012CD">
        <w:rPr>
          <w:rFonts w:ascii="Verdana" w:hAnsi="Verdana"/>
          <w:sz w:val="20"/>
          <w:szCs w:val="20"/>
        </w:rPr>
        <w:t>,</w:t>
      </w:r>
      <w:r w:rsidR="00E012CD" w:rsidRPr="00E012CD">
        <w:rPr>
          <w:rFonts w:ascii="Verdana" w:hAnsi="Verdana"/>
          <w:sz w:val="20"/>
          <w:szCs w:val="20"/>
        </w:rPr>
        <w:t xml:space="preserve"> </w:t>
      </w:r>
      <w:r w:rsidR="00E012CD">
        <w:rPr>
          <w:rFonts w:ascii="Verdana" w:hAnsi="Verdana"/>
          <w:sz w:val="20"/>
          <w:szCs w:val="20"/>
        </w:rPr>
        <w:t>technical in its essence,</w:t>
      </w:r>
      <w:r>
        <w:rPr>
          <w:rFonts w:ascii="Verdana" w:hAnsi="Verdana"/>
          <w:sz w:val="20"/>
          <w:szCs w:val="20"/>
        </w:rPr>
        <w:t xml:space="preserve"> is prepared by the members of the 2012-2015 BFUG Working Group on the Social </w:t>
      </w:r>
      <w:r w:rsidR="00582211">
        <w:rPr>
          <w:rFonts w:ascii="Verdana" w:hAnsi="Verdana"/>
          <w:sz w:val="20"/>
          <w:szCs w:val="20"/>
        </w:rPr>
        <w:t xml:space="preserve">Dimension and Lifelong Learning </w:t>
      </w:r>
      <w:r w:rsidR="00805B57">
        <w:rPr>
          <w:rFonts w:ascii="Verdana" w:hAnsi="Verdana"/>
          <w:sz w:val="20"/>
          <w:szCs w:val="20"/>
        </w:rPr>
        <w:t xml:space="preserve">(SD&amp;LLL WG) </w:t>
      </w:r>
      <w:r w:rsidR="00582211">
        <w:rPr>
          <w:rFonts w:ascii="Verdana" w:hAnsi="Verdana"/>
          <w:sz w:val="20"/>
          <w:szCs w:val="20"/>
        </w:rPr>
        <w:t>and</w:t>
      </w:r>
      <w:r w:rsidR="005D6601">
        <w:rPr>
          <w:rFonts w:ascii="Verdana" w:hAnsi="Verdana"/>
          <w:sz w:val="20"/>
          <w:szCs w:val="20"/>
        </w:rPr>
        <w:t xml:space="preserve"> </w:t>
      </w:r>
      <w:r w:rsidR="00582211">
        <w:rPr>
          <w:rFonts w:ascii="Verdana" w:hAnsi="Verdana"/>
          <w:sz w:val="20"/>
          <w:szCs w:val="20"/>
        </w:rPr>
        <w:t xml:space="preserve">details the work carried out in the period. The report starts with a brief historical overview of </w:t>
      </w:r>
      <w:r w:rsidR="00162EE2" w:rsidRPr="00582211">
        <w:rPr>
          <w:rFonts w:ascii="Verdana" w:hAnsi="Verdana"/>
          <w:sz w:val="20"/>
          <w:szCs w:val="20"/>
        </w:rPr>
        <w:t>the social dimension and lifelong learning i</w:t>
      </w:r>
      <w:r w:rsidR="000119E7">
        <w:rPr>
          <w:rFonts w:ascii="Verdana" w:hAnsi="Verdana"/>
          <w:sz w:val="20"/>
          <w:szCs w:val="20"/>
        </w:rPr>
        <w:t xml:space="preserve">n the Bologna Process, then turns to </w:t>
      </w:r>
      <w:r w:rsidR="00162EE2" w:rsidRPr="000119E7">
        <w:rPr>
          <w:rFonts w:ascii="Verdana" w:hAnsi="Verdana"/>
          <w:sz w:val="20"/>
          <w:szCs w:val="20"/>
        </w:rPr>
        <w:t xml:space="preserve">the synergies and areas of complementarity between the social </w:t>
      </w:r>
      <w:r w:rsidR="000119E7">
        <w:rPr>
          <w:rFonts w:ascii="Verdana" w:hAnsi="Verdana"/>
          <w:sz w:val="20"/>
          <w:szCs w:val="20"/>
        </w:rPr>
        <w:t>dimension and lifelong learning in the European Higher Education Area</w:t>
      </w:r>
      <w:r w:rsidR="00805B57">
        <w:rPr>
          <w:rFonts w:ascii="Verdana" w:hAnsi="Verdana"/>
          <w:sz w:val="20"/>
          <w:szCs w:val="20"/>
        </w:rPr>
        <w:t xml:space="preserve"> (EHEA)</w:t>
      </w:r>
      <w:r w:rsidR="000119E7">
        <w:rPr>
          <w:rFonts w:ascii="Verdana" w:hAnsi="Verdana"/>
          <w:sz w:val="20"/>
          <w:szCs w:val="20"/>
        </w:rPr>
        <w:t>.</w:t>
      </w:r>
    </w:p>
    <w:p w14:paraId="5A34697E" w14:textId="77777777" w:rsidR="006E05F8" w:rsidRDefault="00805B57" w:rsidP="00A21671">
      <w:pPr>
        <w:pStyle w:val="NormalWeb"/>
        <w:spacing w:after="360" w:afterAutospacing="0" w:line="288" w:lineRule="auto"/>
        <w:ind w:right="-913"/>
        <w:jc w:val="both"/>
        <w:rPr>
          <w:rFonts w:ascii="Verdana" w:hAnsi="Verdana"/>
        </w:rPr>
      </w:pPr>
      <w:r>
        <w:rPr>
          <w:rFonts w:ascii="Verdana" w:hAnsi="Verdana"/>
        </w:rPr>
        <w:t xml:space="preserve">Furthermore, </w:t>
      </w:r>
      <w:r w:rsidR="004F29D1">
        <w:rPr>
          <w:rFonts w:ascii="Verdana" w:hAnsi="Verdana"/>
        </w:rPr>
        <w:t xml:space="preserve">SD&amp;LLL WG’s mandate and membership </w:t>
      </w:r>
      <w:r w:rsidR="00162EE2" w:rsidRPr="004F29D1">
        <w:rPr>
          <w:rFonts w:ascii="Verdana" w:hAnsi="Verdana"/>
        </w:rPr>
        <w:t xml:space="preserve">as well as the achievement of the WG’s action plan </w:t>
      </w:r>
      <w:r w:rsidR="00004150">
        <w:rPr>
          <w:rFonts w:ascii="Verdana" w:hAnsi="Verdana"/>
        </w:rPr>
        <w:t>are introduced</w:t>
      </w:r>
      <w:r w:rsidR="009D7941">
        <w:rPr>
          <w:rFonts w:ascii="Verdana" w:hAnsi="Verdana"/>
        </w:rPr>
        <w:t xml:space="preserve">. </w:t>
      </w:r>
      <w:r w:rsidR="00AB57AE">
        <w:rPr>
          <w:rFonts w:ascii="Verdana" w:hAnsi="Verdana"/>
        </w:rPr>
        <w:t xml:space="preserve">This section also </w:t>
      </w:r>
      <w:r w:rsidR="00DA647D">
        <w:rPr>
          <w:rFonts w:ascii="Verdana" w:hAnsi="Verdana"/>
        </w:rPr>
        <w:t>includes the inputs from the four thematic groups (TGs)</w:t>
      </w:r>
      <w:r w:rsidR="00AB57AE">
        <w:rPr>
          <w:rFonts w:ascii="Verdana" w:hAnsi="Verdana"/>
        </w:rPr>
        <w:t xml:space="preserve"> established under the WG </w:t>
      </w:r>
      <w:r w:rsidR="007712B9">
        <w:rPr>
          <w:rFonts w:ascii="Verdana" w:hAnsi="Verdana"/>
        </w:rPr>
        <w:t xml:space="preserve">to </w:t>
      </w:r>
      <w:r w:rsidR="00E25D22">
        <w:rPr>
          <w:rFonts w:ascii="Verdana" w:hAnsi="Verdana"/>
        </w:rPr>
        <w:t>take further</w:t>
      </w:r>
      <w:r w:rsidR="00AB57AE">
        <w:rPr>
          <w:rFonts w:ascii="Verdana" w:hAnsi="Verdana"/>
        </w:rPr>
        <w:t xml:space="preserve"> the goals identified in the action plan. </w:t>
      </w:r>
      <w:r w:rsidR="00511338">
        <w:rPr>
          <w:rFonts w:ascii="Verdana" w:hAnsi="Verdana"/>
        </w:rPr>
        <w:t xml:space="preserve">In addition, the document provides a </w:t>
      </w:r>
      <w:r w:rsidR="00511338" w:rsidRPr="00511338">
        <w:rPr>
          <w:rFonts w:ascii="Verdana" w:hAnsi="Verdana"/>
        </w:rPr>
        <w:t xml:space="preserve">report of activities of the </w:t>
      </w:r>
      <w:r w:rsidR="00511338">
        <w:rPr>
          <w:rFonts w:ascii="Verdana" w:hAnsi="Verdana"/>
        </w:rPr>
        <w:t>Peer Learning for the Social Dimension (</w:t>
      </w:r>
      <w:r w:rsidR="00511338" w:rsidRPr="00511338">
        <w:rPr>
          <w:rFonts w:ascii="Verdana" w:hAnsi="Verdana"/>
        </w:rPr>
        <w:t>PL4SD</w:t>
      </w:r>
      <w:r w:rsidR="00511338">
        <w:rPr>
          <w:rFonts w:ascii="Verdana" w:hAnsi="Verdana"/>
        </w:rPr>
        <w:t>)</w:t>
      </w:r>
      <w:r w:rsidR="00511338" w:rsidRPr="00511338">
        <w:rPr>
          <w:rFonts w:ascii="Verdana" w:hAnsi="Verdana"/>
        </w:rPr>
        <w:t xml:space="preserve"> proje</w:t>
      </w:r>
      <w:r w:rsidR="00511338">
        <w:rPr>
          <w:rFonts w:ascii="Verdana" w:hAnsi="Verdana"/>
        </w:rPr>
        <w:t>ct</w:t>
      </w:r>
      <w:r w:rsidR="00FA342D">
        <w:rPr>
          <w:rFonts w:ascii="Verdana" w:hAnsi="Verdana"/>
        </w:rPr>
        <w:t xml:space="preserve"> as of November 2014</w:t>
      </w:r>
      <w:r w:rsidR="00511338">
        <w:rPr>
          <w:rFonts w:ascii="Verdana" w:hAnsi="Verdana"/>
        </w:rPr>
        <w:t xml:space="preserve"> and puts forward proposals for its future.</w:t>
      </w:r>
      <w:r w:rsidR="00431E6B">
        <w:rPr>
          <w:rFonts w:ascii="Verdana" w:hAnsi="Verdana"/>
        </w:rPr>
        <w:t xml:space="preserve"> </w:t>
      </w:r>
    </w:p>
    <w:p w14:paraId="27BFDDFE" w14:textId="0C36F6F6" w:rsidR="00C95F2F" w:rsidRDefault="00236D0F" w:rsidP="009C57E0">
      <w:pPr>
        <w:pStyle w:val="Heading2"/>
      </w:pPr>
      <w:bookmarkStart w:id="7" w:name="_Toc283387964"/>
      <w:r>
        <w:t>K</w:t>
      </w:r>
      <w:r w:rsidR="009F0CA5">
        <w:t>ey</w:t>
      </w:r>
      <w:r w:rsidR="008C1451">
        <w:t xml:space="preserve"> r</w:t>
      </w:r>
      <w:r w:rsidR="00C95F2F">
        <w:t>ecommendations</w:t>
      </w:r>
      <w:bookmarkEnd w:id="7"/>
    </w:p>
    <w:p w14:paraId="70003E0F" w14:textId="77777777" w:rsidR="00236D0F" w:rsidRDefault="00236D0F" w:rsidP="003749B4">
      <w:pPr>
        <w:spacing w:before="240" w:after="120" w:line="288" w:lineRule="auto"/>
        <w:ind w:right="-913"/>
        <w:jc w:val="both"/>
        <w:rPr>
          <w:rFonts w:ascii="Verdana" w:hAnsi="Verdana"/>
          <w:sz w:val="20"/>
          <w:szCs w:val="20"/>
        </w:rPr>
      </w:pPr>
      <w:r>
        <w:rPr>
          <w:rFonts w:ascii="Verdana" w:hAnsi="Verdana"/>
          <w:sz w:val="20"/>
          <w:szCs w:val="20"/>
        </w:rPr>
        <w:t xml:space="preserve">The SD&amp;LLL WG puts forward two main recommendations </w:t>
      </w:r>
      <w:r w:rsidRPr="003E2E43">
        <w:rPr>
          <w:rFonts w:ascii="Verdana" w:hAnsi="Verdana"/>
          <w:sz w:val="20"/>
          <w:szCs w:val="20"/>
        </w:rPr>
        <w:t>for adoption by the Ministers in Yerevan in 2015</w:t>
      </w:r>
      <w:r>
        <w:rPr>
          <w:rFonts w:ascii="Verdana" w:hAnsi="Verdana"/>
          <w:sz w:val="20"/>
          <w:szCs w:val="20"/>
        </w:rPr>
        <w:t>:</w:t>
      </w:r>
    </w:p>
    <w:p w14:paraId="66E3B7F1" w14:textId="143C405C" w:rsidR="00236D0F" w:rsidRDefault="00236D0F" w:rsidP="003749B4">
      <w:pPr>
        <w:spacing w:before="240" w:after="120" w:line="288" w:lineRule="auto"/>
        <w:ind w:right="-913"/>
        <w:jc w:val="both"/>
        <w:rPr>
          <w:rFonts w:ascii="Verdana" w:hAnsi="Verdana"/>
          <w:sz w:val="20"/>
          <w:szCs w:val="20"/>
        </w:rPr>
      </w:pPr>
      <w:proofErr w:type="spellStart"/>
      <w:r>
        <w:rPr>
          <w:rFonts w:ascii="Verdana" w:hAnsi="Verdana"/>
          <w:sz w:val="20"/>
          <w:szCs w:val="20"/>
        </w:rPr>
        <w:t>i</w:t>
      </w:r>
      <w:proofErr w:type="spellEnd"/>
      <w:r>
        <w:rPr>
          <w:rFonts w:ascii="Verdana" w:hAnsi="Verdana"/>
          <w:sz w:val="20"/>
          <w:szCs w:val="20"/>
        </w:rPr>
        <w:t xml:space="preserve">) </w:t>
      </w:r>
      <w:proofErr w:type="gramStart"/>
      <w:r>
        <w:rPr>
          <w:rFonts w:ascii="Verdana" w:hAnsi="Verdana"/>
          <w:sz w:val="20"/>
          <w:szCs w:val="20"/>
        </w:rPr>
        <w:t>to</w:t>
      </w:r>
      <w:proofErr w:type="gramEnd"/>
      <w:r>
        <w:rPr>
          <w:rFonts w:ascii="Verdana" w:hAnsi="Verdana"/>
          <w:sz w:val="20"/>
          <w:szCs w:val="20"/>
        </w:rPr>
        <w:t xml:space="preserve"> endorse</w:t>
      </w:r>
      <w:r w:rsidRPr="003E2E43">
        <w:rPr>
          <w:rFonts w:ascii="Verdana" w:hAnsi="Verdana"/>
          <w:b/>
          <w:sz w:val="20"/>
          <w:szCs w:val="20"/>
        </w:rPr>
        <w:t xml:space="preserve"> </w:t>
      </w:r>
      <w:r w:rsidR="00E05321" w:rsidRPr="003E2E43">
        <w:rPr>
          <w:rFonts w:ascii="Verdana" w:hAnsi="Verdana"/>
          <w:b/>
          <w:sz w:val="20"/>
          <w:szCs w:val="20"/>
        </w:rPr>
        <w:t>“Widening Participation for Equity and Growth - A Strategy for the Development of the Social Dimension and Lifelong Learning in the European Higher Education Area to 2020”</w:t>
      </w:r>
      <w:r w:rsidR="00E05321">
        <w:rPr>
          <w:rFonts w:ascii="Verdana" w:hAnsi="Verdana"/>
          <w:b/>
          <w:sz w:val="20"/>
          <w:szCs w:val="20"/>
        </w:rPr>
        <w:t xml:space="preserve"> </w:t>
      </w:r>
      <w:r w:rsidR="00E25D22" w:rsidRPr="003E2E43">
        <w:rPr>
          <w:rFonts w:ascii="Verdana" w:hAnsi="Verdana"/>
          <w:sz w:val="20"/>
          <w:szCs w:val="20"/>
        </w:rPr>
        <w:t xml:space="preserve">to support the </w:t>
      </w:r>
      <w:r w:rsidR="009E2663" w:rsidRPr="003E2E43">
        <w:rPr>
          <w:rFonts w:ascii="Verdana" w:hAnsi="Verdana"/>
          <w:sz w:val="20"/>
          <w:szCs w:val="20"/>
        </w:rPr>
        <w:t>EHEA</w:t>
      </w:r>
      <w:r w:rsidR="00E25D22" w:rsidRPr="003E2E43">
        <w:rPr>
          <w:rFonts w:ascii="Verdana" w:hAnsi="Verdana"/>
          <w:sz w:val="20"/>
          <w:szCs w:val="20"/>
        </w:rPr>
        <w:t xml:space="preserve"> countries in the d</w:t>
      </w:r>
      <w:r w:rsidR="009E2663" w:rsidRPr="003E2E43">
        <w:rPr>
          <w:rFonts w:ascii="Verdana" w:hAnsi="Verdana"/>
          <w:sz w:val="20"/>
          <w:szCs w:val="20"/>
        </w:rPr>
        <w:t xml:space="preserve">evelopment of </w:t>
      </w:r>
      <w:r w:rsidR="009E2663" w:rsidRPr="003E2E43">
        <w:rPr>
          <w:rFonts w:ascii="Verdana" w:hAnsi="Verdana"/>
          <w:sz w:val="20"/>
          <w:szCs w:val="20"/>
        </w:rPr>
        <w:lastRenderedPageBreak/>
        <w:t>effective national plans or strategies</w:t>
      </w:r>
      <w:r w:rsidR="00E25D22" w:rsidRPr="003E2E43">
        <w:rPr>
          <w:rFonts w:ascii="Verdana" w:hAnsi="Verdana"/>
          <w:sz w:val="20"/>
          <w:szCs w:val="20"/>
        </w:rPr>
        <w:t xml:space="preserve"> to ensure greater access to quality higher education for non-traditional learners and students</w:t>
      </w:r>
      <w:r w:rsidR="00836444" w:rsidRPr="003E2E43">
        <w:rPr>
          <w:rFonts w:ascii="Verdana" w:hAnsi="Verdana"/>
          <w:sz w:val="20"/>
          <w:szCs w:val="20"/>
        </w:rPr>
        <w:t xml:space="preserve"> from disadvantaged backgrounds</w:t>
      </w:r>
      <w:r w:rsidR="00836444" w:rsidRPr="003E2E43">
        <w:rPr>
          <w:rFonts w:ascii="Verdana" w:hAnsi="Verdana"/>
          <w:b/>
          <w:sz w:val="20"/>
          <w:szCs w:val="20"/>
        </w:rPr>
        <w:t>.</w:t>
      </w:r>
      <w:r w:rsidR="007712B9" w:rsidRPr="003E2E43">
        <w:rPr>
          <w:rFonts w:ascii="Verdana" w:hAnsi="Verdana"/>
          <w:sz w:val="20"/>
          <w:szCs w:val="20"/>
        </w:rPr>
        <w:t xml:space="preserve"> </w:t>
      </w:r>
      <w:r w:rsidR="003E2E43">
        <w:rPr>
          <w:rFonts w:ascii="Verdana" w:hAnsi="Verdana"/>
          <w:sz w:val="20"/>
          <w:szCs w:val="20"/>
        </w:rPr>
        <w:t xml:space="preserve"> </w:t>
      </w:r>
    </w:p>
    <w:p w14:paraId="46D256F8" w14:textId="5C23A98E" w:rsidR="00A04330" w:rsidRDefault="00E111C8" w:rsidP="003749B4">
      <w:pPr>
        <w:spacing w:before="240" w:after="120" w:line="288" w:lineRule="auto"/>
        <w:ind w:right="-913"/>
        <w:jc w:val="both"/>
        <w:rPr>
          <w:rFonts w:ascii="Verdana" w:hAnsi="Verdana"/>
          <w:b/>
          <w:sz w:val="20"/>
          <w:szCs w:val="20"/>
        </w:rPr>
      </w:pPr>
      <w:r>
        <w:rPr>
          <w:rFonts w:ascii="Verdana" w:hAnsi="Verdana"/>
          <w:sz w:val="20"/>
          <w:szCs w:val="20"/>
        </w:rPr>
        <w:t xml:space="preserve">ii) </w:t>
      </w:r>
      <w:r w:rsidR="00236D0F">
        <w:rPr>
          <w:rFonts w:ascii="Verdana" w:hAnsi="Verdana"/>
          <w:sz w:val="20"/>
          <w:szCs w:val="20"/>
        </w:rPr>
        <w:t>to endorse</w:t>
      </w:r>
      <w:r w:rsidR="003E2E43" w:rsidRPr="003E2E43">
        <w:rPr>
          <w:rFonts w:ascii="Verdana" w:hAnsi="Verdana"/>
          <w:sz w:val="20"/>
          <w:szCs w:val="20"/>
        </w:rPr>
        <w:t xml:space="preserve"> t</w:t>
      </w:r>
      <w:r w:rsidR="003E2E43">
        <w:rPr>
          <w:rFonts w:ascii="Verdana" w:hAnsi="Verdana"/>
          <w:sz w:val="20"/>
          <w:szCs w:val="20"/>
        </w:rPr>
        <w:t>he work of the PL4SD initiative to date</w:t>
      </w:r>
      <w:r w:rsidR="003E2E43" w:rsidRPr="003E2E43">
        <w:rPr>
          <w:rFonts w:ascii="Verdana" w:hAnsi="Verdana"/>
          <w:sz w:val="20"/>
          <w:szCs w:val="20"/>
        </w:rPr>
        <w:t xml:space="preserve"> through its database and conferences, </w:t>
      </w:r>
      <w:r w:rsidR="00236D0F">
        <w:rPr>
          <w:rFonts w:ascii="Verdana" w:hAnsi="Verdana"/>
          <w:sz w:val="20"/>
          <w:szCs w:val="20"/>
        </w:rPr>
        <w:t xml:space="preserve">to </w:t>
      </w:r>
      <w:r w:rsidR="003E2E43" w:rsidRPr="003E2E43">
        <w:rPr>
          <w:rFonts w:ascii="Verdana" w:hAnsi="Verdana"/>
          <w:sz w:val="20"/>
          <w:szCs w:val="20"/>
        </w:rPr>
        <w:t xml:space="preserve">note the imminent publication of the initial three peer reviews of EHEA member countries and </w:t>
      </w:r>
      <w:r>
        <w:rPr>
          <w:rFonts w:ascii="Verdana" w:hAnsi="Verdana"/>
          <w:b/>
          <w:sz w:val="20"/>
          <w:szCs w:val="20"/>
        </w:rPr>
        <w:t xml:space="preserve">to </w:t>
      </w:r>
      <w:r w:rsidR="003E2E43" w:rsidRPr="003E2E43">
        <w:rPr>
          <w:rFonts w:ascii="Verdana" w:hAnsi="Verdana"/>
          <w:b/>
          <w:sz w:val="20"/>
          <w:szCs w:val="20"/>
        </w:rPr>
        <w:t xml:space="preserve">support the continuation of the </w:t>
      </w:r>
      <w:r w:rsidR="003E2E43">
        <w:rPr>
          <w:rFonts w:ascii="Verdana" w:hAnsi="Verdana"/>
          <w:b/>
          <w:sz w:val="20"/>
          <w:szCs w:val="20"/>
        </w:rPr>
        <w:t xml:space="preserve">PL4SD </w:t>
      </w:r>
      <w:r w:rsidR="003E2E43" w:rsidRPr="003E2E43">
        <w:rPr>
          <w:rFonts w:ascii="Verdana" w:hAnsi="Verdana"/>
          <w:b/>
          <w:sz w:val="20"/>
          <w:szCs w:val="20"/>
        </w:rPr>
        <w:t>initiative beyond September 2015.</w:t>
      </w:r>
    </w:p>
    <w:p w14:paraId="0E5F4F93" w14:textId="77777777" w:rsidR="00A04330" w:rsidRPr="003E2E43" w:rsidRDefault="00A04330" w:rsidP="00852F86">
      <w:pPr>
        <w:pStyle w:val="Heading1"/>
      </w:pPr>
      <w:bookmarkStart w:id="8" w:name="_Toc283387965"/>
      <w:r>
        <w:t>1. Introduction</w:t>
      </w:r>
      <w:bookmarkEnd w:id="8"/>
    </w:p>
    <w:p w14:paraId="797C67F5" w14:textId="2944DFAA" w:rsidR="00162EE2" w:rsidRPr="00321323" w:rsidRDefault="00002CDF" w:rsidP="003749B4">
      <w:pPr>
        <w:pStyle w:val="Heading2"/>
        <w:spacing w:before="360" w:after="120" w:line="288" w:lineRule="auto"/>
        <w:rPr>
          <w:rStyle w:val="Strong"/>
          <w:rFonts w:ascii="Verdana" w:hAnsi="Verdana"/>
          <w:i w:val="0"/>
          <w:sz w:val="20"/>
          <w:szCs w:val="20"/>
        </w:rPr>
      </w:pPr>
      <w:bookmarkStart w:id="9" w:name="_Toc278555189"/>
      <w:bookmarkStart w:id="10" w:name="_Toc278625891"/>
      <w:bookmarkStart w:id="11" w:name="_Toc283387966"/>
      <w:r>
        <w:rPr>
          <w:rStyle w:val="Strong"/>
          <w:rFonts w:ascii="Verdana" w:hAnsi="Verdana"/>
          <w:i w:val="0"/>
          <w:sz w:val="20"/>
          <w:szCs w:val="20"/>
        </w:rPr>
        <w:t>1.1</w:t>
      </w:r>
      <w:r w:rsidR="00092204">
        <w:rPr>
          <w:rStyle w:val="Strong"/>
          <w:rFonts w:ascii="Verdana" w:hAnsi="Verdana"/>
          <w:i w:val="0"/>
          <w:sz w:val="20"/>
          <w:szCs w:val="20"/>
        </w:rPr>
        <w:t xml:space="preserve">. </w:t>
      </w:r>
      <w:r w:rsidR="00162EE2" w:rsidRPr="00321323">
        <w:rPr>
          <w:rStyle w:val="Strong"/>
          <w:rFonts w:ascii="Verdana" w:hAnsi="Verdana"/>
          <w:i w:val="0"/>
          <w:sz w:val="20"/>
          <w:szCs w:val="20"/>
        </w:rPr>
        <w:t>Context</w:t>
      </w:r>
      <w:bookmarkEnd w:id="9"/>
      <w:bookmarkEnd w:id="10"/>
      <w:bookmarkEnd w:id="11"/>
    </w:p>
    <w:p w14:paraId="34AD0CA1" w14:textId="77777777" w:rsidR="00162EE2" w:rsidRDefault="00162EE2" w:rsidP="00092204">
      <w:pPr>
        <w:pStyle w:val="Default"/>
        <w:spacing w:after="120" w:line="288" w:lineRule="auto"/>
        <w:ind w:right="-772"/>
        <w:jc w:val="both"/>
        <w:rPr>
          <w:rFonts w:ascii="Verdana" w:hAnsi="Verdana"/>
          <w:sz w:val="20"/>
          <w:szCs w:val="20"/>
        </w:rPr>
      </w:pPr>
      <w:r w:rsidRPr="00FC3653">
        <w:rPr>
          <w:rFonts w:ascii="Verdana" w:hAnsi="Verdana"/>
          <w:sz w:val="20"/>
          <w:szCs w:val="20"/>
        </w:rPr>
        <w:t>The social dimension entered the Bologna agenda later than most other policy areas in 2001, whereas lifelong learning has been on the Bologna agenda ever since its inception. However, the two issues gained particular prominence in the Prague Communiqué in 2001</w:t>
      </w:r>
      <w:r w:rsidRPr="00FC3653">
        <w:rPr>
          <w:rStyle w:val="FootnoteReference"/>
          <w:rFonts w:ascii="Verdana" w:hAnsi="Verdana"/>
          <w:sz w:val="20"/>
          <w:szCs w:val="20"/>
        </w:rPr>
        <w:footnoteReference w:id="1"/>
      </w:r>
      <w:r w:rsidRPr="00FC3653">
        <w:rPr>
          <w:rFonts w:ascii="Verdana" w:hAnsi="Verdana"/>
          <w:sz w:val="20"/>
          <w:szCs w:val="20"/>
        </w:rPr>
        <w:t xml:space="preserve">. Within this Communiqué the social dimension was mainly viewed from the students’ inclusion and student mobility perspective. In the following years social cohesion of student population, and in general, equal access to higher education regardless of gender, ethnicity, social status, etc. became an integral part of the social dimension. </w:t>
      </w:r>
    </w:p>
    <w:p w14:paraId="6DCA423E" w14:textId="77777777" w:rsidR="00162EE2" w:rsidRDefault="00162EE2" w:rsidP="00092204">
      <w:pPr>
        <w:pStyle w:val="Default"/>
        <w:spacing w:after="120" w:line="288" w:lineRule="auto"/>
        <w:ind w:right="-772"/>
        <w:jc w:val="both"/>
        <w:rPr>
          <w:rFonts w:ascii="Verdana" w:hAnsi="Verdana"/>
          <w:sz w:val="20"/>
          <w:szCs w:val="20"/>
        </w:rPr>
      </w:pPr>
      <w:r w:rsidRPr="00FC3653">
        <w:rPr>
          <w:rFonts w:ascii="Verdana" w:hAnsi="Verdana"/>
          <w:sz w:val="20"/>
          <w:szCs w:val="20"/>
        </w:rPr>
        <w:t>In 2007 in London a comprehensive definition of the social dimension</w:t>
      </w:r>
      <w:r>
        <w:rPr>
          <w:rFonts w:ascii="Verdana" w:hAnsi="Verdana"/>
          <w:sz w:val="20"/>
          <w:szCs w:val="20"/>
        </w:rPr>
        <w:t xml:space="preserve"> was developed which</w:t>
      </w:r>
      <w:r w:rsidRPr="00FC3653">
        <w:rPr>
          <w:rFonts w:ascii="Verdana" w:hAnsi="Verdana"/>
          <w:sz w:val="20"/>
          <w:szCs w:val="20"/>
        </w:rPr>
        <w:t xml:space="preserve"> </w:t>
      </w:r>
      <w:r>
        <w:rPr>
          <w:rFonts w:ascii="Verdana" w:hAnsi="Verdana"/>
          <w:sz w:val="20"/>
          <w:szCs w:val="20"/>
        </w:rPr>
        <w:t>indicates,</w:t>
      </w:r>
      <w:r w:rsidRPr="00FC3653">
        <w:rPr>
          <w:rFonts w:ascii="Verdana" w:hAnsi="Verdana"/>
          <w:sz w:val="20"/>
          <w:szCs w:val="20"/>
        </w:rPr>
        <w:t xml:space="preserve"> “</w:t>
      </w:r>
      <w:proofErr w:type="gramStart"/>
      <w:r w:rsidRPr="00FC3653">
        <w:rPr>
          <w:rFonts w:ascii="Verdana" w:hAnsi="Verdana"/>
          <w:sz w:val="20"/>
          <w:szCs w:val="20"/>
        </w:rPr>
        <w:t>the</w:t>
      </w:r>
      <w:proofErr w:type="gramEnd"/>
      <w:r w:rsidRPr="00FC3653">
        <w:rPr>
          <w:rFonts w:ascii="Verdana" w:hAnsi="Verdana"/>
          <w:sz w:val="20"/>
          <w:szCs w:val="20"/>
        </w:rPr>
        <w:t xml:space="preserve"> student body entering, participating in and completing higher education at all levels should reflect the diversity of our populations”</w:t>
      </w:r>
      <w:r w:rsidRPr="00FC3653">
        <w:rPr>
          <w:rStyle w:val="FootnoteReference"/>
          <w:rFonts w:ascii="Verdana" w:hAnsi="Verdana"/>
          <w:sz w:val="20"/>
          <w:szCs w:val="20"/>
        </w:rPr>
        <w:footnoteReference w:id="2"/>
      </w:r>
      <w:r w:rsidRPr="00FC3653">
        <w:rPr>
          <w:rFonts w:ascii="Verdana" w:hAnsi="Verdana"/>
          <w:sz w:val="20"/>
          <w:szCs w:val="20"/>
        </w:rPr>
        <w:t>. In the same year the Ministers also agreed to report on the progress made in this area and in 2009 decided to set measurable targets for “widening overall participation and increasing participation of underrepresented groups”</w:t>
      </w:r>
      <w:r w:rsidRPr="00FC3653">
        <w:rPr>
          <w:rStyle w:val="FootnoteReference"/>
          <w:rFonts w:ascii="Verdana" w:hAnsi="Verdana"/>
          <w:sz w:val="20"/>
          <w:szCs w:val="20"/>
        </w:rPr>
        <w:footnoteReference w:id="3"/>
      </w:r>
      <w:r w:rsidRPr="00FC3653">
        <w:rPr>
          <w:rFonts w:ascii="Verdana" w:hAnsi="Verdana"/>
          <w:sz w:val="20"/>
          <w:szCs w:val="20"/>
        </w:rPr>
        <w:t xml:space="preserve">. </w:t>
      </w:r>
    </w:p>
    <w:p w14:paraId="035C48DA" w14:textId="77777777" w:rsidR="00162EE2" w:rsidRPr="00FC3653" w:rsidRDefault="00162EE2" w:rsidP="00092204">
      <w:pPr>
        <w:pStyle w:val="Default"/>
        <w:spacing w:after="120" w:line="288" w:lineRule="auto"/>
        <w:ind w:right="-772"/>
        <w:jc w:val="both"/>
        <w:rPr>
          <w:rFonts w:ascii="Verdana" w:hAnsi="Verdana"/>
          <w:sz w:val="20"/>
          <w:szCs w:val="20"/>
        </w:rPr>
      </w:pPr>
      <w:r>
        <w:rPr>
          <w:rFonts w:ascii="Verdana" w:hAnsi="Verdana"/>
          <w:sz w:val="20"/>
          <w:szCs w:val="20"/>
        </w:rPr>
        <w:t>In the Bucharest Communiqué (2012) Ministers reiterated their commitment already expressed in London in 2009 “to step up their</w:t>
      </w:r>
      <w:r w:rsidRPr="00FC3653">
        <w:rPr>
          <w:rFonts w:ascii="Verdana" w:hAnsi="Verdana"/>
          <w:sz w:val="20"/>
          <w:szCs w:val="20"/>
        </w:rPr>
        <w:t xml:space="preserve"> efforts towards underrepresented groups to develop the </w:t>
      </w:r>
      <w:r w:rsidRPr="00165F3B">
        <w:rPr>
          <w:rFonts w:ascii="Verdana" w:hAnsi="Verdana"/>
          <w:bCs/>
          <w:sz w:val="20"/>
          <w:szCs w:val="20"/>
        </w:rPr>
        <w:t>social dimension</w:t>
      </w:r>
      <w:r w:rsidRPr="00FC3653">
        <w:rPr>
          <w:rFonts w:ascii="Verdana" w:hAnsi="Verdana"/>
          <w:b/>
          <w:bCs/>
          <w:sz w:val="20"/>
          <w:szCs w:val="20"/>
        </w:rPr>
        <w:t xml:space="preserve"> </w:t>
      </w:r>
      <w:r w:rsidRPr="00FC3653">
        <w:rPr>
          <w:rFonts w:ascii="Verdana" w:hAnsi="Verdana"/>
          <w:sz w:val="20"/>
          <w:szCs w:val="20"/>
        </w:rPr>
        <w:t>of higher education, reduce inequalities and provide adequate student support services, counseling and guidance, flexible learning paths and alternative access routes, including</w:t>
      </w:r>
      <w:r>
        <w:rPr>
          <w:rFonts w:ascii="Verdana" w:hAnsi="Verdana"/>
          <w:sz w:val="20"/>
          <w:szCs w:val="20"/>
        </w:rPr>
        <w:t xml:space="preserve"> recognition of prior learning”</w:t>
      </w:r>
      <w:r>
        <w:rPr>
          <w:rStyle w:val="FootnoteReference"/>
          <w:rFonts w:ascii="Verdana" w:hAnsi="Verdana"/>
          <w:sz w:val="20"/>
          <w:szCs w:val="20"/>
        </w:rPr>
        <w:footnoteReference w:id="4"/>
      </w:r>
      <w:r>
        <w:rPr>
          <w:rFonts w:ascii="Verdana" w:hAnsi="Verdana"/>
          <w:sz w:val="20"/>
          <w:szCs w:val="20"/>
        </w:rPr>
        <w:t xml:space="preserve">. </w:t>
      </w:r>
      <w:r w:rsidRPr="006038A8">
        <w:rPr>
          <w:rFonts w:ascii="Verdana" w:hAnsi="Verdana"/>
          <w:sz w:val="20"/>
          <w:szCs w:val="20"/>
        </w:rPr>
        <w:t>Moreover, the Ministers took a step forward and encouraged the use of peer learning on the social dimension and further aimed to monitor progress in the area.</w:t>
      </w:r>
    </w:p>
    <w:p w14:paraId="06637E48" w14:textId="77777777" w:rsidR="00162EE2" w:rsidRPr="00BF5BBA" w:rsidRDefault="00162EE2" w:rsidP="00092204">
      <w:pPr>
        <w:spacing w:after="120" w:line="288" w:lineRule="auto"/>
        <w:ind w:right="-772"/>
        <w:jc w:val="both"/>
        <w:rPr>
          <w:rFonts w:ascii="Verdana" w:hAnsi="Verdana"/>
          <w:sz w:val="20"/>
          <w:szCs w:val="20"/>
        </w:rPr>
      </w:pPr>
      <w:r>
        <w:rPr>
          <w:rFonts w:ascii="Verdana" w:hAnsi="Verdana"/>
          <w:sz w:val="20"/>
          <w:szCs w:val="20"/>
        </w:rPr>
        <w:t xml:space="preserve">With respect to lifelong learning in the Bologna context, for the first time, it was the Prague Communiqué (2001) which </w:t>
      </w:r>
      <w:proofErr w:type="spellStart"/>
      <w:r w:rsidRPr="00CA0FD1">
        <w:rPr>
          <w:rFonts w:ascii="Verdana" w:hAnsi="Verdana"/>
          <w:sz w:val="20"/>
          <w:szCs w:val="20"/>
        </w:rPr>
        <w:t>signalled</w:t>
      </w:r>
      <w:proofErr w:type="spellEnd"/>
      <w:r w:rsidRPr="00CA0FD1">
        <w:rPr>
          <w:rFonts w:ascii="Verdana" w:hAnsi="Verdana"/>
          <w:sz w:val="20"/>
          <w:szCs w:val="20"/>
        </w:rPr>
        <w:t xml:space="preserve"> that in Europe built on a knowledge-based </w:t>
      </w:r>
      <w:r w:rsidRPr="00CA0FD1">
        <w:rPr>
          <w:rFonts w:ascii="Verdana" w:hAnsi="Verdana"/>
          <w:sz w:val="20"/>
          <w:szCs w:val="20"/>
        </w:rPr>
        <w:lastRenderedPageBreak/>
        <w:t xml:space="preserve">society and economy, lifelong learning strategies are necessary to face the challenges of competitiveness and the use of new technologies and to improve social cohesion, equal opportunities, and the quality of life. </w:t>
      </w:r>
      <w:r>
        <w:rPr>
          <w:rFonts w:ascii="Verdana" w:hAnsi="Verdana"/>
          <w:sz w:val="20"/>
          <w:szCs w:val="20"/>
        </w:rPr>
        <w:t>The Berlin Communiqué</w:t>
      </w:r>
      <w:r>
        <w:rPr>
          <w:rStyle w:val="FootnoteReference"/>
          <w:rFonts w:ascii="Verdana" w:hAnsi="Verdana"/>
          <w:sz w:val="20"/>
          <w:szCs w:val="20"/>
        </w:rPr>
        <w:footnoteReference w:id="5"/>
      </w:r>
      <w:r>
        <w:rPr>
          <w:rFonts w:ascii="Verdana" w:hAnsi="Verdana"/>
          <w:sz w:val="20"/>
          <w:szCs w:val="20"/>
        </w:rPr>
        <w:t xml:space="preserve"> (2003) </w:t>
      </w:r>
      <w:proofErr w:type="spellStart"/>
      <w:r>
        <w:rPr>
          <w:rFonts w:ascii="Verdana" w:hAnsi="Verdana"/>
          <w:sz w:val="20"/>
          <w:szCs w:val="20"/>
        </w:rPr>
        <w:t>emphasised</w:t>
      </w:r>
      <w:proofErr w:type="spellEnd"/>
      <w:r>
        <w:rPr>
          <w:rFonts w:ascii="Verdana" w:hAnsi="Verdana"/>
          <w:sz w:val="20"/>
          <w:szCs w:val="20"/>
        </w:rPr>
        <w:t xml:space="preserve"> the need to embed lifelong learning within higher education in order to overcome the above-mentioned challenges. The Berlin and succeeding Communiqués</w:t>
      </w:r>
      <w:r>
        <w:rPr>
          <w:rStyle w:val="FootnoteReference"/>
          <w:rFonts w:ascii="Verdana" w:hAnsi="Verdana"/>
          <w:sz w:val="20"/>
          <w:szCs w:val="20"/>
        </w:rPr>
        <w:footnoteReference w:id="6"/>
      </w:r>
      <w:r>
        <w:rPr>
          <w:rFonts w:ascii="Verdana" w:hAnsi="Verdana"/>
          <w:sz w:val="20"/>
          <w:szCs w:val="20"/>
        </w:rPr>
        <w:t xml:space="preserve"> turned to the areas – development of flexible learning pathways, enhancement of recognition of prior learning, establishment of national qualifications framework to encompass the wide range of learning paths, achieving closer cooperation between higher education institutions and external stakeholders including employers – that contribute to the creation of lifelong learning culture in the EHEA</w:t>
      </w:r>
      <w:r w:rsidRPr="003A3871">
        <w:rPr>
          <w:rFonts w:ascii="Verdana" w:eastAsia="ＭＳ 明朝" w:hAnsi="Verdana"/>
          <w:sz w:val="20"/>
          <w:szCs w:val="20"/>
        </w:rPr>
        <w:t>.</w:t>
      </w:r>
      <w:r>
        <w:rPr>
          <w:rFonts w:ascii="Verdana" w:hAnsi="Verdana"/>
          <w:sz w:val="20"/>
          <w:szCs w:val="20"/>
        </w:rPr>
        <w:t xml:space="preserve"> Yet, t</w:t>
      </w:r>
      <w:r w:rsidRPr="007979B2">
        <w:rPr>
          <w:rFonts w:ascii="Verdana" w:hAnsi="Verdana"/>
          <w:sz w:val="20"/>
          <w:szCs w:val="20"/>
        </w:rPr>
        <w:t>he concept of lifelong learning was further specified in Leuven/Louvain-la-</w:t>
      </w:r>
      <w:proofErr w:type="spellStart"/>
      <w:r w:rsidRPr="007979B2">
        <w:rPr>
          <w:rFonts w:ascii="Verdana" w:hAnsi="Verdana"/>
          <w:sz w:val="20"/>
          <w:szCs w:val="20"/>
        </w:rPr>
        <w:t>Neuve</w:t>
      </w:r>
      <w:proofErr w:type="spellEnd"/>
      <w:r w:rsidRPr="007979B2">
        <w:rPr>
          <w:rFonts w:ascii="Verdana" w:hAnsi="Verdana"/>
          <w:sz w:val="20"/>
          <w:szCs w:val="20"/>
        </w:rPr>
        <w:t xml:space="preserve"> (2009)</w:t>
      </w:r>
      <w:r>
        <w:rPr>
          <w:rStyle w:val="FootnoteReference"/>
          <w:rFonts w:ascii="Verdana" w:hAnsi="Verdana"/>
          <w:sz w:val="20"/>
          <w:szCs w:val="20"/>
        </w:rPr>
        <w:footnoteReference w:id="7"/>
      </w:r>
      <w:r>
        <w:rPr>
          <w:rFonts w:ascii="Verdana" w:hAnsi="Verdana"/>
          <w:sz w:val="20"/>
          <w:szCs w:val="20"/>
        </w:rPr>
        <w:t xml:space="preserve">, which stated </w:t>
      </w:r>
      <w:r w:rsidRPr="003A3871">
        <w:rPr>
          <w:rFonts w:ascii="Verdana" w:eastAsia="ＭＳ 明朝" w:hAnsi="Verdana"/>
          <w:sz w:val="20"/>
          <w:szCs w:val="20"/>
        </w:rPr>
        <w:t>“lifelong learning implies that qualifications may be obtained through flexible learning paths, including part-time studies, as well as work-based routes”.</w:t>
      </w:r>
    </w:p>
    <w:p w14:paraId="31F054A4" w14:textId="77777777" w:rsidR="00162EE2" w:rsidRPr="00801FC1" w:rsidRDefault="00162EE2" w:rsidP="00092204">
      <w:pPr>
        <w:spacing w:after="120" w:line="288" w:lineRule="auto"/>
        <w:ind w:right="-772"/>
        <w:jc w:val="both"/>
        <w:rPr>
          <w:rFonts w:ascii="Verdana" w:hAnsi="Verdana"/>
          <w:sz w:val="20"/>
          <w:szCs w:val="20"/>
        </w:rPr>
      </w:pPr>
      <w:r w:rsidRPr="00CA0FD1">
        <w:rPr>
          <w:rFonts w:ascii="Verdana" w:hAnsi="Verdana"/>
          <w:sz w:val="20"/>
          <w:szCs w:val="20"/>
        </w:rPr>
        <w:t>In Bucharest</w:t>
      </w:r>
      <w:r>
        <w:rPr>
          <w:rFonts w:ascii="Verdana" w:hAnsi="Verdana"/>
          <w:sz w:val="20"/>
          <w:szCs w:val="20"/>
        </w:rPr>
        <w:t xml:space="preserve"> (2012)</w:t>
      </w:r>
      <w:r w:rsidRPr="00CA0FD1">
        <w:rPr>
          <w:rFonts w:ascii="Verdana" w:hAnsi="Verdana"/>
          <w:sz w:val="20"/>
          <w:szCs w:val="20"/>
        </w:rPr>
        <w:t xml:space="preserve">, lifelong learning was appreciated as one of the important factors in meeting the needs </w:t>
      </w:r>
      <w:r>
        <w:rPr>
          <w:rFonts w:ascii="Verdana" w:hAnsi="Verdana"/>
          <w:sz w:val="20"/>
          <w:szCs w:val="20"/>
        </w:rPr>
        <w:t xml:space="preserve">of a changing </w:t>
      </w:r>
      <w:proofErr w:type="spellStart"/>
      <w:r>
        <w:rPr>
          <w:rFonts w:ascii="Verdana" w:hAnsi="Verdana"/>
          <w:sz w:val="20"/>
          <w:szCs w:val="20"/>
        </w:rPr>
        <w:t>labour</w:t>
      </w:r>
      <w:proofErr w:type="spellEnd"/>
      <w:r>
        <w:rPr>
          <w:rFonts w:ascii="Verdana" w:hAnsi="Verdana"/>
          <w:sz w:val="20"/>
          <w:szCs w:val="20"/>
        </w:rPr>
        <w:t xml:space="preserve"> market. In this light,</w:t>
      </w:r>
      <w:r w:rsidRPr="00CA0FD1">
        <w:rPr>
          <w:rFonts w:ascii="Verdana" w:hAnsi="Verdana"/>
          <w:sz w:val="20"/>
          <w:szCs w:val="20"/>
        </w:rPr>
        <w:t xml:space="preserve"> </w:t>
      </w:r>
      <w:r>
        <w:rPr>
          <w:rFonts w:ascii="Verdana" w:hAnsi="Verdana"/>
          <w:sz w:val="20"/>
          <w:szCs w:val="20"/>
        </w:rPr>
        <w:t xml:space="preserve">the role of </w:t>
      </w:r>
      <w:r w:rsidRPr="00CA0FD1">
        <w:rPr>
          <w:rFonts w:ascii="Verdana" w:hAnsi="Verdana"/>
          <w:sz w:val="20"/>
          <w:szCs w:val="20"/>
        </w:rPr>
        <w:t xml:space="preserve">higher education institutions </w:t>
      </w:r>
      <w:r>
        <w:rPr>
          <w:rFonts w:ascii="Verdana" w:hAnsi="Verdana"/>
          <w:sz w:val="20"/>
          <w:szCs w:val="20"/>
        </w:rPr>
        <w:t xml:space="preserve">was deemed </w:t>
      </w:r>
      <w:r w:rsidRPr="00CA0FD1">
        <w:rPr>
          <w:rFonts w:ascii="Verdana" w:hAnsi="Verdana"/>
          <w:sz w:val="20"/>
          <w:szCs w:val="20"/>
        </w:rPr>
        <w:t xml:space="preserve">central </w:t>
      </w:r>
      <w:r>
        <w:rPr>
          <w:rFonts w:ascii="Verdana" w:hAnsi="Verdana"/>
          <w:sz w:val="20"/>
          <w:szCs w:val="20"/>
        </w:rPr>
        <w:t>to</w:t>
      </w:r>
      <w:r w:rsidRPr="00CA0FD1">
        <w:rPr>
          <w:rFonts w:ascii="Verdana" w:hAnsi="Verdana"/>
          <w:sz w:val="20"/>
          <w:szCs w:val="20"/>
        </w:rPr>
        <w:t xml:space="preserve"> transferring knowledge and strengthening regional development, including by the continuous development of competences and reinforcement of knowledge alliances</w:t>
      </w:r>
      <w:r>
        <w:rPr>
          <w:rFonts w:ascii="Verdana" w:hAnsi="Verdana"/>
          <w:sz w:val="20"/>
          <w:szCs w:val="20"/>
        </w:rPr>
        <w:t>.</w:t>
      </w:r>
    </w:p>
    <w:p w14:paraId="6BEBF22A" w14:textId="77777777" w:rsidR="00162EE2" w:rsidRPr="003A3871" w:rsidRDefault="00162EE2" w:rsidP="00092204">
      <w:pPr>
        <w:widowControl w:val="0"/>
        <w:autoSpaceDE w:val="0"/>
        <w:autoSpaceDN w:val="0"/>
        <w:adjustRightInd w:val="0"/>
        <w:spacing w:after="120" w:line="288" w:lineRule="auto"/>
        <w:ind w:right="-772"/>
        <w:jc w:val="both"/>
        <w:rPr>
          <w:rFonts w:ascii="Verdana" w:eastAsia="ＭＳ 明朝" w:hAnsi="Verdana"/>
          <w:sz w:val="20"/>
          <w:szCs w:val="20"/>
        </w:rPr>
      </w:pPr>
      <w:r w:rsidRPr="00CA0FD1">
        <w:rPr>
          <w:rFonts w:ascii="Verdana" w:hAnsi="Verdana"/>
          <w:sz w:val="20"/>
          <w:szCs w:val="20"/>
        </w:rPr>
        <w:t>The 2</w:t>
      </w:r>
      <w:r w:rsidR="00EA6649">
        <w:rPr>
          <w:rFonts w:ascii="Verdana" w:hAnsi="Verdana"/>
          <w:sz w:val="20"/>
          <w:szCs w:val="20"/>
        </w:rPr>
        <w:t>009-2012 BFUG Working Group</w:t>
      </w:r>
      <w:r w:rsidRPr="00CA0FD1">
        <w:rPr>
          <w:rFonts w:ascii="Verdana" w:hAnsi="Verdana"/>
          <w:sz w:val="20"/>
          <w:szCs w:val="20"/>
        </w:rPr>
        <w:t xml:space="preserve"> on the Social Dimension once again </w:t>
      </w:r>
      <w:proofErr w:type="spellStart"/>
      <w:r w:rsidRPr="00CA0FD1">
        <w:rPr>
          <w:rFonts w:ascii="Verdana" w:hAnsi="Verdana"/>
          <w:sz w:val="20"/>
          <w:szCs w:val="20"/>
        </w:rPr>
        <w:t>recognised</w:t>
      </w:r>
      <w:proofErr w:type="spellEnd"/>
      <w:r w:rsidRPr="00CA0FD1">
        <w:rPr>
          <w:rFonts w:ascii="Verdana" w:hAnsi="Verdana"/>
          <w:sz w:val="20"/>
          <w:szCs w:val="20"/>
        </w:rPr>
        <w:t xml:space="preserve"> the role of the social dimension in enhancing the attractiveness and competitiveness of the </w:t>
      </w:r>
      <w:r w:rsidR="00805B57">
        <w:rPr>
          <w:rFonts w:ascii="Verdana" w:hAnsi="Verdana"/>
          <w:sz w:val="20"/>
          <w:szCs w:val="20"/>
        </w:rPr>
        <w:t xml:space="preserve">EHEA </w:t>
      </w:r>
      <w:r w:rsidRPr="00CA0FD1">
        <w:rPr>
          <w:rFonts w:ascii="Verdana" w:hAnsi="Verdana"/>
          <w:sz w:val="20"/>
          <w:szCs w:val="20"/>
        </w:rPr>
        <w:t>and put forward a recommendation to the EHEA Ministers “to reaffirm their commitments and targets for widening overall access and increasing participation and completion of underrepresented groups in higher education, according to the diversity of the national populations, with the aim to reach these targets by 2020”</w:t>
      </w:r>
      <w:r w:rsidRPr="00CA0FD1">
        <w:rPr>
          <w:rStyle w:val="FootnoteReference"/>
          <w:rFonts w:ascii="Verdana" w:hAnsi="Verdana"/>
          <w:sz w:val="20"/>
          <w:szCs w:val="20"/>
        </w:rPr>
        <w:footnoteReference w:id="8"/>
      </w:r>
      <w:r w:rsidRPr="00CA0FD1">
        <w:rPr>
          <w:rFonts w:ascii="Verdana" w:hAnsi="Verdana"/>
          <w:sz w:val="20"/>
          <w:szCs w:val="20"/>
        </w:rPr>
        <w:t xml:space="preserve">. Akin to the social dimension, lifelong learning is accredited for its aim to provide learning opportunities for more diverse student population. The social dimension and lifelong learning are interwoven themes that share such central issues as the provision of appropriate education support, guidance and </w:t>
      </w:r>
      <w:proofErr w:type="spellStart"/>
      <w:r w:rsidRPr="00CA0FD1">
        <w:rPr>
          <w:rFonts w:ascii="Verdana" w:hAnsi="Verdana"/>
          <w:sz w:val="20"/>
          <w:szCs w:val="20"/>
        </w:rPr>
        <w:t>counselling</w:t>
      </w:r>
      <w:proofErr w:type="spellEnd"/>
      <w:r w:rsidRPr="00CA0FD1">
        <w:rPr>
          <w:rFonts w:ascii="Verdana" w:hAnsi="Verdana"/>
          <w:sz w:val="20"/>
          <w:szCs w:val="20"/>
        </w:rPr>
        <w:t>, student-</w:t>
      </w:r>
      <w:proofErr w:type="spellStart"/>
      <w:r>
        <w:rPr>
          <w:rFonts w:ascii="Verdana" w:hAnsi="Verdana"/>
          <w:sz w:val="20"/>
          <w:szCs w:val="20"/>
        </w:rPr>
        <w:t>ce</w:t>
      </w:r>
      <w:r w:rsidRPr="00CA0FD1">
        <w:rPr>
          <w:rFonts w:ascii="Verdana" w:hAnsi="Verdana"/>
          <w:sz w:val="20"/>
          <w:szCs w:val="20"/>
        </w:rPr>
        <w:t>ntred</w:t>
      </w:r>
      <w:proofErr w:type="spellEnd"/>
      <w:r w:rsidRPr="00CA0FD1">
        <w:rPr>
          <w:rFonts w:ascii="Verdana" w:hAnsi="Verdana"/>
          <w:sz w:val="20"/>
          <w:szCs w:val="20"/>
        </w:rPr>
        <w:t xml:space="preserve"> learning, and rec</w:t>
      </w:r>
      <w:r>
        <w:rPr>
          <w:rFonts w:ascii="Verdana" w:hAnsi="Verdana"/>
          <w:sz w:val="20"/>
          <w:szCs w:val="20"/>
        </w:rPr>
        <w:t>ognition of prior learning</w:t>
      </w:r>
      <w:r w:rsidRPr="00CA0FD1">
        <w:rPr>
          <w:rFonts w:ascii="Verdana" w:hAnsi="Verdana"/>
          <w:sz w:val="20"/>
          <w:szCs w:val="20"/>
        </w:rPr>
        <w:t>. In the context of the EHEA, access and equity are critical to lifelong learning, and lifelong learning itself is critical to advancing the social dimension of higher education in its integrity</w:t>
      </w:r>
      <w:r w:rsidRPr="00CA0FD1">
        <w:rPr>
          <w:rStyle w:val="FootnoteReference"/>
          <w:rFonts w:ascii="Verdana" w:hAnsi="Verdana"/>
          <w:sz w:val="20"/>
          <w:szCs w:val="20"/>
        </w:rPr>
        <w:footnoteReference w:id="9"/>
      </w:r>
      <w:r w:rsidRPr="00CA0FD1">
        <w:rPr>
          <w:rFonts w:ascii="Verdana" w:hAnsi="Verdana"/>
          <w:sz w:val="20"/>
          <w:szCs w:val="20"/>
        </w:rPr>
        <w:t>.</w:t>
      </w:r>
      <w:r>
        <w:rPr>
          <w:rFonts w:ascii="Verdana" w:hAnsi="Verdana"/>
          <w:sz w:val="20"/>
          <w:szCs w:val="20"/>
        </w:rPr>
        <w:t xml:space="preserve"> The link between the two policy areas was also </w:t>
      </w:r>
      <w:proofErr w:type="spellStart"/>
      <w:r>
        <w:rPr>
          <w:rFonts w:ascii="Verdana" w:hAnsi="Verdana"/>
          <w:sz w:val="20"/>
          <w:szCs w:val="20"/>
        </w:rPr>
        <w:t>recognised</w:t>
      </w:r>
      <w:proofErr w:type="spellEnd"/>
      <w:r>
        <w:rPr>
          <w:rFonts w:ascii="Verdana" w:hAnsi="Verdana"/>
          <w:sz w:val="20"/>
          <w:szCs w:val="20"/>
        </w:rPr>
        <w:t xml:space="preserve"> within the </w:t>
      </w:r>
      <w:r w:rsidRPr="007979B2">
        <w:rPr>
          <w:rFonts w:ascii="Verdana" w:hAnsi="Verdana"/>
          <w:sz w:val="20"/>
          <w:szCs w:val="20"/>
        </w:rPr>
        <w:t>Leuven/Louvain-la-</w:t>
      </w:r>
      <w:proofErr w:type="spellStart"/>
      <w:r w:rsidRPr="007979B2">
        <w:rPr>
          <w:rFonts w:ascii="Verdana" w:hAnsi="Verdana"/>
          <w:sz w:val="20"/>
          <w:szCs w:val="20"/>
        </w:rPr>
        <w:t>Neuve</w:t>
      </w:r>
      <w:proofErr w:type="spellEnd"/>
      <w:r>
        <w:rPr>
          <w:rFonts w:ascii="Verdana" w:hAnsi="Verdana"/>
          <w:sz w:val="20"/>
          <w:szCs w:val="20"/>
        </w:rPr>
        <w:t xml:space="preserve"> Communiqué (2009), which put forward that </w:t>
      </w:r>
      <w:r w:rsidRPr="003A3871">
        <w:rPr>
          <w:rFonts w:ascii="Verdana" w:eastAsia="ＭＳ 明朝" w:hAnsi="Verdana"/>
          <w:sz w:val="20"/>
          <w:szCs w:val="20"/>
        </w:rPr>
        <w:t xml:space="preserve">widening participation should also be achieved through lifelong learning as an integral part of the EHEA education systems. </w:t>
      </w:r>
    </w:p>
    <w:p w14:paraId="55B62640" w14:textId="77777777" w:rsidR="00162EE2" w:rsidRPr="00CA0FD1" w:rsidRDefault="00162EE2" w:rsidP="00092204">
      <w:pPr>
        <w:spacing w:after="120" w:line="288" w:lineRule="auto"/>
        <w:ind w:right="-772"/>
        <w:jc w:val="both"/>
        <w:rPr>
          <w:rFonts w:ascii="Verdana" w:hAnsi="Verdana"/>
          <w:sz w:val="20"/>
          <w:szCs w:val="20"/>
        </w:rPr>
      </w:pPr>
      <w:r>
        <w:rPr>
          <w:rFonts w:ascii="Verdana" w:hAnsi="Verdana"/>
          <w:sz w:val="20"/>
          <w:szCs w:val="20"/>
        </w:rPr>
        <w:lastRenderedPageBreak/>
        <w:t>In Bucharest (2012)</w:t>
      </w:r>
      <w:r w:rsidRPr="00CA0FD1">
        <w:rPr>
          <w:rFonts w:ascii="Verdana" w:hAnsi="Verdana"/>
          <w:sz w:val="20"/>
          <w:szCs w:val="20"/>
        </w:rPr>
        <w:t>, the Ministers</w:t>
      </w:r>
      <w:r>
        <w:rPr>
          <w:rFonts w:ascii="Verdana" w:hAnsi="Verdana"/>
          <w:sz w:val="20"/>
          <w:szCs w:val="20"/>
        </w:rPr>
        <w:t xml:space="preserve"> once again</w:t>
      </w:r>
      <w:r w:rsidRPr="00CA0FD1">
        <w:rPr>
          <w:rFonts w:ascii="Verdana" w:hAnsi="Verdana"/>
          <w:sz w:val="20"/>
          <w:szCs w:val="20"/>
        </w:rPr>
        <w:t xml:space="preserve"> pointed at the role of higher education in solving the difficulties Europe is facing and acknowledged that </w:t>
      </w:r>
      <w:r w:rsidRPr="00CA0FD1">
        <w:rPr>
          <w:rFonts w:ascii="Verdana" w:hAnsi="Verdana"/>
          <w:b/>
          <w:bCs/>
          <w:sz w:val="20"/>
          <w:szCs w:val="20"/>
        </w:rPr>
        <w:t xml:space="preserve">widening access </w:t>
      </w:r>
      <w:r w:rsidRPr="00CA0FD1">
        <w:rPr>
          <w:rFonts w:ascii="Verdana" w:hAnsi="Verdana"/>
          <w:sz w:val="20"/>
          <w:szCs w:val="20"/>
        </w:rPr>
        <w:t>to higher education is a precondition for societal progress and economic development</w:t>
      </w:r>
      <w:r w:rsidRPr="00CA0FD1">
        <w:rPr>
          <w:rStyle w:val="FootnoteReference"/>
          <w:rFonts w:ascii="Verdana" w:hAnsi="Verdana"/>
          <w:sz w:val="20"/>
          <w:szCs w:val="20"/>
        </w:rPr>
        <w:footnoteReference w:id="10"/>
      </w:r>
      <w:r w:rsidRPr="00CA0FD1">
        <w:rPr>
          <w:rFonts w:ascii="Verdana" w:hAnsi="Verdana"/>
          <w:sz w:val="20"/>
          <w:szCs w:val="20"/>
        </w:rPr>
        <w:t>. In sum, providing quality higher education for all became one of the three main goals to pursue in the EHEA in the period 2012-2015</w:t>
      </w:r>
      <w:r w:rsidRPr="00CA0FD1">
        <w:rPr>
          <w:rStyle w:val="FootnoteReference"/>
          <w:rFonts w:ascii="Verdana" w:hAnsi="Verdana"/>
          <w:sz w:val="20"/>
          <w:szCs w:val="20"/>
        </w:rPr>
        <w:footnoteReference w:id="11"/>
      </w:r>
      <w:r w:rsidRPr="00CA0FD1">
        <w:rPr>
          <w:rFonts w:ascii="Verdana" w:hAnsi="Verdana"/>
          <w:sz w:val="20"/>
          <w:szCs w:val="20"/>
        </w:rPr>
        <w:t xml:space="preserve">. </w:t>
      </w:r>
    </w:p>
    <w:p w14:paraId="47E63BCB" w14:textId="6BF261D2" w:rsidR="00162EE2" w:rsidRDefault="00BC6F96" w:rsidP="00A21671">
      <w:pPr>
        <w:spacing w:after="360" w:line="288" w:lineRule="auto"/>
        <w:ind w:right="-771"/>
        <w:jc w:val="both"/>
        <w:rPr>
          <w:rFonts w:ascii="Verdana" w:hAnsi="Verdana" w:cs="Arial"/>
          <w:sz w:val="20"/>
          <w:szCs w:val="20"/>
          <w:lang w:eastAsia="nl-NL"/>
        </w:rPr>
      </w:pPr>
      <w:r w:rsidRPr="006F31E0">
        <w:rPr>
          <w:rFonts w:ascii="Verdana" w:hAnsi="Verdana" w:cs="Arial"/>
          <w:sz w:val="20"/>
          <w:szCs w:val="20"/>
          <w:lang w:eastAsia="nl-NL"/>
        </w:rPr>
        <w:t>In many EHEA countries, there are already measures in place to address the under-representation of particular societal groups in higher educati</w:t>
      </w:r>
      <w:r>
        <w:rPr>
          <w:rFonts w:ascii="Verdana" w:hAnsi="Verdana" w:cs="Arial"/>
          <w:sz w:val="20"/>
          <w:szCs w:val="20"/>
          <w:lang w:eastAsia="nl-NL"/>
        </w:rPr>
        <w:t xml:space="preserve">on, but as the </w:t>
      </w:r>
      <w:r w:rsidR="00E41ACC">
        <w:rPr>
          <w:rFonts w:ascii="Verdana" w:hAnsi="Verdana" w:cs="Arial"/>
          <w:sz w:val="20"/>
          <w:szCs w:val="20"/>
          <w:lang w:eastAsia="nl-NL"/>
        </w:rPr>
        <w:t xml:space="preserve">2012 Bologna Implementation Report </w:t>
      </w:r>
      <w:r>
        <w:rPr>
          <w:rFonts w:ascii="Verdana" w:hAnsi="Verdana" w:cs="Arial"/>
          <w:sz w:val="20"/>
          <w:szCs w:val="20"/>
          <w:lang w:eastAsia="nl-NL"/>
        </w:rPr>
        <w:t>highlights “the question remains as to whether national higher education policy gives sufficient priority to these issues”</w:t>
      </w:r>
      <w:r w:rsidRPr="00BC6F96">
        <w:rPr>
          <w:rStyle w:val="FootnoteReference"/>
          <w:rFonts w:ascii="Verdana" w:hAnsi="Verdana" w:cs="Arial"/>
          <w:sz w:val="20"/>
          <w:szCs w:val="20"/>
          <w:lang w:eastAsia="nl-NL"/>
        </w:rPr>
        <w:t xml:space="preserve"> </w:t>
      </w:r>
      <w:r w:rsidRPr="00CA0FD1">
        <w:rPr>
          <w:rStyle w:val="FootnoteReference"/>
          <w:rFonts w:ascii="Verdana" w:hAnsi="Verdana" w:cs="Arial"/>
          <w:sz w:val="20"/>
          <w:szCs w:val="20"/>
          <w:lang w:eastAsia="nl-NL"/>
        </w:rPr>
        <w:footnoteReference w:id="12"/>
      </w:r>
      <w:r>
        <w:rPr>
          <w:rFonts w:ascii="Verdana" w:hAnsi="Verdana" w:cs="Arial"/>
          <w:sz w:val="20"/>
          <w:szCs w:val="20"/>
          <w:lang w:eastAsia="nl-NL"/>
        </w:rPr>
        <w:t xml:space="preserve">.  In the </w:t>
      </w:r>
      <w:r w:rsidR="004F2FED">
        <w:rPr>
          <w:rFonts w:ascii="Verdana" w:hAnsi="Verdana" w:cs="Arial"/>
          <w:sz w:val="20"/>
          <w:szCs w:val="20"/>
          <w:lang w:eastAsia="nl-NL"/>
        </w:rPr>
        <w:t>same vei</w:t>
      </w:r>
      <w:r>
        <w:rPr>
          <w:rFonts w:ascii="Verdana" w:hAnsi="Verdana" w:cs="Arial"/>
          <w:sz w:val="20"/>
          <w:szCs w:val="20"/>
          <w:lang w:eastAsia="nl-NL"/>
        </w:rPr>
        <w:t>n,</w:t>
      </w:r>
      <w:r w:rsidR="00162EE2" w:rsidRPr="00CA0FD1">
        <w:rPr>
          <w:rFonts w:ascii="Verdana" w:hAnsi="Verdana" w:cs="Arial"/>
          <w:sz w:val="20"/>
          <w:szCs w:val="20"/>
          <w:lang w:eastAsia="nl-NL"/>
        </w:rPr>
        <w:t xml:space="preserve"> the analysis of data on HE participation and attainment </w:t>
      </w:r>
      <w:r w:rsidR="00162EE2">
        <w:rPr>
          <w:rFonts w:ascii="Verdana" w:hAnsi="Verdana" w:cs="Arial"/>
          <w:sz w:val="20"/>
          <w:szCs w:val="20"/>
          <w:lang w:eastAsia="nl-NL"/>
        </w:rPr>
        <w:t>as shown in the</w:t>
      </w:r>
      <w:r w:rsidR="00E41ACC">
        <w:rPr>
          <w:rFonts w:ascii="Verdana" w:hAnsi="Verdana" w:cs="Arial"/>
          <w:sz w:val="20"/>
          <w:szCs w:val="20"/>
          <w:lang w:eastAsia="nl-NL"/>
        </w:rPr>
        <w:t xml:space="preserve"> Report</w:t>
      </w:r>
      <w:r w:rsidR="00162EE2">
        <w:rPr>
          <w:rFonts w:ascii="Verdana" w:hAnsi="Verdana" w:cs="Arial"/>
          <w:sz w:val="20"/>
          <w:szCs w:val="20"/>
          <w:lang w:eastAsia="nl-NL"/>
        </w:rPr>
        <w:t xml:space="preserve"> </w:t>
      </w:r>
      <w:r w:rsidR="00162EE2" w:rsidRPr="00CA0FD1">
        <w:rPr>
          <w:rFonts w:ascii="Verdana" w:hAnsi="Verdana" w:cs="Arial"/>
          <w:sz w:val="20"/>
          <w:szCs w:val="20"/>
          <w:lang w:eastAsia="nl-NL"/>
        </w:rPr>
        <w:t>indicates that the goal of providing equal chances for all in the EHEA has not yet been achieved.</w:t>
      </w:r>
      <w:r w:rsidR="00162EE2">
        <w:rPr>
          <w:rFonts w:ascii="Verdana" w:hAnsi="Verdana" w:cs="Arial"/>
          <w:sz w:val="20"/>
          <w:szCs w:val="20"/>
          <w:lang w:eastAsia="nl-NL"/>
        </w:rPr>
        <w:t xml:space="preserve"> </w:t>
      </w:r>
      <w:r w:rsidR="00430F99">
        <w:rPr>
          <w:rFonts w:ascii="Verdana" w:hAnsi="Verdana" w:cs="Arial"/>
          <w:sz w:val="20"/>
          <w:szCs w:val="20"/>
          <w:lang w:eastAsia="nl-NL"/>
        </w:rPr>
        <w:t>Hence</w:t>
      </w:r>
      <w:r w:rsidR="002E7AE2">
        <w:rPr>
          <w:rFonts w:ascii="Verdana" w:hAnsi="Verdana" w:cs="Arial"/>
          <w:sz w:val="20"/>
          <w:szCs w:val="20"/>
          <w:lang w:eastAsia="nl-NL"/>
        </w:rPr>
        <w:t>, m</w:t>
      </w:r>
      <w:r w:rsidR="00162EE2">
        <w:rPr>
          <w:rFonts w:ascii="Verdana" w:hAnsi="Verdana" w:cs="Arial"/>
          <w:sz w:val="20"/>
          <w:szCs w:val="20"/>
          <w:lang w:eastAsia="nl-NL"/>
        </w:rPr>
        <w:t>ore concrete measures are required to take this aim forward.</w:t>
      </w:r>
    </w:p>
    <w:p w14:paraId="573EDDBE" w14:textId="45CAE347" w:rsidR="00162EE2" w:rsidRPr="00F3282B" w:rsidRDefault="00002CDF" w:rsidP="003749B4">
      <w:pPr>
        <w:pStyle w:val="Heading2"/>
        <w:spacing w:before="360" w:after="120" w:line="288" w:lineRule="auto"/>
        <w:jc w:val="both"/>
        <w:rPr>
          <w:rFonts w:ascii="Verdana" w:hAnsi="Verdana"/>
          <w:i w:val="0"/>
          <w:sz w:val="20"/>
          <w:szCs w:val="20"/>
        </w:rPr>
      </w:pPr>
      <w:bookmarkStart w:id="12" w:name="_Toc278555190"/>
      <w:bookmarkStart w:id="13" w:name="_Toc278625892"/>
      <w:bookmarkStart w:id="14" w:name="_Toc283387967"/>
      <w:r>
        <w:rPr>
          <w:rFonts w:ascii="Verdana" w:hAnsi="Verdana"/>
          <w:i w:val="0"/>
          <w:sz w:val="20"/>
          <w:szCs w:val="20"/>
        </w:rPr>
        <w:t>1.2</w:t>
      </w:r>
      <w:r w:rsidR="00092204">
        <w:rPr>
          <w:rFonts w:ascii="Verdana" w:hAnsi="Verdana"/>
          <w:i w:val="0"/>
          <w:sz w:val="20"/>
          <w:szCs w:val="20"/>
        </w:rPr>
        <w:t>.</w:t>
      </w:r>
      <w:r w:rsidR="00162EE2" w:rsidRPr="00F3282B">
        <w:rPr>
          <w:rFonts w:ascii="Verdana" w:hAnsi="Verdana"/>
          <w:i w:val="0"/>
          <w:sz w:val="20"/>
          <w:szCs w:val="20"/>
        </w:rPr>
        <w:t xml:space="preserve"> Current Position: Social Dimension and Lifelong Learning WG’s Mandate and Membership</w:t>
      </w:r>
      <w:bookmarkEnd w:id="12"/>
      <w:bookmarkEnd w:id="13"/>
      <w:bookmarkEnd w:id="14"/>
    </w:p>
    <w:p w14:paraId="21CDA621" w14:textId="3EC5CE78" w:rsidR="00162EE2" w:rsidRPr="00CD0588" w:rsidRDefault="00162EE2" w:rsidP="00092204">
      <w:pPr>
        <w:pStyle w:val="Sombreadovistoso-nfasis3"/>
        <w:spacing w:after="120" w:line="288" w:lineRule="auto"/>
        <w:ind w:left="0" w:right="-772"/>
        <w:jc w:val="both"/>
        <w:rPr>
          <w:rFonts w:ascii="Verdana" w:hAnsi="Verdana"/>
          <w:sz w:val="20"/>
          <w:szCs w:val="20"/>
          <w:lang w:val="en-GB"/>
        </w:rPr>
      </w:pPr>
      <w:r w:rsidRPr="00CD0588">
        <w:rPr>
          <w:rFonts w:ascii="Verdana" w:hAnsi="Verdana"/>
          <w:sz w:val="20"/>
          <w:szCs w:val="20"/>
          <w:lang w:val="en-GB"/>
        </w:rPr>
        <w:t>The current report reflects the activities carried out by the</w:t>
      </w:r>
      <w:r w:rsidR="00DC5ED1">
        <w:rPr>
          <w:rFonts w:ascii="Verdana" w:hAnsi="Verdana"/>
          <w:sz w:val="20"/>
          <w:szCs w:val="20"/>
          <w:lang w:val="en-GB"/>
        </w:rPr>
        <w:t xml:space="preserve"> 2012-2015</w:t>
      </w:r>
      <w:r w:rsidRPr="00CD0588">
        <w:rPr>
          <w:rFonts w:ascii="Verdana" w:hAnsi="Verdana"/>
          <w:sz w:val="20"/>
          <w:szCs w:val="20"/>
          <w:lang w:val="en-GB"/>
        </w:rPr>
        <w:t xml:space="preserve"> </w:t>
      </w:r>
      <w:r w:rsidR="00805B57">
        <w:rPr>
          <w:rFonts w:ascii="Verdana" w:hAnsi="Verdana"/>
          <w:sz w:val="20"/>
          <w:szCs w:val="20"/>
          <w:lang w:val="en-GB"/>
        </w:rPr>
        <w:t xml:space="preserve">SD&amp;LLL WG </w:t>
      </w:r>
      <w:r w:rsidRPr="00CD0588">
        <w:rPr>
          <w:rFonts w:ascii="Verdana" w:hAnsi="Verdana"/>
          <w:sz w:val="20"/>
          <w:szCs w:val="20"/>
          <w:lang w:val="en-GB"/>
        </w:rPr>
        <w:t xml:space="preserve">in accordance with </w:t>
      </w:r>
      <w:r>
        <w:rPr>
          <w:rFonts w:ascii="Verdana" w:hAnsi="Verdana"/>
          <w:sz w:val="20"/>
          <w:szCs w:val="20"/>
          <w:lang w:val="en-GB"/>
        </w:rPr>
        <w:t xml:space="preserve">its Terms of Reference </w:t>
      </w:r>
      <w:r w:rsidR="0056533B">
        <w:rPr>
          <w:rFonts w:ascii="Verdana" w:hAnsi="Verdana"/>
          <w:sz w:val="20"/>
          <w:szCs w:val="20"/>
          <w:lang w:val="en-GB"/>
        </w:rPr>
        <w:t xml:space="preserve">(see </w:t>
      </w:r>
      <w:hyperlink w:anchor="Appendix_1" w:history="1">
        <w:r w:rsidR="0056533B" w:rsidRPr="006A6FEC">
          <w:rPr>
            <w:rStyle w:val="Hyperlink"/>
            <w:rFonts w:ascii="Verdana" w:hAnsi="Verdana"/>
            <w:sz w:val="20"/>
            <w:szCs w:val="20"/>
            <w:lang w:val="en-GB"/>
          </w:rPr>
          <w:t>Appendix 1</w:t>
        </w:r>
      </w:hyperlink>
      <w:r w:rsidR="0056533B">
        <w:rPr>
          <w:rFonts w:ascii="Verdana" w:hAnsi="Verdana"/>
          <w:sz w:val="20"/>
          <w:szCs w:val="20"/>
          <w:lang w:val="en-GB"/>
        </w:rPr>
        <w:t xml:space="preserve">) </w:t>
      </w:r>
      <w:r>
        <w:rPr>
          <w:rFonts w:ascii="Verdana" w:hAnsi="Verdana"/>
          <w:sz w:val="20"/>
          <w:szCs w:val="20"/>
          <w:lang w:val="en-GB"/>
        </w:rPr>
        <w:t xml:space="preserve">as agreed by the BFUG. </w:t>
      </w:r>
    </w:p>
    <w:p w14:paraId="696B0D3D" w14:textId="77777777" w:rsidR="00162EE2" w:rsidRPr="00CD0588" w:rsidRDefault="00162EE2" w:rsidP="00092204">
      <w:pPr>
        <w:pStyle w:val="Sombreadovistoso-nfasis3"/>
        <w:spacing w:after="120" w:line="288" w:lineRule="auto"/>
        <w:ind w:left="0" w:right="-772"/>
        <w:jc w:val="both"/>
        <w:rPr>
          <w:rFonts w:ascii="Verdana" w:hAnsi="Verdana"/>
          <w:sz w:val="20"/>
          <w:szCs w:val="20"/>
          <w:lang w:val="en-GB"/>
        </w:rPr>
      </w:pPr>
      <w:r>
        <w:rPr>
          <w:rFonts w:ascii="Verdana" w:hAnsi="Verdana"/>
          <w:sz w:val="20"/>
          <w:szCs w:val="20"/>
          <w:lang w:val="en-GB"/>
        </w:rPr>
        <w:t>During the 2012-2013</w:t>
      </w:r>
      <w:r w:rsidRPr="00CD0588">
        <w:rPr>
          <w:rFonts w:ascii="Verdana" w:hAnsi="Verdana"/>
          <w:sz w:val="20"/>
          <w:szCs w:val="20"/>
          <w:lang w:val="en-GB"/>
        </w:rPr>
        <w:t xml:space="preserve"> timeframe the </w:t>
      </w:r>
      <w:r>
        <w:rPr>
          <w:rFonts w:ascii="Verdana" w:hAnsi="Verdana"/>
          <w:sz w:val="20"/>
          <w:szCs w:val="20"/>
          <w:lang w:val="en-GB"/>
        </w:rPr>
        <w:t>WG</w:t>
      </w:r>
      <w:r w:rsidRPr="00CD0588">
        <w:rPr>
          <w:rFonts w:ascii="Verdana" w:hAnsi="Verdana"/>
          <w:sz w:val="20"/>
          <w:szCs w:val="20"/>
          <w:lang w:val="en-GB"/>
        </w:rPr>
        <w:t xml:space="preserve"> was </w:t>
      </w:r>
      <w:r>
        <w:rPr>
          <w:rFonts w:ascii="Verdana" w:hAnsi="Verdana"/>
          <w:sz w:val="20"/>
          <w:szCs w:val="20"/>
          <w:lang w:val="en-GB"/>
        </w:rPr>
        <w:t>co-</w:t>
      </w:r>
      <w:r w:rsidRPr="00CD0588">
        <w:rPr>
          <w:rFonts w:ascii="Verdana" w:hAnsi="Verdana"/>
          <w:sz w:val="20"/>
          <w:szCs w:val="20"/>
          <w:lang w:val="en-GB"/>
        </w:rPr>
        <w:t xml:space="preserve">chaired by </w:t>
      </w:r>
      <w:r>
        <w:rPr>
          <w:rFonts w:ascii="Verdana" w:hAnsi="Verdana"/>
          <w:sz w:val="20"/>
          <w:szCs w:val="20"/>
          <w:lang w:val="en-GB"/>
        </w:rPr>
        <w:t>Brian Power</w:t>
      </w:r>
      <w:r w:rsidRPr="00CD0588">
        <w:rPr>
          <w:rFonts w:ascii="Verdana" w:hAnsi="Verdana"/>
          <w:sz w:val="20"/>
          <w:szCs w:val="20"/>
          <w:lang w:val="en-GB"/>
        </w:rPr>
        <w:t xml:space="preserve"> (</w:t>
      </w:r>
      <w:r>
        <w:rPr>
          <w:rFonts w:ascii="Verdana" w:hAnsi="Verdana"/>
          <w:sz w:val="20"/>
          <w:szCs w:val="20"/>
          <w:lang w:val="en-GB"/>
        </w:rPr>
        <w:t>Ireland</w:t>
      </w:r>
      <w:r w:rsidRPr="00CD0588">
        <w:rPr>
          <w:rFonts w:ascii="Verdana" w:hAnsi="Verdana"/>
          <w:sz w:val="20"/>
          <w:szCs w:val="20"/>
          <w:lang w:val="en-GB"/>
        </w:rPr>
        <w:t>)</w:t>
      </w:r>
      <w:r>
        <w:rPr>
          <w:rFonts w:ascii="Verdana" w:hAnsi="Verdana"/>
          <w:sz w:val="20"/>
          <w:szCs w:val="20"/>
          <w:lang w:val="en-GB"/>
        </w:rPr>
        <w:t xml:space="preserve"> and Karina </w:t>
      </w:r>
      <w:proofErr w:type="spellStart"/>
      <w:r>
        <w:rPr>
          <w:rFonts w:ascii="Verdana" w:hAnsi="Verdana"/>
          <w:sz w:val="20"/>
          <w:szCs w:val="20"/>
          <w:lang w:val="en-GB"/>
        </w:rPr>
        <w:t>Ufert</w:t>
      </w:r>
      <w:proofErr w:type="spellEnd"/>
      <w:r>
        <w:rPr>
          <w:rFonts w:ascii="Verdana" w:hAnsi="Verdana"/>
          <w:sz w:val="20"/>
          <w:szCs w:val="20"/>
          <w:lang w:val="en-GB"/>
        </w:rPr>
        <w:t xml:space="preserve"> (ESU). Starting from the second semester of 2013</w:t>
      </w:r>
      <w:r w:rsidRPr="00CD0588">
        <w:rPr>
          <w:rFonts w:ascii="Verdana" w:hAnsi="Verdana"/>
          <w:sz w:val="20"/>
          <w:szCs w:val="20"/>
          <w:lang w:val="en-GB"/>
        </w:rPr>
        <w:t xml:space="preserve">, </w:t>
      </w:r>
      <w:r>
        <w:rPr>
          <w:rFonts w:ascii="Verdana" w:hAnsi="Verdana"/>
          <w:sz w:val="20"/>
          <w:szCs w:val="20"/>
          <w:lang w:val="en-GB"/>
        </w:rPr>
        <w:t xml:space="preserve">Elisabeth </w:t>
      </w:r>
      <w:proofErr w:type="spellStart"/>
      <w:r>
        <w:rPr>
          <w:rFonts w:ascii="Verdana" w:hAnsi="Verdana"/>
          <w:sz w:val="20"/>
          <w:szCs w:val="20"/>
          <w:lang w:val="en-GB"/>
        </w:rPr>
        <w:t>Gehrke</w:t>
      </w:r>
      <w:proofErr w:type="spellEnd"/>
      <w:r w:rsidRPr="00CD0588">
        <w:rPr>
          <w:rFonts w:ascii="Verdana" w:hAnsi="Verdana"/>
          <w:sz w:val="20"/>
          <w:szCs w:val="20"/>
          <w:lang w:val="en-GB"/>
        </w:rPr>
        <w:t xml:space="preserve"> </w:t>
      </w:r>
      <w:r>
        <w:rPr>
          <w:rFonts w:ascii="Verdana" w:hAnsi="Verdana"/>
          <w:sz w:val="20"/>
          <w:szCs w:val="20"/>
          <w:lang w:val="en-GB"/>
        </w:rPr>
        <w:t>(ESU)</w:t>
      </w:r>
      <w:r w:rsidRPr="00CD0588">
        <w:rPr>
          <w:rFonts w:ascii="Verdana" w:hAnsi="Verdana"/>
          <w:sz w:val="20"/>
          <w:szCs w:val="20"/>
          <w:lang w:val="en-GB"/>
        </w:rPr>
        <w:t xml:space="preserve">, </w:t>
      </w:r>
      <w:r>
        <w:rPr>
          <w:rFonts w:ascii="Verdana" w:hAnsi="Verdana"/>
          <w:sz w:val="20"/>
          <w:szCs w:val="20"/>
          <w:lang w:val="en-GB"/>
        </w:rPr>
        <w:t xml:space="preserve">replacing Karina </w:t>
      </w:r>
      <w:proofErr w:type="spellStart"/>
      <w:r>
        <w:rPr>
          <w:rFonts w:ascii="Verdana" w:hAnsi="Verdana"/>
          <w:sz w:val="20"/>
          <w:szCs w:val="20"/>
          <w:lang w:val="en-GB"/>
        </w:rPr>
        <w:t>Ufert</w:t>
      </w:r>
      <w:proofErr w:type="spellEnd"/>
      <w:r>
        <w:rPr>
          <w:rFonts w:ascii="Verdana" w:hAnsi="Verdana"/>
          <w:sz w:val="20"/>
          <w:szCs w:val="20"/>
          <w:lang w:val="en-GB"/>
        </w:rPr>
        <w:t xml:space="preserve"> in the WG, took over a c</w:t>
      </w:r>
      <w:r w:rsidRPr="00CD0588">
        <w:rPr>
          <w:rFonts w:ascii="Verdana" w:hAnsi="Verdana"/>
          <w:sz w:val="20"/>
          <w:szCs w:val="20"/>
          <w:lang w:val="en-GB"/>
        </w:rPr>
        <w:t>o</w:t>
      </w:r>
      <w:r>
        <w:rPr>
          <w:rFonts w:ascii="Verdana" w:hAnsi="Verdana"/>
          <w:sz w:val="20"/>
          <w:szCs w:val="20"/>
          <w:lang w:val="en-GB"/>
        </w:rPr>
        <w:t>-c</w:t>
      </w:r>
      <w:r w:rsidRPr="00CD0588">
        <w:rPr>
          <w:rFonts w:ascii="Verdana" w:hAnsi="Verdana"/>
          <w:sz w:val="20"/>
          <w:szCs w:val="20"/>
          <w:lang w:val="en-GB"/>
        </w:rPr>
        <w:t xml:space="preserve">hairing position and </w:t>
      </w:r>
      <w:r>
        <w:rPr>
          <w:rFonts w:ascii="Verdana" w:hAnsi="Verdana"/>
          <w:sz w:val="20"/>
          <w:szCs w:val="20"/>
          <w:lang w:val="en-GB"/>
        </w:rPr>
        <w:t xml:space="preserve">started to </w:t>
      </w:r>
      <w:r w:rsidRPr="00CD0588">
        <w:rPr>
          <w:rFonts w:ascii="Verdana" w:hAnsi="Verdana"/>
          <w:sz w:val="20"/>
          <w:szCs w:val="20"/>
          <w:lang w:val="en-GB"/>
        </w:rPr>
        <w:t xml:space="preserve">provide assistance in following up on the tasks and activities of the Social Dimension </w:t>
      </w:r>
      <w:r>
        <w:rPr>
          <w:rFonts w:ascii="Verdana" w:hAnsi="Verdana"/>
          <w:sz w:val="20"/>
          <w:szCs w:val="20"/>
          <w:lang w:val="en-GB"/>
        </w:rPr>
        <w:t>and Lifelong Learning WG</w:t>
      </w:r>
      <w:r w:rsidRPr="00CD0588">
        <w:rPr>
          <w:rFonts w:ascii="Verdana" w:hAnsi="Verdana"/>
          <w:sz w:val="20"/>
          <w:szCs w:val="20"/>
          <w:lang w:val="en-GB"/>
        </w:rPr>
        <w:t>.</w:t>
      </w:r>
    </w:p>
    <w:p w14:paraId="4AE7C16A" w14:textId="64D8EFBE" w:rsidR="00162EE2" w:rsidRDefault="00162EE2" w:rsidP="00092204">
      <w:pPr>
        <w:spacing w:before="180" w:after="120" w:line="288" w:lineRule="auto"/>
        <w:ind w:right="-772"/>
        <w:jc w:val="both"/>
        <w:rPr>
          <w:rFonts w:ascii="Verdana" w:hAnsi="Verdana"/>
          <w:sz w:val="20"/>
          <w:szCs w:val="20"/>
        </w:rPr>
      </w:pPr>
      <w:r w:rsidRPr="004332FC">
        <w:rPr>
          <w:rFonts w:ascii="Verdana" w:hAnsi="Verdana"/>
          <w:sz w:val="20"/>
          <w:szCs w:val="20"/>
        </w:rPr>
        <w:t xml:space="preserve">18 countries – Armenia, Austria, Belgium/Flemish Community, Croatia, Cyprus, Denmark, Finland, France, Germany, Hungary, Ireland, Kazakhstan, Latvia, Lithuania, Norway, Romania, Ukraine and the United Kingdom/Scotland – and 6 </w:t>
      </w:r>
      <w:proofErr w:type="spellStart"/>
      <w:r w:rsidRPr="004332FC">
        <w:rPr>
          <w:rFonts w:ascii="Verdana" w:hAnsi="Verdana"/>
          <w:sz w:val="20"/>
          <w:szCs w:val="20"/>
        </w:rPr>
        <w:t>organisations</w:t>
      </w:r>
      <w:proofErr w:type="spellEnd"/>
      <w:r w:rsidRPr="004332FC">
        <w:rPr>
          <w:rFonts w:ascii="Verdana" w:hAnsi="Verdana"/>
          <w:sz w:val="20"/>
          <w:szCs w:val="20"/>
        </w:rPr>
        <w:t xml:space="preserve"> – the European Commission (EC), Education International (EI), </w:t>
      </w:r>
      <w:r w:rsidR="003E7BC0">
        <w:rPr>
          <w:rFonts w:ascii="Verdana" w:hAnsi="Verdana"/>
          <w:sz w:val="20"/>
          <w:szCs w:val="20"/>
        </w:rPr>
        <w:t>the European Association of Institutions in Higher Education (</w:t>
      </w:r>
      <w:r w:rsidRPr="004332FC">
        <w:rPr>
          <w:rFonts w:ascii="Verdana" w:hAnsi="Verdana"/>
          <w:sz w:val="20"/>
          <w:szCs w:val="20"/>
        </w:rPr>
        <w:t>EURASHE</w:t>
      </w:r>
      <w:r w:rsidR="003E7BC0">
        <w:rPr>
          <w:rFonts w:ascii="Verdana" w:hAnsi="Verdana"/>
          <w:sz w:val="20"/>
          <w:szCs w:val="20"/>
        </w:rPr>
        <w:t>)</w:t>
      </w:r>
      <w:r w:rsidRPr="004332FC">
        <w:rPr>
          <w:rFonts w:ascii="Verdana" w:hAnsi="Verdana"/>
          <w:sz w:val="20"/>
          <w:szCs w:val="20"/>
        </w:rPr>
        <w:t>, ESU, European University Association (EUA) and PL4SD project are represented in the WG</w:t>
      </w:r>
      <w:r w:rsidR="001016A5">
        <w:rPr>
          <w:rFonts w:ascii="Verdana" w:hAnsi="Verdana"/>
          <w:sz w:val="20"/>
          <w:szCs w:val="20"/>
        </w:rPr>
        <w:t xml:space="preserve"> (see </w:t>
      </w:r>
      <w:hyperlink w:anchor="Appendix%203" w:history="1">
        <w:r w:rsidR="001016A5" w:rsidRPr="006A6FEC">
          <w:rPr>
            <w:rStyle w:val="Hyperlink"/>
            <w:rFonts w:ascii="Verdana" w:hAnsi="Verdana"/>
            <w:sz w:val="20"/>
            <w:szCs w:val="20"/>
          </w:rPr>
          <w:t>Appendix 3</w:t>
        </w:r>
      </w:hyperlink>
      <w:r w:rsidR="001016A5">
        <w:rPr>
          <w:rFonts w:ascii="Verdana" w:hAnsi="Verdana"/>
          <w:sz w:val="20"/>
          <w:szCs w:val="20"/>
        </w:rPr>
        <w:t>)</w:t>
      </w:r>
      <w:r w:rsidRPr="004332FC">
        <w:rPr>
          <w:rFonts w:ascii="Verdana" w:hAnsi="Verdana"/>
          <w:sz w:val="20"/>
          <w:szCs w:val="20"/>
        </w:rPr>
        <w:t xml:space="preserve">. </w:t>
      </w:r>
    </w:p>
    <w:p w14:paraId="37F3DAB2" w14:textId="77777777" w:rsidR="00162EE2" w:rsidRPr="00CD0588" w:rsidRDefault="00162EE2" w:rsidP="00092204">
      <w:pPr>
        <w:spacing w:before="180" w:after="120" w:line="288" w:lineRule="auto"/>
        <w:ind w:right="-772"/>
        <w:jc w:val="both"/>
        <w:rPr>
          <w:rFonts w:ascii="Verdana" w:hAnsi="Verdana"/>
          <w:sz w:val="20"/>
          <w:szCs w:val="20"/>
        </w:rPr>
      </w:pPr>
      <w:r w:rsidRPr="00CD0588">
        <w:rPr>
          <w:rFonts w:ascii="Verdana" w:eastAsia="Times New Roman" w:hAnsi="Verdana"/>
          <w:sz w:val="20"/>
          <w:szCs w:val="20"/>
        </w:rPr>
        <w:t>According to</w:t>
      </w:r>
      <w:r>
        <w:rPr>
          <w:rFonts w:ascii="Verdana" w:eastAsia="Times New Roman" w:hAnsi="Verdana"/>
          <w:sz w:val="20"/>
          <w:szCs w:val="20"/>
        </w:rPr>
        <w:t xml:space="preserve"> its Terms of Reference for the period 2012-2015</w:t>
      </w:r>
      <w:r w:rsidRPr="00CD0588">
        <w:rPr>
          <w:rFonts w:ascii="Verdana" w:eastAsia="Times New Roman" w:hAnsi="Verdana"/>
          <w:sz w:val="20"/>
          <w:szCs w:val="20"/>
        </w:rPr>
        <w:t xml:space="preserve">, the </w:t>
      </w:r>
      <w:r>
        <w:rPr>
          <w:rFonts w:ascii="Verdana" w:eastAsia="Times New Roman" w:hAnsi="Verdana"/>
          <w:sz w:val="20"/>
          <w:szCs w:val="20"/>
        </w:rPr>
        <w:t>SD&amp;LLL</w:t>
      </w:r>
      <w:r w:rsidRPr="00CD0588">
        <w:rPr>
          <w:rFonts w:ascii="Verdana" w:eastAsia="Times New Roman" w:hAnsi="Verdana"/>
          <w:sz w:val="20"/>
          <w:szCs w:val="20"/>
        </w:rPr>
        <w:t xml:space="preserve"> </w:t>
      </w:r>
      <w:r>
        <w:rPr>
          <w:rFonts w:ascii="Verdana" w:eastAsia="Times New Roman" w:hAnsi="Verdana"/>
          <w:sz w:val="20"/>
          <w:szCs w:val="20"/>
        </w:rPr>
        <w:t>WG</w:t>
      </w:r>
      <w:r w:rsidRPr="00CD0588">
        <w:rPr>
          <w:rFonts w:ascii="Verdana" w:eastAsia="Times New Roman" w:hAnsi="Verdana"/>
          <w:sz w:val="20"/>
          <w:szCs w:val="20"/>
        </w:rPr>
        <w:t xml:space="preserve"> has the following</w:t>
      </w:r>
      <w:r>
        <w:rPr>
          <w:rFonts w:ascii="Verdana" w:eastAsia="Times New Roman" w:hAnsi="Verdana"/>
          <w:sz w:val="20"/>
          <w:szCs w:val="20"/>
        </w:rPr>
        <w:t xml:space="preserve"> overarching</w:t>
      </w:r>
      <w:r w:rsidRPr="00CD0588">
        <w:rPr>
          <w:rFonts w:ascii="Verdana" w:eastAsia="Times New Roman" w:hAnsi="Verdana"/>
          <w:sz w:val="20"/>
          <w:szCs w:val="20"/>
        </w:rPr>
        <w:t xml:space="preserve"> aims:</w:t>
      </w:r>
    </w:p>
    <w:p w14:paraId="2119BAAE" w14:textId="77777777" w:rsidR="00162EE2" w:rsidRPr="00C24C78" w:rsidRDefault="00162EE2" w:rsidP="00092204">
      <w:pPr>
        <w:pStyle w:val="Defaul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autoSpaceDE w:val="0"/>
        <w:autoSpaceDN w:val="0"/>
        <w:adjustRightInd w:val="0"/>
        <w:spacing w:after="120" w:line="288" w:lineRule="auto"/>
        <w:ind w:left="426" w:right="-772" w:hanging="284"/>
        <w:jc w:val="both"/>
        <w:rPr>
          <w:rFonts w:ascii="Verdana" w:eastAsia="MS Mincho" w:hAnsi="Verdana"/>
          <w:sz w:val="20"/>
        </w:rPr>
      </w:pPr>
      <w:r w:rsidRPr="00C24C78">
        <w:rPr>
          <w:rFonts w:ascii="Verdana" w:eastAsia="MS Mincho" w:hAnsi="Verdana"/>
          <w:sz w:val="20"/>
        </w:rPr>
        <w:t>To further support the development of the social dimension of higher education at national and</w:t>
      </w:r>
      <w:r>
        <w:rPr>
          <w:rFonts w:ascii="Verdana" w:eastAsia="MS Mincho" w:hAnsi="Verdana"/>
          <w:sz w:val="20"/>
        </w:rPr>
        <w:t xml:space="preserve"> the</w:t>
      </w:r>
      <w:r w:rsidRPr="00C24C78">
        <w:rPr>
          <w:rFonts w:ascii="Verdana" w:eastAsia="MS Mincho" w:hAnsi="Verdana"/>
          <w:sz w:val="20"/>
        </w:rPr>
        <w:t xml:space="preserve"> EHEA level through</w:t>
      </w:r>
      <w:r w:rsidRPr="00C24C78">
        <w:rPr>
          <w:rFonts w:ascii="Verdana" w:hAnsi="Verdana"/>
          <w:sz w:val="20"/>
        </w:rPr>
        <w:t xml:space="preserve"> </w:t>
      </w:r>
      <w:r w:rsidRPr="00C24C78">
        <w:rPr>
          <w:rFonts w:ascii="Verdana" w:hAnsi="Verdana" w:cs="Times New Roman"/>
          <w:color w:val="auto"/>
          <w:sz w:val="20"/>
          <w:szCs w:val="20"/>
        </w:rPr>
        <w:t>strengthening policies to</w:t>
      </w:r>
      <w:r w:rsidRPr="00C24C78">
        <w:rPr>
          <w:rFonts w:ascii="Verdana" w:hAnsi="Verdana"/>
          <w:sz w:val="20"/>
          <w:szCs w:val="20"/>
        </w:rPr>
        <w:t xml:space="preserve"> widen overall access, </w:t>
      </w:r>
      <w:r w:rsidRPr="00C24C78">
        <w:rPr>
          <w:rFonts w:ascii="Verdana" w:hAnsi="Verdana" w:cs="Times New Roman"/>
          <w:color w:val="auto"/>
          <w:sz w:val="20"/>
          <w:szCs w:val="20"/>
        </w:rPr>
        <w:t>raising completion rates</w:t>
      </w:r>
      <w:r w:rsidRPr="00C24C78">
        <w:rPr>
          <w:rFonts w:ascii="Verdana" w:hAnsi="Verdana"/>
          <w:sz w:val="20"/>
          <w:szCs w:val="20"/>
        </w:rPr>
        <w:t xml:space="preserve"> and targeting</w:t>
      </w:r>
      <w:r w:rsidRPr="00C24C78">
        <w:rPr>
          <w:rFonts w:ascii="Verdana" w:hAnsi="Verdana" w:cs="Times New Roman"/>
          <w:color w:val="auto"/>
          <w:sz w:val="20"/>
          <w:szCs w:val="20"/>
        </w:rPr>
        <w:t xml:space="preserve"> the increased participation of underrepresented groups</w:t>
      </w:r>
      <w:r>
        <w:rPr>
          <w:rFonts w:ascii="Verdana" w:hAnsi="Verdana" w:cs="Times New Roman"/>
          <w:color w:val="auto"/>
          <w:sz w:val="20"/>
          <w:szCs w:val="20"/>
        </w:rPr>
        <w:t>.</w:t>
      </w:r>
    </w:p>
    <w:p w14:paraId="731B5AC8" w14:textId="77777777" w:rsidR="00162EE2" w:rsidRDefault="00162EE2" w:rsidP="00092204">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spacing w:after="120" w:line="288" w:lineRule="auto"/>
        <w:ind w:left="426" w:right="-772" w:hanging="284"/>
        <w:jc w:val="both"/>
        <w:rPr>
          <w:rFonts w:ascii="Verdana" w:hAnsi="Verdana"/>
          <w:sz w:val="20"/>
        </w:rPr>
      </w:pPr>
      <w:r w:rsidRPr="00C24C78">
        <w:rPr>
          <w:rFonts w:ascii="Verdana" w:hAnsi="Verdana"/>
          <w:sz w:val="20"/>
        </w:rPr>
        <w:t xml:space="preserve">To assist </w:t>
      </w:r>
      <w:r>
        <w:rPr>
          <w:rFonts w:ascii="Verdana" w:hAnsi="Verdana"/>
          <w:sz w:val="20"/>
        </w:rPr>
        <w:t xml:space="preserve">the </w:t>
      </w:r>
      <w:r w:rsidRPr="00C24C78">
        <w:rPr>
          <w:rFonts w:ascii="Verdana" w:hAnsi="Verdana"/>
          <w:sz w:val="20"/>
        </w:rPr>
        <w:t>EHEA countries in their work to enhance employability and lifelong learning through improved coopera</w:t>
      </w:r>
      <w:r>
        <w:rPr>
          <w:rFonts w:ascii="Verdana" w:hAnsi="Verdana"/>
          <w:sz w:val="20"/>
        </w:rPr>
        <w:t>tion with relevant stakeholders.</w:t>
      </w:r>
      <w:r w:rsidRPr="00C24C78">
        <w:rPr>
          <w:rFonts w:ascii="Verdana" w:hAnsi="Verdana"/>
          <w:sz w:val="20"/>
        </w:rPr>
        <w:t xml:space="preserve"> </w:t>
      </w:r>
    </w:p>
    <w:p w14:paraId="7B76A5FC" w14:textId="77777777" w:rsidR="00162EE2" w:rsidRPr="00C502E3" w:rsidRDefault="00162EE2" w:rsidP="00092204">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spacing w:after="120" w:line="288" w:lineRule="auto"/>
        <w:ind w:left="426" w:right="-772" w:hanging="284"/>
        <w:jc w:val="both"/>
        <w:rPr>
          <w:rFonts w:ascii="Verdana" w:hAnsi="Verdana"/>
          <w:sz w:val="20"/>
        </w:rPr>
      </w:pPr>
      <w:r w:rsidRPr="005B73D9">
        <w:rPr>
          <w:rFonts w:ascii="Verdana" w:hAnsi="Verdana" w:cs="Arial"/>
          <w:sz w:val="20"/>
        </w:rPr>
        <w:lastRenderedPageBreak/>
        <w:t>To work closely with the sponsoring consortium on the development of the pilot project on peer learning for the social dimension of higher education (PL4SD), with a general oversight mandate to further BFUG social dimension goals.</w:t>
      </w:r>
      <w:r w:rsidRPr="005B73D9">
        <w:rPr>
          <w:rFonts w:ascii="Verdana" w:eastAsia="Times New Roman" w:hAnsi="Verdana"/>
          <w:sz w:val="20"/>
          <w:szCs w:val="20"/>
        </w:rPr>
        <w:tab/>
      </w:r>
    </w:p>
    <w:p w14:paraId="11CAB427" w14:textId="77777777" w:rsidR="00162EE2" w:rsidRPr="003A63FF" w:rsidRDefault="00162EE2" w:rsidP="00092204">
      <w:pPr>
        <w:pStyle w:val="Sombreadovistoso-nfasis3"/>
        <w:spacing w:after="120" w:line="288" w:lineRule="auto"/>
        <w:ind w:left="0" w:right="-772"/>
        <w:contextualSpacing/>
        <w:jc w:val="both"/>
        <w:rPr>
          <w:rFonts w:ascii="Verdana" w:hAnsi="Verdana"/>
          <w:sz w:val="20"/>
          <w:szCs w:val="20"/>
          <w:lang w:val="en-GB"/>
        </w:rPr>
      </w:pPr>
      <w:r>
        <w:rPr>
          <w:rFonts w:ascii="Verdana" w:eastAsia="Times New Roman" w:hAnsi="Verdana"/>
          <w:bCs/>
          <w:sz w:val="20"/>
          <w:szCs w:val="20"/>
          <w:lang w:val="en-GB"/>
        </w:rPr>
        <w:t>Drawing upon the BFUG 2012-2015 work plan, the WG</w:t>
      </w:r>
      <w:r w:rsidRPr="00CD0588">
        <w:rPr>
          <w:rFonts w:ascii="Verdana" w:eastAsia="Times New Roman" w:hAnsi="Verdana"/>
          <w:bCs/>
          <w:sz w:val="20"/>
          <w:szCs w:val="20"/>
          <w:lang w:val="en-GB"/>
        </w:rPr>
        <w:t xml:space="preserve"> has also set a number of </w:t>
      </w:r>
      <w:r>
        <w:rPr>
          <w:rFonts w:ascii="Verdana" w:eastAsia="Times New Roman" w:hAnsi="Verdana"/>
          <w:bCs/>
          <w:sz w:val="20"/>
          <w:szCs w:val="20"/>
          <w:lang w:val="en-GB"/>
        </w:rPr>
        <w:t>objectives to help accomplish its mandate:</w:t>
      </w:r>
    </w:p>
    <w:p w14:paraId="286DFC88" w14:textId="77777777" w:rsidR="00162EE2" w:rsidRPr="008E0AF9" w:rsidRDefault="00162EE2" w:rsidP="00092204">
      <w:pPr>
        <w:pStyle w:val="Sombreadovistoso-nfasis3"/>
        <w:numPr>
          <w:ilvl w:val="0"/>
          <w:numId w:val="34"/>
        </w:numPr>
        <w:spacing w:after="120" w:line="288" w:lineRule="auto"/>
        <w:ind w:left="459" w:right="-772" w:hanging="283"/>
        <w:contextualSpacing/>
        <w:jc w:val="both"/>
        <w:rPr>
          <w:rFonts w:ascii="Verdana" w:hAnsi="Verdana"/>
          <w:sz w:val="20"/>
          <w:szCs w:val="20"/>
          <w:lang w:val="en-GB"/>
        </w:rPr>
      </w:pPr>
      <w:r w:rsidRPr="008E0AF9">
        <w:rPr>
          <w:rFonts w:ascii="Verdana" w:hAnsi="Verdana" w:cs="Arial"/>
          <w:sz w:val="20"/>
          <w:szCs w:val="20"/>
          <w:lang w:val="en-GB" w:eastAsia="nl-NL"/>
        </w:rPr>
        <w:t xml:space="preserve">To fulfil the Ministerial commitment to </w:t>
      </w:r>
      <w:r w:rsidRPr="008E0AF9">
        <w:rPr>
          <w:rFonts w:ascii="Verdana" w:hAnsi="Verdana"/>
          <w:sz w:val="20"/>
          <w:szCs w:val="20"/>
          <w:lang w:val="en-GB"/>
        </w:rPr>
        <w:t xml:space="preserve">adopt national measures for widening overall access to quality higher education by supporting EHEA countries in their work to develop and implement national access plans or strategies. </w:t>
      </w:r>
    </w:p>
    <w:p w14:paraId="1E7DC85F" w14:textId="77777777" w:rsidR="00162EE2" w:rsidRPr="008E0AF9" w:rsidRDefault="00162EE2" w:rsidP="00092204">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517"/>
          <w:tab w:val="num" w:pos="426"/>
        </w:tabs>
        <w:spacing w:after="120" w:line="288" w:lineRule="auto"/>
        <w:ind w:left="426" w:right="-772" w:hanging="250"/>
        <w:jc w:val="both"/>
        <w:rPr>
          <w:rFonts w:ascii="Verdana" w:hAnsi="Verdana" w:cs="Arial"/>
          <w:sz w:val="20"/>
        </w:rPr>
      </w:pPr>
      <w:r w:rsidRPr="008E0AF9">
        <w:rPr>
          <w:rFonts w:ascii="Verdana" w:hAnsi="Verdana" w:cs="Quadraat-Regular"/>
          <w:sz w:val="20"/>
        </w:rPr>
        <w:t xml:space="preserve">To </w:t>
      </w:r>
      <w:proofErr w:type="spellStart"/>
      <w:r w:rsidRPr="008E0AF9">
        <w:rPr>
          <w:rFonts w:ascii="Verdana" w:hAnsi="Verdana" w:cs="Quadraat-Regular"/>
          <w:sz w:val="20"/>
        </w:rPr>
        <w:t>mobilise</w:t>
      </w:r>
      <w:proofErr w:type="spellEnd"/>
      <w:r w:rsidRPr="008E0AF9">
        <w:rPr>
          <w:rFonts w:ascii="Verdana" w:hAnsi="Verdana" w:cs="Quadraat-Regular"/>
          <w:sz w:val="20"/>
        </w:rPr>
        <w:t xml:space="preserve"> </w:t>
      </w:r>
      <w:r w:rsidRPr="008E0AF9">
        <w:rPr>
          <w:rFonts w:ascii="Verdana" w:hAnsi="Verdana"/>
          <w:sz w:val="20"/>
        </w:rPr>
        <w:t>the cooperation of all relevant actors in pursuing efforts to promote greater access, participation and completion rates in higher education for all students.</w:t>
      </w:r>
    </w:p>
    <w:p w14:paraId="5A7CAB9E" w14:textId="77777777" w:rsidR="00162EE2" w:rsidRPr="008E0AF9" w:rsidRDefault="00162EE2" w:rsidP="00092204">
      <w:pPr>
        <w:pStyle w:val="Sombreadovistoso-nfasis3"/>
        <w:numPr>
          <w:ilvl w:val="0"/>
          <w:numId w:val="34"/>
        </w:numPr>
        <w:spacing w:after="120" w:line="288" w:lineRule="auto"/>
        <w:ind w:left="459" w:right="-772" w:hanging="283"/>
        <w:contextualSpacing/>
        <w:jc w:val="both"/>
        <w:rPr>
          <w:rFonts w:ascii="Verdana" w:hAnsi="Verdana"/>
          <w:sz w:val="20"/>
          <w:szCs w:val="20"/>
          <w:lang w:val="en-GB"/>
        </w:rPr>
      </w:pPr>
      <w:r w:rsidRPr="008E0AF9">
        <w:rPr>
          <w:rFonts w:ascii="Verdana" w:hAnsi="Verdana"/>
          <w:sz w:val="20"/>
          <w:szCs w:val="20"/>
          <w:lang w:val="en-GB"/>
        </w:rPr>
        <w:t xml:space="preserve">To support the development of common approaches in monitoring the implementation of national access </w:t>
      </w:r>
      <w:r w:rsidRPr="006F7F14">
        <w:rPr>
          <w:rFonts w:ascii="Verdana" w:hAnsi="Verdana"/>
          <w:sz w:val="20"/>
          <w:szCs w:val="20"/>
          <w:lang w:val="en-GB"/>
        </w:rPr>
        <w:t xml:space="preserve">plans by </w:t>
      </w:r>
      <w:r w:rsidRPr="006F7F14">
        <w:rPr>
          <w:rFonts w:ascii="Verdana" w:eastAsia="Times New Roman" w:hAnsi="Verdana"/>
          <w:sz w:val="20"/>
          <w:szCs w:val="20"/>
          <w:lang w:val="en-GB"/>
        </w:rPr>
        <w:t>elaborating core indicators that</w:t>
      </w:r>
      <w:r w:rsidRPr="008E0AF9">
        <w:rPr>
          <w:rFonts w:ascii="Verdana" w:eastAsia="Times New Roman" w:hAnsi="Verdana"/>
          <w:sz w:val="20"/>
          <w:szCs w:val="20"/>
          <w:lang w:val="en-GB"/>
        </w:rPr>
        <w:t xml:space="preserve"> may be used for measuring and monitoring the relevant aspects of the social dimension in higher education.</w:t>
      </w:r>
    </w:p>
    <w:p w14:paraId="7BD0B4B2" w14:textId="77777777" w:rsidR="00162EE2" w:rsidRPr="008E0AF9" w:rsidRDefault="00162EE2" w:rsidP="00092204">
      <w:pPr>
        <w:pStyle w:val="Sombreadovistoso-nfasis3"/>
        <w:numPr>
          <w:ilvl w:val="0"/>
          <w:numId w:val="34"/>
        </w:numPr>
        <w:spacing w:after="120" w:line="288" w:lineRule="auto"/>
        <w:ind w:left="459" w:right="-772" w:hanging="283"/>
        <w:contextualSpacing/>
        <w:jc w:val="both"/>
        <w:rPr>
          <w:rFonts w:ascii="Verdana" w:hAnsi="Verdana"/>
          <w:sz w:val="20"/>
          <w:szCs w:val="20"/>
          <w:lang w:val="en-GB"/>
        </w:rPr>
      </w:pPr>
      <w:r w:rsidRPr="008E0AF9">
        <w:rPr>
          <w:rFonts w:ascii="Verdana" w:eastAsia="Times New Roman" w:hAnsi="Verdana"/>
          <w:sz w:val="20"/>
          <w:szCs w:val="20"/>
          <w:lang w:val="en-GB"/>
        </w:rPr>
        <w:t xml:space="preserve">To promote the development and implementation of institution-level strategies for </w:t>
      </w:r>
      <w:r w:rsidRPr="008E0AF9">
        <w:rPr>
          <w:rFonts w:ascii="Verdana" w:hAnsi="Verdana" w:cs="Times New Roman"/>
          <w:sz w:val="20"/>
          <w:szCs w:val="20"/>
          <w:lang w:val="en-GB"/>
        </w:rPr>
        <w:t>widening access, targeting the increased participation of underrepresented groups and raising completion rates.</w:t>
      </w:r>
    </w:p>
    <w:p w14:paraId="10B10AE0" w14:textId="77777777" w:rsidR="00162EE2" w:rsidRPr="008E0AF9" w:rsidRDefault="00162EE2" w:rsidP="00092204">
      <w:pPr>
        <w:pStyle w:val="Sombreadovistoso-nfasis3"/>
        <w:numPr>
          <w:ilvl w:val="0"/>
          <w:numId w:val="34"/>
        </w:numPr>
        <w:spacing w:after="120" w:line="288" w:lineRule="auto"/>
        <w:ind w:left="459" w:right="-772" w:hanging="283"/>
        <w:contextualSpacing/>
        <w:jc w:val="both"/>
        <w:rPr>
          <w:rFonts w:ascii="Verdana" w:hAnsi="Verdana"/>
          <w:sz w:val="20"/>
          <w:szCs w:val="20"/>
          <w:lang w:val="en-GB"/>
        </w:rPr>
      </w:pPr>
      <w:r w:rsidRPr="008E0AF9">
        <w:rPr>
          <w:rFonts w:ascii="Verdana" w:hAnsi="Verdana" w:cs="Calibri Bold Italic"/>
          <w:iCs/>
          <w:sz w:val="20"/>
        </w:rPr>
        <w:t xml:space="preserve">To address the need for a more supportive environment for teachers, with specific emphasis on emerging pedagogical and didactical requirements to support the needs of a more diverse student population and improve their completion rates, through practical recommendations on implementing student-centered learning (SCL). </w:t>
      </w:r>
    </w:p>
    <w:p w14:paraId="72FAF0BD" w14:textId="77777777" w:rsidR="00162EE2" w:rsidRPr="008E0AF9" w:rsidRDefault="00162EE2" w:rsidP="00092204">
      <w:pPr>
        <w:pStyle w:val="Sombreadovistoso-nfasis3"/>
        <w:numPr>
          <w:ilvl w:val="0"/>
          <w:numId w:val="34"/>
        </w:numPr>
        <w:spacing w:after="120" w:line="288" w:lineRule="auto"/>
        <w:ind w:left="459" w:right="-772" w:hanging="283"/>
        <w:contextualSpacing/>
        <w:jc w:val="both"/>
        <w:rPr>
          <w:rFonts w:ascii="Verdana" w:hAnsi="Verdana"/>
          <w:sz w:val="20"/>
          <w:szCs w:val="20"/>
          <w:lang w:val="en-GB"/>
        </w:rPr>
      </w:pPr>
      <w:r w:rsidRPr="008E0AF9">
        <w:rPr>
          <w:rFonts w:ascii="Verdana" w:hAnsi="Verdana" w:cs="Calibri Bold Italic"/>
          <w:iCs/>
          <w:sz w:val="20"/>
        </w:rPr>
        <w:t>To address aspect of employability by advancing implementation of Bologna reforms and raising awareness on the purpose of those among stakeholders (including employers).</w:t>
      </w:r>
    </w:p>
    <w:p w14:paraId="343759C2" w14:textId="0E612B70" w:rsidR="00162EE2" w:rsidRPr="00A21671" w:rsidRDefault="00162EE2" w:rsidP="00A21671">
      <w:pPr>
        <w:pStyle w:val="Sombreadovistoso-nfasis3"/>
        <w:numPr>
          <w:ilvl w:val="0"/>
          <w:numId w:val="34"/>
        </w:numPr>
        <w:spacing w:after="120" w:line="288" w:lineRule="auto"/>
        <w:ind w:left="459" w:right="-772" w:hanging="283"/>
        <w:contextualSpacing/>
        <w:jc w:val="both"/>
        <w:rPr>
          <w:rFonts w:ascii="Verdana" w:hAnsi="Verdana"/>
          <w:sz w:val="20"/>
          <w:szCs w:val="20"/>
          <w:lang w:val="en-GB"/>
        </w:rPr>
      </w:pPr>
      <w:r w:rsidRPr="008E0AF9">
        <w:rPr>
          <w:rFonts w:ascii="Verdana" w:hAnsi="Verdana"/>
          <w:sz w:val="20"/>
        </w:rPr>
        <w:t xml:space="preserve">To support and guide the implementation of a pilot </w:t>
      </w:r>
      <w:r w:rsidRPr="008E0AF9">
        <w:rPr>
          <w:rFonts w:ascii="Verdana" w:hAnsi="Verdana" w:cs="Arial"/>
          <w:sz w:val="20"/>
        </w:rPr>
        <w:t>project (PL4SD) to facilitate peer learning on the social dimension of higher education</w:t>
      </w:r>
      <w:r w:rsidRPr="008E0AF9">
        <w:rPr>
          <w:rFonts w:ascii="Verdana" w:hAnsi="Verdana"/>
          <w:sz w:val="20"/>
        </w:rPr>
        <w:t xml:space="preserve"> which will assist EHEA countries in developing, implementing and monit</w:t>
      </w:r>
      <w:r>
        <w:rPr>
          <w:rFonts w:ascii="Verdana" w:hAnsi="Verdana"/>
          <w:sz w:val="20"/>
        </w:rPr>
        <w:t>oring social dimension policies.</w:t>
      </w:r>
    </w:p>
    <w:p w14:paraId="4A7B285D" w14:textId="77777777" w:rsidR="00162EE2" w:rsidRPr="00594EC1" w:rsidRDefault="00162EE2" w:rsidP="00092204">
      <w:pPr>
        <w:pStyle w:val="Heading1"/>
        <w:spacing w:after="120" w:line="288" w:lineRule="auto"/>
        <w:jc w:val="both"/>
      </w:pPr>
      <w:bookmarkStart w:id="15" w:name="_Toc278555191"/>
      <w:bookmarkStart w:id="16" w:name="_Toc278625893"/>
      <w:bookmarkStart w:id="17" w:name="_Toc283387968"/>
      <w:r>
        <w:t xml:space="preserve">2.   </w:t>
      </w:r>
      <w:r w:rsidRPr="00594EC1">
        <w:t>2012-2015 Social Dime</w:t>
      </w:r>
      <w:r>
        <w:t xml:space="preserve">nsion and Lifelong Learning WG: </w:t>
      </w:r>
      <w:r w:rsidRPr="00594EC1">
        <w:t>Achievement of the Action Plan</w:t>
      </w:r>
      <w:bookmarkEnd w:id="15"/>
      <w:bookmarkEnd w:id="16"/>
      <w:bookmarkEnd w:id="17"/>
    </w:p>
    <w:p w14:paraId="71C85D29" w14:textId="77777777" w:rsidR="00162EE2" w:rsidRPr="006734DA" w:rsidRDefault="00162EE2" w:rsidP="00092204">
      <w:pPr>
        <w:spacing w:after="120" w:line="288" w:lineRule="auto"/>
        <w:ind w:right="-772"/>
        <w:jc w:val="both"/>
        <w:rPr>
          <w:rFonts w:ascii="Verdana" w:hAnsi="Verdana" w:cs="Arial"/>
          <w:sz w:val="20"/>
          <w:szCs w:val="20"/>
          <w:lang w:eastAsia="nl-NL"/>
        </w:rPr>
      </w:pPr>
      <w:r w:rsidRPr="006734DA">
        <w:rPr>
          <w:rFonts w:ascii="Verdana" w:hAnsi="Verdana" w:cs="Arial"/>
          <w:sz w:val="20"/>
          <w:szCs w:val="20"/>
          <w:lang w:eastAsia="nl-NL"/>
        </w:rPr>
        <w:t xml:space="preserve">Within the discussion, which followed the 2012 Bucharest Ministerial Conference, there was a clear agreement that a more streamlined structure for the 2012-2015 BFUG work plan was necessary to allow the BFUG to play its role for strategic policy guidance, while concentrating on key policy issues, and </w:t>
      </w:r>
      <w:r w:rsidRPr="003A3871">
        <w:rPr>
          <w:rFonts w:ascii="Verdana" w:eastAsia="ＭＳ 明朝" w:hAnsi="Verdana" w:cs="Sassoun AM"/>
          <w:sz w:val="20"/>
          <w:szCs w:val="20"/>
        </w:rPr>
        <w:t>to ensure a close interaction between and better implementation of the interlinked policy areas</w:t>
      </w:r>
      <w:r w:rsidRPr="006734DA">
        <w:rPr>
          <w:rFonts w:ascii="Verdana" w:hAnsi="Verdana" w:cs="Arial"/>
          <w:sz w:val="20"/>
          <w:szCs w:val="20"/>
          <w:lang w:eastAsia="nl-NL"/>
        </w:rPr>
        <w:t>. To ensure this, the number of working groups was significantly reduced compared to that of the previous years, yet more responsibility and authority was endowed to the four working groups established for this period</w:t>
      </w:r>
      <w:r>
        <w:rPr>
          <w:rStyle w:val="FootnoteReference"/>
          <w:rFonts w:ascii="Verdana" w:hAnsi="Verdana" w:cs="Arial"/>
          <w:sz w:val="20"/>
          <w:szCs w:val="20"/>
          <w:lang w:eastAsia="nl-NL"/>
        </w:rPr>
        <w:footnoteReference w:id="13"/>
      </w:r>
      <w:r w:rsidRPr="006734DA">
        <w:rPr>
          <w:rFonts w:ascii="Verdana" w:hAnsi="Verdana" w:cs="Arial"/>
          <w:sz w:val="20"/>
          <w:szCs w:val="20"/>
          <w:lang w:eastAsia="nl-NL"/>
        </w:rPr>
        <w:t xml:space="preserve">. </w:t>
      </w:r>
    </w:p>
    <w:p w14:paraId="2EAAE4E2" w14:textId="77777777" w:rsidR="00162EE2" w:rsidRPr="003A3871" w:rsidRDefault="00162EE2" w:rsidP="00092204">
      <w:pPr>
        <w:spacing w:after="120" w:line="288" w:lineRule="auto"/>
        <w:ind w:right="-772"/>
        <w:jc w:val="both"/>
        <w:rPr>
          <w:rFonts w:ascii="Verdana" w:eastAsia="ＭＳ 明朝" w:hAnsi="Verdana" w:cs="Sassoun AM"/>
          <w:sz w:val="20"/>
          <w:szCs w:val="20"/>
        </w:rPr>
      </w:pPr>
      <w:r w:rsidRPr="003A3871">
        <w:rPr>
          <w:rFonts w:ascii="Verdana" w:eastAsia="ＭＳ 明朝" w:hAnsi="Verdana" w:cs="Sassoun AM"/>
          <w:sz w:val="20"/>
          <w:szCs w:val="20"/>
        </w:rPr>
        <w:lastRenderedPageBreak/>
        <w:t xml:space="preserve">Hence, starting its work in the second semester of 2012 the SD&amp;LLL WG has been dealing with the two respective policy issues of higher education. In order to increase the efficiency of its work, an action plan was developed according to the WG’s </w:t>
      </w:r>
      <w:proofErr w:type="spellStart"/>
      <w:r w:rsidRPr="003A3871">
        <w:rPr>
          <w:rFonts w:ascii="Verdana" w:eastAsia="ＭＳ 明朝" w:hAnsi="Verdana" w:cs="Sassoun AM"/>
          <w:sz w:val="20"/>
          <w:szCs w:val="20"/>
        </w:rPr>
        <w:t>ToR</w:t>
      </w:r>
      <w:proofErr w:type="spellEnd"/>
      <w:r w:rsidRPr="003A3871">
        <w:rPr>
          <w:rFonts w:ascii="Verdana" w:eastAsia="ＭＳ 明朝" w:hAnsi="Verdana" w:cs="Sassoun AM"/>
          <w:sz w:val="20"/>
          <w:szCs w:val="20"/>
        </w:rPr>
        <w:t xml:space="preserve">, which detailed the themes for each WG meeting as well as the expected outcomes. </w:t>
      </w:r>
    </w:p>
    <w:p w14:paraId="6D1B76A9" w14:textId="3715DF50" w:rsidR="00162EE2" w:rsidRDefault="00162EE2" w:rsidP="00092204">
      <w:pPr>
        <w:spacing w:after="120" w:line="288" w:lineRule="auto"/>
        <w:ind w:right="-772"/>
        <w:jc w:val="both"/>
        <w:rPr>
          <w:rFonts w:ascii="Verdana" w:hAnsi="Verdana"/>
          <w:sz w:val="20"/>
          <w:szCs w:val="20"/>
        </w:rPr>
      </w:pPr>
      <w:r w:rsidRPr="003A3871">
        <w:rPr>
          <w:rFonts w:ascii="Verdana" w:eastAsia="ＭＳ 明朝" w:hAnsi="Verdana" w:cs="Sassoun AM"/>
          <w:sz w:val="20"/>
          <w:szCs w:val="20"/>
        </w:rPr>
        <w:t xml:space="preserve">While accomplishing its mandate, </w:t>
      </w:r>
      <w:r>
        <w:rPr>
          <w:rFonts w:ascii="Verdana" w:hAnsi="Verdana"/>
          <w:sz w:val="20"/>
          <w:szCs w:val="20"/>
        </w:rPr>
        <w:t>the WG served as a platform for peer learning on the practices observed in the EHEA countries in the areas of the social dimension and lifelong learning and aimed at developing a common strategy to take further the implementation of the two policy areas. For this purpose, a sub-group was established to take the work on the strategy further in-between the WG’s meetings with the active guidance of the WG Co-Chairs.</w:t>
      </w:r>
      <w:r w:rsidR="00002F3A">
        <w:rPr>
          <w:rFonts w:ascii="Verdana" w:hAnsi="Verdana"/>
          <w:sz w:val="20"/>
          <w:szCs w:val="20"/>
        </w:rPr>
        <w:t xml:space="preserve"> </w:t>
      </w:r>
      <w:r w:rsidR="00AB64C4">
        <w:rPr>
          <w:rFonts w:ascii="Verdana" w:hAnsi="Verdana"/>
          <w:sz w:val="20"/>
          <w:szCs w:val="20"/>
        </w:rPr>
        <w:t>The strategy was a standing point on the agenda of the WG’s meetings and</w:t>
      </w:r>
      <w:r w:rsidR="00EB3531">
        <w:rPr>
          <w:rFonts w:ascii="Verdana" w:hAnsi="Verdana"/>
          <w:sz w:val="20"/>
          <w:szCs w:val="20"/>
        </w:rPr>
        <w:t xml:space="preserve"> is a result of </w:t>
      </w:r>
      <w:r w:rsidR="0038185E">
        <w:rPr>
          <w:rFonts w:ascii="Verdana" w:hAnsi="Verdana"/>
          <w:sz w:val="20"/>
          <w:szCs w:val="20"/>
        </w:rPr>
        <w:t>continuous discussi</w:t>
      </w:r>
      <w:r w:rsidR="00173F05">
        <w:rPr>
          <w:rFonts w:ascii="Verdana" w:hAnsi="Verdana"/>
          <w:sz w:val="20"/>
          <w:szCs w:val="20"/>
        </w:rPr>
        <w:t>ons and consultations among the WG members and their respective countries/</w:t>
      </w:r>
      <w:proofErr w:type="spellStart"/>
      <w:r w:rsidR="00173F05">
        <w:rPr>
          <w:rFonts w:ascii="Verdana" w:hAnsi="Verdana"/>
          <w:sz w:val="20"/>
          <w:szCs w:val="20"/>
        </w:rPr>
        <w:t>organisations</w:t>
      </w:r>
      <w:proofErr w:type="spellEnd"/>
      <w:r w:rsidR="00173F05">
        <w:rPr>
          <w:rFonts w:ascii="Verdana" w:hAnsi="Verdana"/>
          <w:sz w:val="20"/>
          <w:szCs w:val="20"/>
        </w:rPr>
        <w:t>.</w:t>
      </w:r>
    </w:p>
    <w:p w14:paraId="1E77E14D" w14:textId="742CC1D4" w:rsidR="00162EE2" w:rsidRDefault="00162EE2" w:rsidP="003749B4">
      <w:pPr>
        <w:spacing w:after="120" w:line="288" w:lineRule="auto"/>
        <w:ind w:right="-772"/>
        <w:jc w:val="both"/>
        <w:rPr>
          <w:rFonts w:ascii="Verdana" w:eastAsia="ＭＳ 明朝" w:hAnsi="Verdana" w:cs="Sassoun AM"/>
          <w:sz w:val="20"/>
          <w:szCs w:val="20"/>
        </w:rPr>
      </w:pPr>
      <w:r w:rsidRPr="003A3871">
        <w:rPr>
          <w:rFonts w:ascii="Verdana" w:eastAsia="ＭＳ 明朝" w:hAnsi="Verdana" w:cs="Sassoun AM"/>
          <w:sz w:val="20"/>
          <w:szCs w:val="20"/>
        </w:rPr>
        <w:t>Furthermore, several major thematic strands were identified under the WG’s remit</w:t>
      </w:r>
      <w:r w:rsidR="00F610A8">
        <w:rPr>
          <w:rFonts w:ascii="Verdana" w:eastAsia="ＭＳ 明朝" w:hAnsi="Verdana" w:cs="Sassoun AM"/>
          <w:sz w:val="20"/>
          <w:szCs w:val="20"/>
        </w:rPr>
        <w:t xml:space="preserve"> – access, teaching and learning, student supports and services, and lifelong learning and employability -</w:t>
      </w:r>
      <w:r w:rsidRPr="003A3871">
        <w:rPr>
          <w:rFonts w:ascii="Verdana" w:eastAsia="ＭＳ 明朝" w:hAnsi="Verdana" w:cs="Sassoun AM"/>
          <w:sz w:val="20"/>
          <w:szCs w:val="20"/>
        </w:rPr>
        <w:t xml:space="preserve"> and corresponding </w:t>
      </w:r>
      <w:r w:rsidR="00F610A8">
        <w:rPr>
          <w:rFonts w:ascii="Verdana" w:eastAsia="ＭＳ 明朝" w:hAnsi="Verdana" w:cs="Sassoun AM"/>
          <w:sz w:val="20"/>
          <w:szCs w:val="20"/>
        </w:rPr>
        <w:t>thematic groups (</w:t>
      </w:r>
      <w:r w:rsidR="00DA647D">
        <w:rPr>
          <w:rFonts w:ascii="Verdana" w:eastAsia="ＭＳ 明朝" w:hAnsi="Verdana" w:cs="Sassoun AM"/>
          <w:sz w:val="20"/>
          <w:szCs w:val="20"/>
        </w:rPr>
        <w:t>TGs</w:t>
      </w:r>
      <w:r w:rsidR="00F610A8">
        <w:rPr>
          <w:rFonts w:ascii="Verdana" w:eastAsia="ＭＳ 明朝" w:hAnsi="Verdana" w:cs="Sassoun AM"/>
          <w:sz w:val="20"/>
          <w:szCs w:val="20"/>
        </w:rPr>
        <w:t>)</w:t>
      </w:r>
      <w:r w:rsidRPr="003A3871">
        <w:rPr>
          <w:rFonts w:ascii="Verdana" w:eastAsia="ＭＳ 明朝" w:hAnsi="Verdana" w:cs="Sassoun AM"/>
          <w:sz w:val="20"/>
          <w:szCs w:val="20"/>
        </w:rPr>
        <w:t xml:space="preserve"> were formulated</w:t>
      </w:r>
      <w:r w:rsidR="00D8024E">
        <w:rPr>
          <w:rFonts w:ascii="Verdana" w:eastAsia="ＭＳ 明朝" w:hAnsi="Verdana" w:cs="Sassoun AM"/>
          <w:sz w:val="20"/>
          <w:szCs w:val="20"/>
        </w:rPr>
        <w:t xml:space="preserve"> and given specific tasks </w:t>
      </w:r>
      <w:r w:rsidR="0034489A">
        <w:rPr>
          <w:rFonts w:ascii="Verdana" w:eastAsia="ＭＳ 明朝" w:hAnsi="Verdana" w:cs="Sassoun AM"/>
          <w:sz w:val="20"/>
          <w:szCs w:val="20"/>
        </w:rPr>
        <w:t xml:space="preserve">as laid out in </w:t>
      </w:r>
      <w:r w:rsidR="00D8024E">
        <w:rPr>
          <w:rFonts w:ascii="Verdana" w:eastAsia="ＭＳ 明朝" w:hAnsi="Verdana" w:cs="Sassoun AM"/>
          <w:sz w:val="20"/>
          <w:szCs w:val="20"/>
        </w:rPr>
        <w:t>t</w:t>
      </w:r>
      <w:r w:rsidRPr="003A3871">
        <w:rPr>
          <w:rFonts w:ascii="Verdana" w:eastAsia="ＭＳ 明朝" w:hAnsi="Verdana" w:cs="Sassoun AM"/>
          <w:sz w:val="20"/>
          <w:szCs w:val="20"/>
        </w:rPr>
        <w:t>he WG’s action plan</w:t>
      </w:r>
      <w:r w:rsidR="00364159">
        <w:rPr>
          <w:rFonts w:ascii="Verdana" w:eastAsia="ＭＳ 明朝" w:hAnsi="Verdana" w:cs="Sassoun AM"/>
          <w:sz w:val="20"/>
          <w:szCs w:val="20"/>
        </w:rPr>
        <w:t xml:space="preserve"> </w:t>
      </w:r>
      <w:r w:rsidR="00E97345">
        <w:rPr>
          <w:rFonts w:ascii="Verdana" w:eastAsia="ＭＳ 明朝" w:hAnsi="Verdana" w:cs="Sassoun AM"/>
          <w:sz w:val="20"/>
          <w:szCs w:val="20"/>
        </w:rPr>
        <w:t>(</w:t>
      </w:r>
      <w:r w:rsidR="00B82650">
        <w:rPr>
          <w:rFonts w:ascii="Verdana" w:eastAsia="ＭＳ 明朝" w:hAnsi="Verdana" w:cs="Sassoun AM"/>
          <w:sz w:val="20"/>
          <w:szCs w:val="20"/>
        </w:rPr>
        <w:t xml:space="preserve">see </w:t>
      </w:r>
      <w:hyperlink w:anchor="Appendix_2" w:history="1">
        <w:r w:rsidR="00B06DFF" w:rsidRPr="006A6FEC">
          <w:rPr>
            <w:rStyle w:val="Hyperlink"/>
            <w:rFonts w:ascii="Verdana" w:eastAsia="ＭＳ 明朝" w:hAnsi="Verdana" w:cs="Sassoun AM"/>
            <w:sz w:val="20"/>
            <w:szCs w:val="20"/>
          </w:rPr>
          <w:t>Appendix</w:t>
        </w:r>
        <w:r w:rsidR="00E97345" w:rsidRPr="006A6FEC">
          <w:rPr>
            <w:rStyle w:val="Hyperlink"/>
            <w:rFonts w:ascii="Verdana" w:eastAsia="ＭＳ 明朝" w:hAnsi="Verdana" w:cs="Sassoun AM"/>
            <w:sz w:val="20"/>
            <w:szCs w:val="20"/>
          </w:rPr>
          <w:t xml:space="preserve"> 2</w:t>
        </w:r>
      </w:hyperlink>
      <w:r w:rsidR="00E97345">
        <w:rPr>
          <w:rFonts w:ascii="Verdana" w:eastAsia="ＭＳ 明朝" w:hAnsi="Verdana" w:cs="Sassoun AM"/>
          <w:sz w:val="20"/>
          <w:szCs w:val="20"/>
        </w:rPr>
        <w:t>)</w:t>
      </w:r>
      <w:r w:rsidRPr="003A3871">
        <w:rPr>
          <w:rFonts w:ascii="Verdana" w:eastAsia="ＭＳ 明朝" w:hAnsi="Verdana" w:cs="Sassoun AM"/>
          <w:sz w:val="20"/>
          <w:szCs w:val="20"/>
        </w:rPr>
        <w:t>.</w:t>
      </w:r>
    </w:p>
    <w:p w14:paraId="56ED756E" w14:textId="40CC1B77" w:rsidR="00226560" w:rsidRPr="00A21671" w:rsidRDefault="00A24110" w:rsidP="00A21671">
      <w:pPr>
        <w:spacing w:after="360" w:line="288" w:lineRule="auto"/>
        <w:ind w:right="-771"/>
        <w:jc w:val="both"/>
        <w:rPr>
          <w:rFonts w:ascii="Verdana" w:hAnsi="Verdana"/>
          <w:sz w:val="20"/>
          <w:szCs w:val="20"/>
        </w:rPr>
      </w:pPr>
      <w:r w:rsidRPr="003A3871">
        <w:rPr>
          <w:rFonts w:ascii="Verdana" w:eastAsia="ＭＳ 明朝" w:hAnsi="Verdana" w:cs="Sassoun AM"/>
          <w:sz w:val="20"/>
          <w:szCs w:val="20"/>
        </w:rPr>
        <w:t xml:space="preserve">The SD&amp;LLL WG </w:t>
      </w:r>
      <w:r>
        <w:rPr>
          <w:rFonts w:ascii="Verdana" w:hAnsi="Verdana"/>
          <w:sz w:val="20"/>
          <w:szCs w:val="20"/>
        </w:rPr>
        <w:t xml:space="preserve">acted </w:t>
      </w:r>
      <w:r w:rsidRPr="00B25D7C">
        <w:rPr>
          <w:rFonts w:ascii="Verdana" w:hAnsi="Verdana"/>
          <w:sz w:val="20"/>
          <w:szCs w:val="20"/>
        </w:rPr>
        <w:t xml:space="preserve">as the </w:t>
      </w:r>
      <w:r>
        <w:rPr>
          <w:rFonts w:ascii="Verdana" w:hAnsi="Verdana"/>
          <w:sz w:val="20"/>
          <w:szCs w:val="20"/>
        </w:rPr>
        <w:t xml:space="preserve">PL4SD </w:t>
      </w:r>
      <w:r w:rsidRPr="00B25D7C">
        <w:rPr>
          <w:rFonts w:ascii="Verdana" w:hAnsi="Verdana"/>
          <w:sz w:val="20"/>
          <w:szCs w:val="20"/>
        </w:rPr>
        <w:t xml:space="preserve">project’s Stakeholders’ Forum </w:t>
      </w:r>
      <w:r>
        <w:rPr>
          <w:rFonts w:ascii="Verdana" w:hAnsi="Verdana"/>
          <w:sz w:val="20"/>
          <w:szCs w:val="20"/>
        </w:rPr>
        <w:t>and</w:t>
      </w:r>
      <w:r w:rsidRPr="00B25D7C">
        <w:rPr>
          <w:rFonts w:ascii="Verdana" w:hAnsi="Verdana"/>
          <w:sz w:val="20"/>
          <w:szCs w:val="20"/>
        </w:rPr>
        <w:t xml:space="preserve"> </w:t>
      </w:r>
      <w:r>
        <w:rPr>
          <w:rFonts w:ascii="Verdana" w:hAnsi="Verdana"/>
          <w:sz w:val="20"/>
          <w:szCs w:val="20"/>
        </w:rPr>
        <w:t xml:space="preserve">had </w:t>
      </w:r>
      <w:r w:rsidRPr="00B25D7C">
        <w:rPr>
          <w:rFonts w:ascii="Verdana" w:hAnsi="Verdana"/>
          <w:sz w:val="20"/>
          <w:szCs w:val="20"/>
        </w:rPr>
        <w:t xml:space="preserve">an active participation in </w:t>
      </w:r>
      <w:r w:rsidRPr="008F773F">
        <w:rPr>
          <w:rFonts w:ascii="Verdana" w:hAnsi="Verdana"/>
          <w:sz w:val="20"/>
          <w:szCs w:val="20"/>
        </w:rPr>
        <w:t>advisin</w:t>
      </w:r>
      <w:r>
        <w:rPr>
          <w:rFonts w:ascii="Verdana" w:hAnsi="Verdana"/>
          <w:sz w:val="20"/>
          <w:szCs w:val="20"/>
        </w:rPr>
        <w:t xml:space="preserve">g and “steering” the </w:t>
      </w:r>
      <w:r w:rsidRPr="008F773F">
        <w:rPr>
          <w:rFonts w:ascii="Verdana" w:hAnsi="Verdana"/>
          <w:sz w:val="20"/>
          <w:szCs w:val="20"/>
        </w:rPr>
        <w:t>project.</w:t>
      </w:r>
      <w:r w:rsidRPr="00B25D7C">
        <w:rPr>
          <w:rFonts w:ascii="Verdana" w:hAnsi="Verdana"/>
          <w:sz w:val="20"/>
          <w:szCs w:val="20"/>
        </w:rPr>
        <w:t xml:space="preserve"> </w:t>
      </w:r>
      <w:r>
        <w:rPr>
          <w:rFonts w:ascii="Verdana" w:hAnsi="Verdana"/>
          <w:sz w:val="20"/>
          <w:szCs w:val="20"/>
        </w:rPr>
        <w:t xml:space="preserve">In addition, </w:t>
      </w:r>
      <w:r>
        <w:rPr>
          <w:rFonts w:ascii="Verdana" w:hAnsi="Verdana"/>
          <w:sz w:val="20"/>
        </w:rPr>
        <w:t>t</w:t>
      </w:r>
      <w:r w:rsidRPr="002A3B3F">
        <w:rPr>
          <w:rFonts w:ascii="Verdana" w:hAnsi="Verdana"/>
          <w:sz w:val="20"/>
        </w:rPr>
        <w:t>he WG country representatives assisted their respective Ministries i</w:t>
      </w:r>
      <w:r>
        <w:rPr>
          <w:rFonts w:ascii="Verdana" w:hAnsi="Verdana"/>
          <w:sz w:val="20"/>
        </w:rPr>
        <w:t>n filling in the social dimension</w:t>
      </w:r>
      <w:r w:rsidRPr="002A3B3F">
        <w:rPr>
          <w:rFonts w:ascii="Verdana" w:hAnsi="Verdana"/>
          <w:sz w:val="20"/>
        </w:rPr>
        <w:t xml:space="preserve"> and </w:t>
      </w:r>
      <w:r>
        <w:rPr>
          <w:rFonts w:ascii="Verdana" w:hAnsi="Verdana"/>
          <w:sz w:val="20"/>
        </w:rPr>
        <w:t>lifelong learning</w:t>
      </w:r>
      <w:r w:rsidRPr="002A3B3F">
        <w:rPr>
          <w:rFonts w:ascii="Verdana" w:hAnsi="Verdana"/>
          <w:sz w:val="20"/>
        </w:rPr>
        <w:t xml:space="preserve"> sections in the 2015 BFUG</w:t>
      </w:r>
      <w:r>
        <w:rPr>
          <w:rFonts w:ascii="Verdana" w:hAnsi="Verdana"/>
          <w:sz w:val="20"/>
        </w:rPr>
        <w:t xml:space="preserve"> data collection questionnaire</w:t>
      </w:r>
      <w:r w:rsidRPr="002A3B3F">
        <w:rPr>
          <w:rFonts w:ascii="Verdana" w:hAnsi="Verdana"/>
          <w:sz w:val="20"/>
        </w:rPr>
        <w:t>.</w:t>
      </w:r>
    </w:p>
    <w:p w14:paraId="2E85C921" w14:textId="0E69DF19" w:rsidR="00226560" w:rsidRPr="00142B8E" w:rsidRDefault="00002F3A" w:rsidP="00142B8E">
      <w:pPr>
        <w:pStyle w:val="Heading2"/>
        <w:ind w:right="-772"/>
        <w:jc w:val="both"/>
        <w:rPr>
          <w:i w:val="0"/>
        </w:rPr>
      </w:pPr>
      <w:bookmarkStart w:id="18" w:name="_Toc283387969"/>
      <w:r w:rsidRPr="00142B8E">
        <w:rPr>
          <w:i w:val="0"/>
        </w:rPr>
        <w:t xml:space="preserve">2.1. </w:t>
      </w:r>
      <w:r w:rsidR="00226560" w:rsidRPr="00142B8E">
        <w:rPr>
          <w:i w:val="0"/>
        </w:rPr>
        <w:t xml:space="preserve">Widening Participation for Equity and Growth - A Strategy for the Development of the Social Dimension and Lifelong Learning in the </w:t>
      </w:r>
      <w:r w:rsidR="00FE658A" w:rsidRPr="00142B8E">
        <w:rPr>
          <w:i w:val="0"/>
        </w:rPr>
        <w:t>EHEA</w:t>
      </w:r>
      <w:r w:rsidR="00226560" w:rsidRPr="00142B8E">
        <w:rPr>
          <w:i w:val="0"/>
        </w:rPr>
        <w:t xml:space="preserve"> to 2020</w:t>
      </w:r>
      <w:bookmarkEnd w:id="18"/>
    </w:p>
    <w:p w14:paraId="39CA98BE" w14:textId="671A196E" w:rsidR="00B9770F" w:rsidRDefault="00757D34" w:rsidP="00757D34">
      <w:pPr>
        <w:spacing w:after="120" w:line="288" w:lineRule="auto"/>
        <w:ind w:right="-772"/>
        <w:jc w:val="both"/>
        <w:rPr>
          <w:rFonts w:ascii="Verdana" w:hAnsi="Verdana" w:cs="Arial"/>
          <w:sz w:val="20"/>
          <w:szCs w:val="20"/>
          <w:lang w:eastAsia="nl-NL"/>
        </w:rPr>
      </w:pPr>
      <w:r w:rsidRPr="006F31E0">
        <w:rPr>
          <w:rFonts w:ascii="Verdana" w:hAnsi="Verdana" w:cs="Arial"/>
          <w:sz w:val="20"/>
          <w:szCs w:val="20"/>
          <w:lang w:eastAsia="nl-NL"/>
        </w:rPr>
        <w:t>In many EHEA countries, there are already measures in place to address the under-representation of particular societal groups in higher educati</w:t>
      </w:r>
      <w:r>
        <w:rPr>
          <w:rFonts w:ascii="Verdana" w:hAnsi="Verdana" w:cs="Arial"/>
          <w:sz w:val="20"/>
          <w:szCs w:val="20"/>
          <w:lang w:eastAsia="nl-NL"/>
        </w:rPr>
        <w:t>on, but as the 2012 Bologna Implementation Report highlights “the question remains as to whether national higher education policy gives sufficient priority to these issues”</w:t>
      </w:r>
      <w:r w:rsidRPr="00BC6F96">
        <w:rPr>
          <w:rStyle w:val="FootnoteReference"/>
          <w:rFonts w:ascii="Verdana" w:hAnsi="Verdana" w:cs="Arial"/>
          <w:sz w:val="20"/>
          <w:szCs w:val="20"/>
          <w:lang w:eastAsia="nl-NL"/>
        </w:rPr>
        <w:t xml:space="preserve"> </w:t>
      </w:r>
      <w:r w:rsidRPr="00CA0FD1">
        <w:rPr>
          <w:rStyle w:val="FootnoteReference"/>
          <w:rFonts w:ascii="Verdana" w:hAnsi="Verdana" w:cs="Arial"/>
          <w:sz w:val="20"/>
          <w:szCs w:val="20"/>
          <w:lang w:eastAsia="nl-NL"/>
        </w:rPr>
        <w:footnoteReference w:id="14"/>
      </w:r>
      <w:r>
        <w:rPr>
          <w:rFonts w:ascii="Verdana" w:hAnsi="Verdana" w:cs="Arial"/>
          <w:sz w:val="20"/>
          <w:szCs w:val="20"/>
          <w:lang w:eastAsia="nl-NL"/>
        </w:rPr>
        <w:t xml:space="preserve">.  In </w:t>
      </w:r>
      <w:r w:rsidR="007F1F3F">
        <w:rPr>
          <w:rFonts w:ascii="Verdana" w:hAnsi="Verdana" w:cs="Arial"/>
          <w:sz w:val="20"/>
          <w:szCs w:val="20"/>
          <w:lang w:eastAsia="nl-NL"/>
        </w:rPr>
        <w:t>addition,</w:t>
      </w:r>
      <w:r w:rsidRPr="00CA0FD1">
        <w:rPr>
          <w:rFonts w:ascii="Verdana" w:hAnsi="Verdana" w:cs="Arial"/>
          <w:sz w:val="20"/>
          <w:szCs w:val="20"/>
          <w:lang w:eastAsia="nl-NL"/>
        </w:rPr>
        <w:t xml:space="preserve"> the analysis of data on HE participation and attainment </w:t>
      </w:r>
      <w:r>
        <w:rPr>
          <w:rFonts w:ascii="Verdana" w:hAnsi="Verdana" w:cs="Arial"/>
          <w:sz w:val="20"/>
          <w:szCs w:val="20"/>
          <w:lang w:eastAsia="nl-NL"/>
        </w:rPr>
        <w:t xml:space="preserve">as shown in the Report </w:t>
      </w:r>
      <w:r w:rsidRPr="00CA0FD1">
        <w:rPr>
          <w:rFonts w:ascii="Verdana" w:hAnsi="Verdana" w:cs="Arial"/>
          <w:sz w:val="20"/>
          <w:szCs w:val="20"/>
          <w:lang w:eastAsia="nl-NL"/>
        </w:rPr>
        <w:t>indicates that the goal of providing equal chances for all in the EHEA has not yet been achieved.</w:t>
      </w:r>
      <w:r>
        <w:rPr>
          <w:rFonts w:ascii="Verdana" w:hAnsi="Verdana" w:cs="Arial"/>
          <w:sz w:val="20"/>
          <w:szCs w:val="20"/>
          <w:lang w:eastAsia="nl-NL"/>
        </w:rPr>
        <w:t xml:space="preserve"> </w:t>
      </w:r>
    </w:p>
    <w:p w14:paraId="4190C14E" w14:textId="58FAC6EC" w:rsidR="00A21671" w:rsidRPr="00A21671" w:rsidRDefault="00757D34" w:rsidP="00A21671">
      <w:pPr>
        <w:spacing w:after="360" w:line="288" w:lineRule="auto"/>
        <w:ind w:right="-771"/>
        <w:jc w:val="both"/>
        <w:rPr>
          <w:rFonts w:ascii="Verdana" w:hAnsi="Verdana" w:cs="Helvetica"/>
          <w:bCs/>
          <w:sz w:val="20"/>
          <w:szCs w:val="20"/>
        </w:rPr>
      </w:pPr>
      <w:r>
        <w:rPr>
          <w:rFonts w:ascii="Verdana" w:hAnsi="Verdana" w:cs="Arial"/>
          <w:sz w:val="20"/>
          <w:szCs w:val="20"/>
          <w:lang w:eastAsia="nl-NL"/>
        </w:rPr>
        <w:t xml:space="preserve">Hence, </w:t>
      </w:r>
      <w:r w:rsidR="00B9770F">
        <w:rPr>
          <w:rFonts w:ascii="Verdana" w:hAnsi="Verdana" w:cs="Arial"/>
          <w:sz w:val="20"/>
          <w:szCs w:val="20"/>
          <w:lang w:eastAsia="nl-NL"/>
        </w:rPr>
        <w:t>acknowledging that more concrete me</w:t>
      </w:r>
      <w:r w:rsidR="00694267">
        <w:rPr>
          <w:rFonts w:ascii="Verdana" w:hAnsi="Verdana" w:cs="Arial"/>
          <w:sz w:val="20"/>
          <w:szCs w:val="20"/>
          <w:lang w:eastAsia="nl-NL"/>
        </w:rPr>
        <w:t>asures are required to take the</w:t>
      </w:r>
      <w:r w:rsidR="00B9770F">
        <w:rPr>
          <w:rFonts w:ascii="Verdana" w:hAnsi="Verdana" w:cs="Arial"/>
          <w:sz w:val="20"/>
          <w:szCs w:val="20"/>
          <w:lang w:eastAsia="nl-NL"/>
        </w:rPr>
        <w:t xml:space="preserve"> aim </w:t>
      </w:r>
      <w:r w:rsidR="00694267">
        <w:rPr>
          <w:rFonts w:ascii="Verdana" w:hAnsi="Verdana" w:cs="Arial"/>
          <w:sz w:val="20"/>
          <w:szCs w:val="20"/>
          <w:lang w:eastAsia="nl-NL"/>
        </w:rPr>
        <w:t xml:space="preserve">of widening access </w:t>
      </w:r>
      <w:r w:rsidR="00B9770F">
        <w:rPr>
          <w:rFonts w:ascii="Verdana" w:hAnsi="Verdana" w:cs="Arial"/>
          <w:sz w:val="20"/>
          <w:szCs w:val="20"/>
          <w:lang w:eastAsia="nl-NL"/>
        </w:rPr>
        <w:t xml:space="preserve">forward </w:t>
      </w:r>
      <w:r w:rsidR="0038144B">
        <w:rPr>
          <w:rFonts w:ascii="Verdana" w:hAnsi="Verdana" w:cs="Arial"/>
          <w:sz w:val="20"/>
          <w:szCs w:val="20"/>
          <w:lang w:eastAsia="nl-NL"/>
        </w:rPr>
        <w:t xml:space="preserve">the </w:t>
      </w:r>
      <w:r w:rsidR="002D1BFD">
        <w:rPr>
          <w:rFonts w:ascii="Verdana" w:hAnsi="Verdana" w:cs="Arial"/>
          <w:sz w:val="20"/>
          <w:szCs w:val="20"/>
          <w:lang w:eastAsia="nl-NL"/>
        </w:rPr>
        <w:t xml:space="preserve">2012-2015 </w:t>
      </w:r>
      <w:r w:rsidR="0038144B">
        <w:rPr>
          <w:rFonts w:ascii="Verdana" w:hAnsi="Verdana" w:cs="Arial"/>
          <w:sz w:val="20"/>
          <w:szCs w:val="20"/>
          <w:lang w:eastAsia="nl-NL"/>
        </w:rPr>
        <w:t xml:space="preserve">BFUG WG on </w:t>
      </w:r>
      <w:r w:rsidR="002D1BFD">
        <w:rPr>
          <w:rFonts w:ascii="Verdana" w:hAnsi="Verdana" w:cs="Arial"/>
          <w:sz w:val="20"/>
          <w:szCs w:val="20"/>
          <w:lang w:eastAsia="nl-NL"/>
        </w:rPr>
        <w:t>SD&amp;LLL</w:t>
      </w:r>
      <w:r w:rsidR="004857E7">
        <w:rPr>
          <w:rFonts w:ascii="Verdana" w:hAnsi="Verdana" w:cs="Arial"/>
          <w:sz w:val="20"/>
          <w:szCs w:val="20"/>
          <w:lang w:eastAsia="nl-NL"/>
        </w:rPr>
        <w:t xml:space="preserve"> </w:t>
      </w:r>
      <w:r w:rsidR="0068473C">
        <w:rPr>
          <w:rFonts w:ascii="Verdana" w:hAnsi="Verdana" w:cs="Arial"/>
          <w:sz w:val="20"/>
          <w:szCs w:val="20"/>
          <w:lang w:eastAsia="nl-NL"/>
        </w:rPr>
        <w:t>created</w:t>
      </w:r>
      <w:r w:rsidR="0093759C">
        <w:rPr>
          <w:rFonts w:ascii="Verdana" w:hAnsi="Verdana" w:cs="Arial"/>
          <w:sz w:val="20"/>
          <w:szCs w:val="20"/>
          <w:lang w:eastAsia="nl-NL"/>
        </w:rPr>
        <w:t xml:space="preserve"> a strategy</w:t>
      </w:r>
      <w:r w:rsidR="004D5226">
        <w:rPr>
          <w:rFonts w:ascii="Verdana" w:hAnsi="Verdana" w:cs="Arial"/>
          <w:sz w:val="20"/>
          <w:szCs w:val="20"/>
          <w:lang w:eastAsia="nl-NL"/>
        </w:rPr>
        <w:t xml:space="preserve"> to promote the </w:t>
      </w:r>
      <w:r w:rsidR="0068473C">
        <w:rPr>
          <w:rFonts w:ascii="Verdana" w:hAnsi="Verdana" w:cs="Arial"/>
          <w:sz w:val="20"/>
          <w:szCs w:val="20"/>
          <w:lang w:eastAsia="nl-NL"/>
        </w:rPr>
        <w:t>development</w:t>
      </w:r>
      <w:r w:rsidR="004D5226">
        <w:rPr>
          <w:rFonts w:ascii="Verdana" w:hAnsi="Verdana" w:cs="Arial"/>
          <w:sz w:val="20"/>
          <w:szCs w:val="20"/>
          <w:lang w:eastAsia="nl-NL"/>
        </w:rPr>
        <w:t xml:space="preserve"> of effective policies to ensure greater access to quality higher education for non-traditional learners and student</w:t>
      </w:r>
      <w:r w:rsidR="003C7011">
        <w:rPr>
          <w:rFonts w:ascii="Verdana" w:hAnsi="Verdana" w:cs="Arial"/>
          <w:sz w:val="20"/>
          <w:szCs w:val="20"/>
          <w:lang w:eastAsia="nl-NL"/>
        </w:rPr>
        <w:t>s</w:t>
      </w:r>
      <w:r w:rsidR="003654AF">
        <w:rPr>
          <w:rFonts w:ascii="Verdana" w:hAnsi="Verdana" w:cs="Arial"/>
          <w:sz w:val="20"/>
          <w:szCs w:val="20"/>
          <w:lang w:eastAsia="nl-NL"/>
        </w:rPr>
        <w:t xml:space="preserve"> from disadvantaged backgrounds</w:t>
      </w:r>
      <w:r w:rsidR="0093759C">
        <w:rPr>
          <w:rFonts w:ascii="Verdana" w:hAnsi="Verdana" w:cs="Arial"/>
          <w:sz w:val="20"/>
          <w:szCs w:val="20"/>
          <w:lang w:eastAsia="nl-NL"/>
        </w:rPr>
        <w:t>.</w:t>
      </w:r>
      <w:r w:rsidR="0038144B">
        <w:rPr>
          <w:rFonts w:ascii="Verdana" w:hAnsi="Verdana" w:cs="Arial"/>
          <w:sz w:val="20"/>
          <w:szCs w:val="20"/>
          <w:lang w:eastAsia="nl-NL"/>
        </w:rPr>
        <w:t xml:space="preserve"> </w:t>
      </w:r>
      <w:r w:rsidR="00FD3533" w:rsidRPr="001D16B9">
        <w:rPr>
          <w:rFonts w:ascii="Verdana" w:hAnsi="Verdana"/>
          <w:i/>
          <w:sz w:val="20"/>
          <w:szCs w:val="20"/>
        </w:rPr>
        <w:t xml:space="preserve">Together with the development of national plans or strategies to address participation in higher education, “Widening Participation for Equity and Growth - A Strategy for the Development of the Social Dimension and Lifelong Learning in the </w:t>
      </w:r>
      <w:r w:rsidR="00EB1747" w:rsidRPr="001D16B9">
        <w:rPr>
          <w:rFonts w:ascii="Verdana" w:hAnsi="Verdana"/>
          <w:i/>
          <w:sz w:val="20"/>
          <w:szCs w:val="20"/>
        </w:rPr>
        <w:t xml:space="preserve">EHEA </w:t>
      </w:r>
      <w:r w:rsidR="00FD3533" w:rsidRPr="001D16B9">
        <w:rPr>
          <w:rFonts w:ascii="Verdana" w:hAnsi="Verdana"/>
          <w:i/>
          <w:sz w:val="20"/>
          <w:szCs w:val="20"/>
        </w:rPr>
        <w:t xml:space="preserve">to 2020” deals with setting </w:t>
      </w:r>
      <w:r w:rsidR="00FD3533" w:rsidRPr="001D16B9">
        <w:rPr>
          <w:rFonts w:ascii="Verdana" w:hAnsi="Verdana" w:cs="Helvetica"/>
          <w:bCs/>
          <w:i/>
          <w:sz w:val="20"/>
          <w:szCs w:val="20"/>
        </w:rPr>
        <w:t>national targets for underrepresented groups, following up with specific actions.</w:t>
      </w:r>
      <w:r w:rsidR="00FD3533" w:rsidRPr="000C47E5">
        <w:rPr>
          <w:rFonts w:ascii="Verdana" w:hAnsi="Verdana" w:cs="Helvetica"/>
          <w:bCs/>
          <w:sz w:val="20"/>
          <w:szCs w:val="20"/>
        </w:rPr>
        <w:t xml:space="preserve">  </w:t>
      </w:r>
      <w:r w:rsidR="003654AF">
        <w:rPr>
          <w:rFonts w:ascii="Verdana" w:hAnsi="Verdana" w:cs="Helvetica"/>
          <w:bCs/>
          <w:sz w:val="20"/>
          <w:szCs w:val="20"/>
        </w:rPr>
        <w:t>In order to ensure monitoring of the implementation</w:t>
      </w:r>
      <w:r w:rsidR="00A93DC7">
        <w:rPr>
          <w:rFonts w:ascii="Verdana" w:hAnsi="Verdana" w:cs="Helvetica"/>
          <w:bCs/>
          <w:sz w:val="20"/>
          <w:szCs w:val="20"/>
        </w:rPr>
        <w:t xml:space="preserve"> of this strategy, the BFUG is requested to report on progress at the </w:t>
      </w:r>
      <w:r w:rsidR="00752317">
        <w:rPr>
          <w:rFonts w:ascii="Verdana" w:hAnsi="Verdana" w:cs="Helvetica"/>
          <w:bCs/>
          <w:sz w:val="20"/>
          <w:szCs w:val="20"/>
        </w:rPr>
        <w:t>next</w:t>
      </w:r>
      <w:r w:rsidR="00A93DC7">
        <w:rPr>
          <w:rFonts w:ascii="Verdana" w:hAnsi="Verdana" w:cs="Helvetica"/>
          <w:bCs/>
          <w:sz w:val="20"/>
          <w:szCs w:val="20"/>
        </w:rPr>
        <w:t xml:space="preserve"> Ministerial Conference</w:t>
      </w:r>
      <w:r w:rsidR="0023021E">
        <w:rPr>
          <w:rFonts w:ascii="Verdana" w:hAnsi="Verdana" w:cs="Helvetica"/>
          <w:bCs/>
          <w:sz w:val="20"/>
          <w:szCs w:val="20"/>
        </w:rPr>
        <w:t xml:space="preserve"> in 2018</w:t>
      </w:r>
      <w:r w:rsidR="00A93DC7">
        <w:rPr>
          <w:rFonts w:ascii="Verdana" w:hAnsi="Verdana" w:cs="Helvetica"/>
          <w:bCs/>
          <w:sz w:val="20"/>
          <w:szCs w:val="20"/>
        </w:rPr>
        <w:t>.</w:t>
      </w:r>
      <w:bookmarkStart w:id="19" w:name="_Toc278555192"/>
      <w:bookmarkStart w:id="20" w:name="_Toc278625894"/>
    </w:p>
    <w:p w14:paraId="1AE18D0E" w14:textId="71FCC5EA" w:rsidR="00FA51D5" w:rsidRPr="00FA51D5" w:rsidRDefault="00002F3A" w:rsidP="00FA51D5">
      <w:pPr>
        <w:pStyle w:val="Heading2"/>
        <w:spacing w:before="360" w:after="120" w:line="288" w:lineRule="auto"/>
        <w:rPr>
          <w:rFonts w:ascii="Verdana" w:hAnsi="Verdana"/>
          <w:i w:val="0"/>
          <w:sz w:val="20"/>
          <w:szCs w:val="20"/>
        </w:rPr>
      </w:pPr>
      <w:bookmarkStart w:id="21" w:name="_Toc283387970"/>
      <w:r>
        <w:rPr>
          <w:rFonts w:ascii="Verdana" w:hAnsi="Verdana"/>
          <w:i w:val="0"/>
          <w:sz w:val="20"/>
          <w:szCs w:val="20"/>
        </w:rPr>
        <w:lastRenderedPageBreak/>
        <w:t>2.2</w:t>
      </w:r>
      <w:r w:rsidR="00092204">
        <w:rPr>
          <w:rFonts w:ascii="Verdana" w:hAnsi="Verdana"/>
          <w:i w:val="0"/>
          <w:sz w:val="20"/>
          <w:szCs w:val="20"/>
        </w:rPr>
        <w:t>.</w:t>
      </w:r>
      <w:r w:rsidR="00162EE2" w:rsidRPr="00FF42AE">
        <w:rPr>
          <w:rFonts w:ascii="Verdana" w:hAnsi="Verdana"/>
          <w:i w:val="0"/>
          <w:sz w:val="20"/>
          <w:szCs w:val="20"/>
        </w:rPr>
        <w:t xml:space="preserve"> </w:t>
      </w:r>
      <w:r w:rsidR="009F4D6F">
        <w:rPr>
          <w:rFonts w:ascii="Verdana" w:hAnsi="Verdana"/>
          <w:i w:val="0"/>
          <w:sz w:val="20"/>
          <w:szCs w:val="20"/>
        </w:rPr>
        <w:t xml:space="preserve">TG on </w:t>
      </w:r>
      <w:r w:rsidR="00162EE2" w:rsidRPr="00FF42AE">
        <w:rPr>
          <w:rFonts w:ascii="Verdana" w:hAnsi="Verdana"/>
          <w:i w:val="0"/>
          <w:sz w:val="20"/>
          <w:szCs w:val="20"/>
        </w:rPr>
        <w:t>Access</w:t>
      </w:r>
      <w:bookmarkEnd w:id="19"/>
      <w:bookmarkEnd w:id="20"/>
      <w:bookmarkEnd w:id="21"/>
    </w:p>
    <w:p w14:paraId="71942CD5" w14:textId="3E05F10E" w:rsidR="00C74E41" w:rsidRPr="003A3871" w:rsidRDefault="00C74E41" w:rsidP="00C74E41">
      <w:pPr>
        <w:spacing w:after="120" w:line="288" w:lineRule="auto"/>
        <w:ind w:right="-772"/>
        <w:jc w:val="both"/>
        <w:rPr>
          <w:rFonts w:ascii="Verdana" w:eastAsia="ＭＳ 明朝" w:hAnsi="Verdana" w:cs="Sassoun AM"/>
          <w:sz w:val="20"/>
          <w:szCs w:val="20"/>
        </w:rPr>
      </w:pPr>
      <w:r w:rsidRPr="003A3871">
        <w:rPr>
          <w:rFonts w:ascii="Verdana" w:eastAsia="ＭＳ 明朝" w:hAnsi="Verdana" w:cs="Sassoun AM"/>
          <w:sz w:val="20"/>
          <w:szCs w:val="20"/>
        </w:rPr>
        <w:t xml:space="preserve">TG on Access, composed of the SD&amp;LLL WG’s representative of Austria, ESU and PL4SD, was set up to single out initiatives </w:t>
      </w:r>
      <w:r>
        <w:rPr>
          <w:rFonts w:ascii="Verdana" w:eastAsia="ＭＳ 明朝" w:hAnsi="Verdana" w:cs="Sassoun AM"/>
          <w:sz w:val="20"/>
          <w:szCs w:val="20"/>
        </w:rPr>
        <w:t>to</w:t>
      </w:r>
      <w:r w:rsidRPr="003A3871">
        <w:rPr>
          <w:rFonts w:ascii="Verdana" w:eastAsia="ＭＳ 明朝" w:hAnsi="Verdana" w:cs="Sassoun AM"/>
          <w:sz w:val="20"/>
          <w:szCs w:val="20"/>
        </w:rPr>
        <w:t xml:space="preserve"> improve access to quality higher education for underrepresented groups through examining, in particular, the results of the PL4SD project and Expanding Opportunities (</w:t>
      </w:r>
      <w:proofErr w:type="spellStart"/>
      <w:r w:rsidRPr="003A3871">
        <w:rPr>
          <w:rFonts w:ascii="Verdana" w:eastAsia="ＭＳ 明朝" w:hAnsi="Verdana" w:cs="Sassoun AM"/>
          <w:sz w:val="20"/>
          <w:szCs w:val="20"/>
        </w:rPr>
        <w:t>ExpandO</w:t>
      </w:r>
      <w:proofErr w:type="spellEnd"/>
      <w:r w:rsidRPr="003A3871">
        <w:rPr>
          <w:rFonts w:ascii="Verdana" w:eastAsia="ＭＳ 明朝" w:hAnsi="Verdana" w:cs="Sassoun AM"/>
          <w:sz w:val="20"/>
          <w:szCs w:val="20"/>
        </w:rPr>
        <w:t>) project</w:t>
      </w:r>
      <w:r>
        <w:rPr>
          <w:rStyle w:val="FootnoteReference"/>
          <w:rFonts w:ascii="Verdana" w:eastAsia="ＭＳ 明朝" w:hAnsi="Verdana" w:cs="Sassoun AM"/>
          <w:sz w:val="20"/>
          <w:szCs w:val="20"/>
        </w:rPr>
        <w:footnoteReference w:id="15"/>
      </w:r>
      <w:r w:rsidRPr="003A3871">
        <w:rPr>
          <w:rFonts w:ascii="Verdana" w:eastAsia="ＭＳ 明朝" w:hAnsi="Verdana" w:cs="Sassoun AM"/>
          <w:sz w:val="20"/>
          <w:szCs w:val="20"/>
        </w:rPr>
        <w:t xml:space="preserve"> with the overarching aim to develop guidelines for national access plans/strategies.</w:t>
      </w:r>
    </w:p>
    <w:p w14:paraId="3A4FB49D" w14:textId="77777777" w:rsidR="00C74E41" w:rsidRDefault="00C74E41" w:rsidP="00C74E41">
      <w:pPr>
        <w:spacing w:after="120" w:line="288" w:lineRule="auto"/>
        <w:ind w:right="-772"/>
        <w:jc w:val="both"/>
        <w:rPr>
          <w:rFonts w:ascii="Verdana" w:hAnsi="Verdana"/>
          <w:sz w:val="20"/>
        </w:rPr>
      </w:pPr>
      <w:r w:rsidRPr="003A3871">
        <w:rPr>
          <w:rFonts w:ascii="Verdana" w:eastAsia="ＭＳ 明朝" w:hAnsi="Verdana" w:cs="Sassoun AM"/>
          <w:sz w:val="20"/>
          <w:szCs w:val="20"/>
        </w:rPr>
        <w:t>The 2012 Bologna Process Implementation Report</w:t>
      </w:r>
      <w:r w:rsidRPr="003A3871">
        <w:rPr>
          <w:rStyle w:val="FootnoteReference"/>
          <w:rFonts w:ascii="Verdana" w:eastAsia="ＭＳ 明朝" w:hAnsi="Verdana" w:cs="Sassoun AM"/>
          <w:sz w:val="20"/>
          <w:szCs w:val="20"/>
        </w:rPr>
        <w:footnoteReference w:id="16"/>
      </w:r>
      <w:r w:rsidRPr="003A3871">
        <w:rPr>
          <w:rFonts w:ascii="Verdana" w:eastAsia="ＭＳ 明朝" w:hAnsi="Verdana" w:cs="Sassoun AM"/>
          <w:sz w:val="20"/>
          <w:szCs w:val="20"/>
        </w:rPr>
        <w:t xml:space="preserve">, initial results of the PL4SD, </w:t>
      </w:r>
      <w:proofErr w:type="spellStart"/>
      <w:r w:rsidRPr="003A3871">
        <w:rPr>
          <w:rFonts w:ascii="Verdana" w:eastAsia="ＭＳ 明朝" w:hAnsi="Verdana" w:cs="Sassoun AM"/>
          <w:sz w:val="20"/>
          <w:szCs w:val="20"/>
        </w:rPr>
        <w:t>ExpandO</w:t>
      </w:r>
      <w:proofErr w:type="spellEnd"/>
      <w:r w:rsidRPr="003A3871">
        <w:rPr>
          <w:rFonts w:ascii="Verdana" w:eastAsia="ＭＳ 明朝" w:hAnsi="Verdana" w:cs="Sassoun AM"/>
          <w:sz w:val="20"/>
          <w:szCs w:val="20"/>
        </w:rPr>
        <w:t xml:space="preserve">, and the discussions held at the SD&amp;LLL WG meetings came to evidence that nearly all the EHEA countries are engaged in the improvement of the social dimension of higher education. </w:t>
      </w:r>
      <w:r>
        <w:rPr>
          <w:rFonts w:ascii="Verdana" w:hAnsi="Verdana"/>
          <w:sz w:val="20"/>
        </w:rPr>
        <w:t>Across the EHEA there are</w:t>
      </w:r>
      <w:r w:rsidRPr="006D5738">
        <w:rPr>
          <w:rFonts w:ascii="Verdana" w:hAnsi="Verdana"/>
          <w:sz w:val="20"/>
        </w:rPr>
        <w:t xml:space="preserve"> </w:t>
      </w:r>
      <w:r>
        <w:rPr>
          <w:rFonts w:ascii="Verdana" w:hAnsi="Verdana"/>
          <w:sz w:val="20"/>
        </w:rPr>
        <w:t xml:space="preserve">various </w:t>
      </w:r>
      <w:r w:rsidRPr="006D5738">
        <w:rPr>
          <w:rFonts w:ascii="Verdana" w:hAnsi="Verdana"/>
          <w:sz w:val="20"/>
        </w:rPr>
        <w:t xml:space="preserve">mechanisms to financially support students in need, be it in the form of a grant system, support for the families of students, reduction of fees or indirect support through </w:t>
      </w:r>
      <w:proofErr w:type="spellStart"/>
      <w:r w:rsidRPr="006D5738">
        <w:rPr>
          <w:rFonts w:ascii="Verdana" w:hAnsi="Verdana"/>
          <w:sz w:val="20"/>
        </w:rPr>
        <w:t>subsidising</w:t>
      </w:r>
      <w:proofErr w:type="spellEnd"/>
      <w:r w:rsidRPr="006D5738">
        <w:rPr>
          <w:rFonts w:ascii="Verdana" w:hAnsi="Verdana"/>
          <w:sz w:val="20"/>
        </w:rPr>
        <w:t xml:space="preserve"> student canteens, dormitories, transport or health costs. Moreover, all member countries have </w:t>
      </w:r>
      <w:r>
        <w:rPr>
          <w:rFonts w:ascii="Verdana" w:hAnsi="Verdana"/>
          <w:sz w:val="20"/>
        </w:rPr>
        <w:t>policies</w:t>
      </w:r>
      <w:r w:rsidRPr="006D5738">
        <w:rPr>
          <w:rFonts w:ascii="Verdana" w:hAnsi="Verdana"/>
          <w:sz w:val="20"/>
        </w:rPr>
        <w:t xml:space="preserve"> of antidiscrimination and special regulations for underprivileged groups</w:t>
      </w:r>
      <w:r>
        <w:rPr>
          <w:rFonts w:ascii="Verdana" w:hAnsi="Verdana"/>
          <w:sz w:val="20"/>
        </w:rPr>
        <w:t>, e.g.</w:t>
      </w:r>
      <w:r w:rsidRPr="006D5738">
        <w:rPr>
          <w:rFonts w:ascii="Verdana" w:hAnsi="Verdana"/>
          <w:sz w:val="20"/>
        </w:rPr>
        <w:t xml:space="preserve"> students with disabilities. Student </w:t>
      </w:r>
      <w:proofErr w:type="spellStart"/>
      <w:r w:rsidRPr="006D5738">
        <w:rPr>
          <w:rFonts w:ascii="Verdana" w:hAnsi="Verdana"/>
          <w:sz w:val="20"/>
        </w:rPr>
        <w:t>counselling</w:t>
      </w:r>
      <w:proofErr w:type="spellEnd"/>
      <w:r w:rsidRPr="006D5738">
        <w:rPr>
          <w:rFonts w:ascii="Verdana" w:hAnsi="Verdana"/>
          <w:sz w:val="20"/>
        </w:rPr>
        <w:t xml:space="preserve"> and career guidance are also well established in </w:t>
      </w:r>
      <w:r>
        <w:rPr>
          <w:rFonts w:ascii="Verdana" w:hAnsi="Verdana"/>
          <w:sz w:val="20"/>
        </w:rPr>
        <w:t xml:space="preserve">the majority of </w:t>
      </w:r>
      <w:r w:rsidRPr="006D5738">
        <w:rPr>
          <w:rFonts w:ascii="Verdana" w:hAnsi="Verdana"/>
          <w:sz w:val="20"/>
        </w:rPr>
        <w:t>higher education systems</w:t>
      </w:r>
      <w:r>
        <w:rPr>
          <w:rFonts w:ascii="Verdana" w:hAnsi="Verdana"/>
          <w:sz w:val="20"/>
        </w:rPr>
        <w:t xml:space="preserve"> in the EHEA</w:t>
      </w:r>
      <w:r w:rsidRPr="006D5738">
        <w:rPr>
          <w:rFonts w:ascii="Verdana" w:hAnsi="Verdana"/>
          <w:sz w:val="20"/>
        </w:rPr>
        <w:t xml:space="preserve">. </w:t>
      </w:r>
    </w:p>
    <w:p w14:paraId="7592667C" w14:textId="0C728FC5" w:rsidR="00C74E41" w:rsidRDefault="00C74E41" w:rsidP="00C74E41">
      <w:pPr>
        <w:spacing w:after="120" w:line="288" w:lineRule="auto"/>
        <w:ind w:right="-772"/>
        <w:jc w:val="both"/>
        <w:rPr>
          <w:rFonts w:ascii="Verdana" w:hAnsi="Verdana"/>
          <w:sz w:val="20"/>
        </w:rPr>
      </w:pPr>
      <w:r w:rsidRPr="006D5738">
        <w:rPr>
          <w:rFonts w:ascii="Verdana" w:hAnsi="Verdana"/>
          <w:sz w:val="20"/>
        </w:rPr>
        <w:t xml:space="preserve">However, </w:t>
      </w:r>
      <w:r>
        <w:rPr>
          <w:rFonts w:ascii="Verdana" w:hAnsi="Verdana"/>
          <w:sz w:val="20"/>
        </w:rPr>
        <w:t>it became evident that</w:t>
      </w:r>
      <w:r w:rsidRPr="006D5738">
        <w:rPr>
          <w:rFonts w:ascii="Verdana" w:hAnsi="Verdana"/>
          <w:sz w:val="20"/>
        </w:rPr>
        <w:t xml:space="preserve"> very few member countries </w:t>
      </w:r>
      <w:r>
        <w:rPr>
          <w:rFonts w:ascii="Verdana" w:hAnsi="Verdana"/>
          <w:sz w:val="20"/>
        </w:rPr>
        <w:t xml:space="preserve">had </w:t>
      </w:r>
      <w:r w:rsidRPr="006D5738">
        <w:rPr>
          <w:rFonts w:ascii="Verdana" w:hAnsi="Verdana"/>
          <w:sz w:val="20"/>
        </w:rPr>
        <w:t>integrated all their measures into a coherent strategy</w:t>
      </w:r>
      <w:r>
        <w:rPr>
          <w:rFonts w:ascii="Verdana" w:hAnsi="Verdana"/>
          <w:sz w:val="20"/>
        </w:rPr>
        <w:t>,</w:t>
      </w:r>
      <w:r w:rsidRPr="006D5738">
        <w:rPr>
          <w:rFonts w:ascii="Verdana" w:hAnsi="Verdana"/>
          <w:sz w:val="20"/>
        </w:rPr>
        <w:t xml:space="preserve"> </w:t>
      </w:r>
      <w:r>
        <w:rPr>
          <w:rFonts w:ascii="Verdana" w:hAnsi="Verdana"/>
          <w:sz w:val="20"/>
        </w:rPr>
        <w:t xml:space="preserve">which would rely from one side upon </w:t>
      </w:r>
      <w:r w:rsidRPr="006D5738">
        <w:rPr>
          <w:rFonts w:ascii="Verdana" w:hAnsi="Verdana"/>
          <w:sz w:val="20"/>
        </w:rPr>
        <w:t xml:space="preserve">a systematic approach of identifying barriers into and within the higher education system and </w:t>
      </w:r>
      <w:r>
        <w:rPr>
          <w:rFonts w:ascii="Verdana" w:hAnsi="Verdana"/>
          <w:sz w:val="20"/>
        </w:rPr>
        <w:t>from the other side up</w:t>
      </w:r>
      <w:r w:rsidRPr="006D5738">
        <w:rPr>
          <w:rFonts w:ascii="Verdana" w:hAnsi="Verdana"/>
          <w:sz w:val="20"/>
        </w:rPr>
        <w:t>on relevant data providing evidence for action.</w:t>
      </w:r>
      <w:r>
        <w:rPr>
          <w:rFonts w:ascii="Verdana" w:hAnsi="Verdana"/>
          <w:sz w:val="20"/>
        </w:rPr>
        <w:t xml:space="preserve"> </w:t>
      </w:r>
    </w:p>
    <w:p w14:paraId="469AF408" w14:textId="1446E1FB" w:rsidR="00A21671" w:rsidRPr="00A21671" w:rsidRDefault="00514C84" w:rsidP="00A21671">
      <w:pPr>
        <w:spacing w:after="360" w:line="288" w:lineRule="auto"/>
        <w:ind w:right="-771"/>
        <w:jc w:val="both"/>
        <w:rPr>
          <w:rFonts w:ascii="Verdana" w:hAnsi="Verdana"/>
          <w:sz w:val="20"/>
        </w:rPr>
      </w:pPr>
      <w:r w:rsidRPr="009925AE">
        <w:rPr>
          <w:rFonts w:ascii="Verdana" w:hAnsi="Verdana"/>
          <w:i/>
          <w:sz w:val="20"/>
        </w:rPr>
        <w:t xml:space="preserve">In this light, </w:t>
      </w:r>
      <w:r w:rsidR="00C74E41" w:rsidRPr="009925AE">
        <w:rPr>
          <w:rFonts w:ascii="Verdana" w:hAnsi="Verdana"/>
          <w:i/>
          <w:sz w:val="20"/>
        </w:rPr>
        <w:t xml:space="preserve">a set of </w:t>
      </w:r>
      <w:r w:rsidR="00C74E41" w:rsidRPr="009925AE">
        <w:rPr>
          <w:rFonts w:ascii="Verdana" w:eastAsia="ＭＳ 明朝" w:hAnsi="Verdana" w:cs="Sassoun AM"/>
          <w:i/>
          <w:sz w:val="20"/>
          <w:szCs w:val="20"/>
        </w:rPr>
        <w:t xml:space="preserve">guidelines were </w:t>
      </w:r>
      <w:r w:rsidR="009925AE">
        <w:rPr>
          <w:rFonts w:ascii="Verdana" w:eastAsia="ＭＳ 明朝" w:hAnsi="Verdana" w:cs="Sassoun AM"/>
          <w:i/>
          <w:sz w:val="20"/>
          <w:szCs w:val="20"/>
        </w:rPr>
        <w:t>developed</w:t>
      </w:r>
      <w:r w:rsidRPr="009925AE">
        <w:rPr>
          <w:rFonts w:ascii="Verdana" w:eastAsia="ＭＳ 明朝" w:hAnsi="Verdana" w:cs="Sassoun AM"/>
          <w:i/>
          <w:sz w:val="20"/>
          <w:szCs w:val="20"/>
        </w:rPr>
        <w:t xml:space="preserve"> to accompany </w:t>
      </w:r>
      <w:r w:rsidRPr="009925AE">
        <w:rPr>
          <w:rFonts w:ascii="Verdana" w:hAnsi="Verdana"/>
          <w:i/>
          <w:sz w:val="20"/>
          <w:szCs w:val="20"/>
        </w:rPr>
        <w:t>“Widening Participation for Equity and Growth - A Strategy for the Development of the Social Dimension and Lifelong Learning in the EHEA to 2020”.</w:t>
      </w:r>
      <w:r w:rsidRPr="009925AE">
        <w:rPr>
          <w:rFonts w:ascii="Verdana" w:eastAsia="ＭＳ 明朝" w:hAnsi="Verdana" w:cs="Sassoun AM"/>
          <w:i/>
          <w:sz w:val="20"/>
          <w:szCs w:val="20"/>
        </w:rPr>
        <w:t xml:space="preserve"> </w:t>
      </w:r>
      <w:r w:rsidR="00C74E41" w:rsidRPr="0025031F">
        <w:rPr>
          <w:rFonts w:ascii="Verdana" w:eastAsia="ＭＳ 明朝" w:hAnsi="Verdana" w:cs="Sassoun AM"/>
          <w:sz w:val="20"/>
          <w:szCs w:val="20"/>
        </w:rPr>
        <w:t xml:space="preserve"> </w:t>
      </w:r>
      <w:r w:rsidR="0025031F">
        <w:rPr>
          <w:rFonts w:ascii="Verdana" w:eastAsia="ＭＳ 明朝" w:hAnsi="Verdana" w:cs="Sassoun AM"/>
          <w:sz w:val="20"/>
          <w:szCs w:val="20"/>
        </w:rPr>
        <w:t xml:space="preserve">The aim of the guidelines is </w:t>
      </w:r>
      <w:r w:rsidR="00C74E41" w:rsidRPr="0025031F">
        <w:rPr>
          <w:rFonts w:ascii="Verdana" w:eastAsia="ＭＳ 明朝" w:hAnsi="Verdana" w:cs="Sassoun AM"/>
          <w:sz w:val="20"/>
          <w:szCs w:val="20"/>
        </w:rPr>
        <w:t xml:space="preserve">to assist </w:t>
      </w:r>
      <w:r w:rsidR="00FA51D5" w:rsidRPr="0025031F">
        <w:rPr>
          <w:rFonts w:ascii="Verdana" w:hAnsi="Verdana" w:cs="Times"/>
          <w:sz w:val="20"/>
          <w:szCs w:val="20"/>
        </w:rPr>
        <w:t xml:space="preserve">countries to meet the challenge of developing or enhancing national plans or strategies. These guidelines </w:t>
      </w:r>
      <w:r w:rsidR="0025031F">
        <w:rPr>
          <w:rFonts w:ascii="Verdana" w:hAnsi="Verdana" w:cs="Times"/>
          <w:sz w:val="20"/>
          <w:szCs w:val="20"/>
        </w:rPr>
        <w:t>were</w:t>
      </w:r>
      <w:r w:rsidR="00FA51D5" w:rsidRPr="0025031F">
        <w:rPr>
          <w:rFonts w:ascii="Verdana" w:hAnsi="Verdana" w:cs="Times"/>
          <w:sz w:val="20"/>
          <w:szCs w:val="20"/>
        </w:rPr>
        <w:t xml:space="preserve"> developed to provide a “roadmap” for member countries in order to ensure that national plans or strategies</w:t>
      </w:r>
      <w:r w:rsidR="00FA51D5" w:rsidRPr="0025031F">
        <w:rPr>
          <w:rFonts w:ascii="Verdana" w:hAnsi="Verdana"/>
          <w:sz w:val="20"/>
          <w:szCs w:val="20"/>
        </w:rPr>
        <w:t xml:space="preserve"> </w:t>
      </w:r>
      <w:r w:rsidR="00FA51D5" w:rsidRPr="0025031F">
        <w:rPr>
          <w:rFonts w:ascii="Verdana" w:hAnsi="Verdana" w:cs="Times"/>
          <w:sz w:val="20"/>
          <w:szCs w:val="20"/>
        </w:rPr>
        <w:t xml:space="preserve">are </w:t>
      </w:r>
      <w:r w:rsidR="00FA51D5" w:rsidRPr="0025031F">
        <w:rPr>
          <w:rFonts w:ascii="Verdana" w:hAnsi="Verdana"/>
          <w:sz w:val="20"/>
          <w:szCs w:val="20"/>
        </w:rPr>
        <w:t>developed using a systematic approach to identifying barriers into and within the higher education system, based on relevant data providing evidence for action.</w:t>
      </w:r>
      <w:bookmarkStart w:id="22" w:name="_Toc278555193"/>
      <w:bookmarkStart w:id="23" w:name="_Toc278625895"/>
    </w:p>
    <w:p w14:paraId="12A100FF" w14:textId="4A385480" w:rsidR="00162EE2" w:rsidRPr="00142B8E" w:rsidRDefault="00092204" w:rsidP="003749B4">
      <w:pPr>
        <w:pStyle w:val="Heading2"/>
        <w:spacing w:before="360" w:after="120" w:line="288" w:lineRule="auto"/>
        <w:rPr>
          <w:rFonts w:ascii="Verdana" w:hAnsi="Verdana"/>
          <w:i w:val="0"/>
          <w:sz w:val="20"/>
          <w:szCs w:val="20"/>
        </w:rPr>
      </w:pPr>
      <w:bookmarkStart w:id="24" w:name="_Toc283387971"/>
      <w:r w:rsidRPr="00142B8E">
        <w:rPr>
          <w:rFonts w:ascii="Verdana" w:hAnsi="Verdana"/>
          <w:i w:val="0"/>
          <w:sz w:val="20"/>
          <w:szCs w:val="20"/>
        </w:rPr>
        <w:t>2.2.</w:t>
      </w:r>
      <w:r w:rsidR="00162EE2" w:rsidRPr="00142B8E">
        <w:rPr>
          <w:rFonts w:ascii="Verdana" w:hAnsi="Verdana"/>
          <w:i w:val="0"/>
          <w:sz w:val="20"/>
          <w:szCs w:val="20"/>
        </w:rPr>
        <w:t xml:space="preserve"> </w:t>
      </w:r>
      <w:r w:rsidR="008C2667" w:rsidRPr="00142B8E">
        <w:rPr>
          <w:rFonts w:ascii="Verdana" w:hAnsi="Verdana"/>
          <w:i w:val="0"/>
          <w:sz w:val="20"/>
          <w:szCs w:val="20"/>
        </w:rPr>
        <w:t xml:space="preserve">TG on </w:t>
      </w:r>
      <w:r w:rsidR="00162EE2" w:rsidRPr="00142B8E">
        <w:rPr>
          <w:rFonts w:ascii="Verdana" w:hAnsi="Verdana"/>
          <w:i w:val="0"/>
          <w:sz w:val="20"/>
          <w:szCs w:val="20"/>
        </w:rPr>
        <w:t>Teaching and Learning</w:t>
      </w:r>
      <w:bookmarkEnd w:id="22"/>
      <w:bookmarkEnd w:id="23"/>
      <w:bookmarkEnd w:id="24"/>
    </w:p>
    <w:p w14:paraId="3D12641A" w14:textId="77777777" w:rsidR="0091724A" w:rsidRPr="00142B8E" w:rsidRDefault="0091724A" w:rsidP="0091724A">
      <w:pPr>
        <w:spacing w:after="120" w:line="288" w:lineRule="auto"/>
        <w:ind w:right="-772"/>
        <w:jc w:val="both"/>
        <w:rPr>
          <w:rFonts w:ascii="Verdana" w:hAnsi="Verdana"/>
          <w:sz w:val="20"/>
          <w:szCs w:val="20"/>
        </w:rPr>
      </w:pPr>
      <w:r w:rsidRPr="00142B8E">
        <w:rPr>
          <w:rFonts w:ascii="Verdana" w:hAnsi="Verdana"/>
          <w:sz w:val="20"/>
          <w:szCs w:val="20"/>
        </w:rPr>
        <w:t>TG on Teaching and Learning (T&amp;L), composed of the WG representatives of Lithuania, Norway, EI, ESU, and EUA, aimed at producing recommendations on T&amp;L, in particular, how T&amp;L can improve completion rates of underrepresented groups and the quality of higher education in general, how it can support mature and/or returning students. Last but not least, the TG looked at the issue of a more supportive environment for teaching staff.</w:t>
      </w:r>
    </w:p>
    <w:p w14:paraId="05971FF3" w14:textId="77777777" w:rsidR="0091724A" w:rsidRPr="00142B8E" w:rsidRDefault="0091724A" w:rsidP="0091724A">
      <w:pPr>
        <w:spacing w:after="120" w:line="288" w:lineRule="auto"/>
        <w:ind w:right="-772"/>
        <w:jc w:val="both"/>
        <w:rPr>
          <w:rFonts w:ascii="Verdana" w:hAnsi="Verdana"/>
          <w:sz w:val="20"/>
        </w:rPr>
      </w:pPr>
      <w:r w:rsidRPr="00142B8E">
        <w:rPr>
          <w:rFonts w:ascii="Verdana" w:hAnsi="Verdana"/>
          <w:sz w:val="20"/>
        </w:rPr>
        <w:t xml:space="preserve">The TG first turned to the mission of education, including higher education, as a human right and a public good, which should be provided for all on the highest possible level, </w:t>
      </w:r>
      <w:r w:rsidRPr="00142B8E">
        <w:rPr>
          <w:rFonts w:ascii="Verdana" w:hAnsi="Verdana"/>
          <w:sz w:val="20"/>
        </w:rPr>
        <w:lastRenderedPageBreak/>
        <w:t>based on intellectual capacity and not on the ability to pay</w:t>
      </w:r>
      <w:r w:rsidRPr="00142B8E">
        <w:rPr>
          <w:rStyle w:val="FootnoteReference"/>
          <w:rFonts w:ascii="Verdana" w:hAnsi="Verdana"/>
          <w:sz w:val="20"/>
        </w:rPr>
        <w:footnoteReference w:id="17"/>
      </w:r>
      <w:r w:rsidRPr="00142B8E">
        <w:rPr>
          <w:rFonts w:ascii="Verdana" w:hAnsi="Verdana"/>
          <w:sz w:val="20"/>
        </w:rPr>
        <w:t xml:space="preserve">. HE should enable graduates to be active and critical members of society and actively participate in the development of modern democracies. In a nutshell, the purpose of education is by no means teaching the students what to think but teaching them how to think and how to respond to the ever-changing needs of the </w:t>
      </w:r>
      <w:proofErr w:type="spellStart"/>
      <w:r w:rsidRPr="00142B8E">
        <w:rPr>
          <w:rFonts w:ascii="Verdana" w:hAnsi="Verdana"/>
          <w:sz w:val="20"/>
        </w:rPr>
        <w:t>labour</w:t>
      </w:r>
      <w:proofErr w:type="spellEnd"/>
      <w:r w:rsidRPr="00142B8E">
        <w:rPr>
          <w:rFonts w:ascii="Verdana" w:hAnsi="Verdana"/>
          <w:sz w:val="20"/>
        </w:rPr>
        <w:t xml:space="preserve"> market. </w:t>
      </w:r>
    </w:p>
    <w:p w14:paraId="11B17357" w14:textId="716F4D61" w:rsidR="0091724A" w:rsidRPr="00142B8E" w:rsidRDefault="0091724A" w:rsidP="0091724A">
      <w:pPr>
        <w:spacing w:after="120" w:line="288" w:lineRule="auto"/>
        <w:ind w:right="-772"/>
        <w:jc w:val="both"/>
        <w:rPr>
          <w:rFonts w:ascii="Verdana" w:hAnsi="Verdana"/>
          <w:sz w:val="20"/>
        </w:rPr>
      </w:pPr>
      <w:r w:rsidRPr="00142B8E">
        <w:rPr>
          <w:rFonts w:ascii="Verdana" w:hAnsi="Verdana"/>
          <w:sz w:val="20"/>
        </w:rPr>
        <w:t xml:space="preserve">The TG </w:t>
      </w:r>
      <w:proofErr w:type="spellStart"/>
      <w:r w:rsidRPr="00142B8E">
        <w:rPr>
          <w:rFonts w:ascii="Verdana" w:hAnsi="Verdana"/>
          <w:sz w:val="20"/>
        </w:rPr>
        <w:t>recognised</w:t>
      </w:r>
      <w:proofErr w:type="spellEnd"/>
      <w:r w:rsidRPr="00142B8E">
        <w:rPr>
          <w:rFonts w:ascii="Verdana" w:hAnsi="Verdana"/>
          <w:sz w:val="20"/>
        </w:rPr>
        <w:t xml:space="preserve"> that the learning process itself is the interaction between qualified teachers and motivated, engaged students in the classrooms – whether they are physically on a campus or virtual. In addition, attractive study and teaching conditions were deemed vital for a positive learning process. In a NESET report</w:t>
      </w:r>
      <w:r w:rsidR="00630FE8" w:rsidRPr="00142B8E">
        <w:rPr>
          <w:rStyle w:val="FootnoteReference"/>
          <w:rFonts w:ascii="Verdana" w:hAnsi="Verdana"/>
          <w:sz w:val="20"/>
        </w:rPr>
        <w:footnoteReference w:id="18"/>
      </w:r>
      <w:r w:rsidRPr="00142B8E">
        <w:rPr>
          <w:rFonts w:ascii="Verdana" w:hAnsi="Verdana"/>
          <w:sz w:val="20"/>
        </w:rPr>
        <w:t xml:space="preserve"> from 2013 students from underrepresented backgrounds where highlighted as being at the greatest risk of dropout</w:t>
      </w:r>
      <w:r w:rsidR="00630FE8" w:rsidRPr="00142B8E">
        <w:rPr>
          <w:rFonts w:ascii="Verdana" w:hAnsi="Verdana"/>
          <w:sz w:val="20"/>
        </w:rPr>
        <w:t>, especially students from a lower socioeconomic background. W</w:t>
      </w:r>
      <w:r w:rsidRPr="00142B8E">
        <w:rPr>
          <w:rFonts w:ascii="Verdana" w:hAnsi="Verdana"/>
          <w:sz w:val="20"/>
        </w:rPr>
        <w:t>hile teaching and learning</w:t>
      </w:r>
      <w:r w:rsidR="00630FE8" w:rsidRPr="00142B8E">
        <w:rPr>
          <w:rFonts w:ascii="Verdana" w:hAnsi="Verdana"/>
          <w:sz w:val="20"/>
        </w:rPr>
        <w:t xml:space="preserve"> in general and a student centered learning specifically</w:t>
      </w:r>
      <w:r w:rsidRPr="00142B8E">
        <w:rPr>
          <w:rFonts w:ascii="Verdana" w:hAnsi="Verdana"/>
          <w:sz w:val="20"/>
        </w:rPr>
        <w:t xml:space="preserve"> was highlighted as the key for lessening the risk of dropout. </w:t>
      </w:r>
    </w:p>
    <w:p w14:paraId="5FA27DB6" w14:textId="3BD114CC" w:rsidR="0091724A" w:rsidRPr="00142B8E" w:rsidRDefault="0091724A" w:rsidP="0091724A">
      <w:pPr>
        <w:spacing w:after="120" w:line="288" w:lineRule="auto"/>
        <w:ind w:right="-772"/>
        <w:jc w:val="both"/>
        <w:rPr>
          <w:rFonts w:ascii="Verdana" w:hAnsi="Verdana"/>
          <w:sz w:val="20"/>
        </w:rPr>
      </w:pPr>
      <w:r w:rsidRPr="00142B8E">
        <w:rPr>
          <w:rFonts w:ascii="Verdana" w:hAnsi="Verdana"/>
          <w:sz w:val="20"/>
        </w:rPr>
        <w:t>Teaching and learning activities have as such not been a historical focus of the of the EHEA, however this is changing due to the increased focus on these issues such as in the new proposal for the European Standards and Guidelines as well as the new ECTS users guide. With the increa</w:t>
      </w:r>
      <w:r w:rsidR="00630FE8" w:rsidRPr="00142B8E">
        <w:rPr>
          <w:rFonts w:ascii="Verdana" w:hAnsi="Verdana"/>
          <w:sz w:val="20"/>
        </w:rPr>
        <w:t>sed support for the concept of student centered</w:t>
      </w:r>
      <w:r w:rsidRPr="00142B8E">
        <w:rPr>
          <w:rFonts w:ascii="Verdana" w:hAnsi="Verdana"/>
          <w:sz w:val="20"/>
        </w:rPr>
        <w:t xml:space="preserve"> learning in the structural tools it will be important to follow the implementation to ensure that teaching and learning reforms als</w:t>
      </w:r>
      <w:r w:rsidR="00630FE8" w:rsidRPr="00142B8E">
        <w:rPr>
          <w:rFonts w:ascii="Verdana" w:hAnsi="Verdana"/>
          <w:sz w:val="20"/>
        </w:rPr>
        <w:t>o benefit the Social Dimension.</w:t>
      </w:r>
    </w:p>
    <w:p w14:paraId="46A58C98" w14:textId="18762ED6" w:rsidR="0091724A" w:rsidRPr="00A21671" w:rsidRDefault="005B4DFF" w:rsidP="00A21671">
      <w:pPr>
        <w:spacing w:after="360" w:line="288" w:lineRule="auto"/>
        <w:ind w:right="-771"/>
        <w:jc w:val="both"/>
        <w:rPr>
          <w:rFonts w:ascii="Verdana" w:hAnsi="Verdana"/>
          <w:i/>
          <w:sz w:val="20"/>
        </w:rPr>
      </w:pPr>
      <w:r w:rsidRPr="00142B8E">
        <w:rPr>
          <w:rFonts w:ascii="Verdana" w:hAnsi="Verdana"/>
          <w:i/>
          <w:sz w:val="20"/>
        </w:rPr>
        <w:t>Members of the TG would urge the BFUG to consider</w:t>
      </w:r>
      <w:r w:rsidR="00630FE8" w:rsidRPr="00142B8E">
        <w:rPr>
          <w:rFonts w:ascii="Verdana" w:hAnsi="Verdana"/>
          <w:i/>
          <w:sz w:val="20"/>
        </w:rPr>
        <w:t xml:space="preserve"> a general</w:t>
      </w:r>
      <w:r w:rsidR="0091724A" w:rsidRPr="00142B8E">
        <w:rPr>
          <w:rFonts w:ascii="Verdana" w:hAnsi="Verdana"/>
          <w:i/>
          <w:sz w:val="20"/>
        </w:rPr>
        <w:t xml:space="preserve"> </w:t>
      </w:r>
      <w:r w:rsidRPr="00142B8E">
        <w:rPr>
          <w:rFonts w:ascii="Verdana" w:hAnsi="Verdana"/>
          <w:i/>
          <w:sz w:val="20"/>
        </w:rPr>
        <w:t>recommendation</w:t>
      </w:r>
      <w:r w:rsidR="0091724A" w:rsidRPr="00142B8E">
        <w:rPr>
          <w:rFonts w:ascii="Verdana" w:hAnsi="Verdana"/>
          <w:i/>
          <w:sz w:val="20"/>
        </w:rPr>
        <w:t xml:space="preserve"> on teaching and learning both from a structural and social dimension perspective be adopted in the Yerevan communiqué that reflects the increased commitment to teaching and learning reforms. To ensure that success of such an aim, </w:t>
      </w:r>
      <w:r w:rsidR="00630FE8" w:rsidRPr="00142B8E">
        <w:rPr>
          <w:rFonts w:ascii="Verdana" w:hAnsi="Verdana"/>
          <w:i/>
          <w:sz w:val="20"/>
        </w:rPr>
        <w:t>members of the TG recommend</w:t>
      </w:r>
      <w:r w:rsidR="0091724A" w:rsidRPr="00142B8E">
        <w:rPr>
          <w:rFonts w:ascii="Verdana" w:hAnsi="Verdana"/>
          <w:i/>
          <w:sz w:val="20"/>
        </w:rPr>
        <w:t xml:space="preserve"> countries to support improved learning environments and training for teaching staff. </w:t>
      </w:r>
      <w:r w:rsidR="00630FE8" w:rsidRPr="00142B8E">
        <w:rPr>
          <w:rFonts w:ascii="Verdana" w:hAnsi="Verdana"/>
          <w:i/>
          <w:sz w:val="20"/>
        </w:rPr>
        <w:t>Members of the TG also recommend</w:t>
      </w:r>
      <w:r w:rsidR="0091724A" w:rsidRPr="00142B8E">
        <w:rPr>
          <w:rFonts w:ascii="Verdana" w:hAnsi="Verdana"/>
          <w:i/>
          <w:sz w:val="20"/>
        </w:rPr>
        <w:t xml:space="preserve"> that teaching and learning reforms be monitored more closely in connection with dropout rates to ensure the impact of subsequent refor</w:t>
      </w:r>
      <w:r w:rsidR="00630FE8" w:rsidRPr="00142B8E">
        <w:rPr>
          <w:rFonts w:ascii="Verdana" w:hAnsi="Verdana"/>
          <w:i/>
          <w:sz w:val="20"/>
        </w:rPr>
        <w:t>ms. The successful approaches c</w:t>
      </w:r>
      <w:r w:rsidR="0091724A" w:rsidRPr="00142B8E">
        <w:rPr>
          <w:rFonts w:ascii="Verdana" w:hAnsi="Verdana"/>
          <w:i/>
          <w:sz w:val="20"/>
        </w:rPr>
        <w:t>ould be highlighted in the PL4SD database.</w:t>
      </w:r>
      <w:r w:rsidR="0091724A">
        <w:rPr>
          <w:rFonts w:ascii="Verdana" w:hAnsi="Verdana"/>
          <w:i/>
          <w:sz w:val="20"/>
        </w:rPr>
        <w:t xml:space="preserve"> </w:t>
      </w:r>
    </w:p>
    <w:p w14:paraId="5166719C" w14:textId="21E4B80E" w:rsidR="00162EE2" w:rsidRDefault="00092204" w:rsidP="003749B4">
      <w:pPr>
        <w:pStyle w:val="Heading2"/>
        <w:spacing w:before="360" w:after="120" w:line="288" w:lineRule="auto"/>
        <w:rPr>
          <w:rFonts w:ascii="Verdana" w:hAnsi="Verdana"/>
          <w:i w:val="0"/>
          <w:sz w:val="20"/>
          <w:szCs w:val="20"/>
        </w:rPr>
      </w:pPr>
      <w:bookmarkStart w:id="25" w:name="_Toc278625896"/>
      <w:bookmarkStart w:id="26" w:name="_Toc283387972"/>
      <w:r>
        <w:rPr>
          <w:rFonts w:ascii="Verdana" w:hAnsi="Verdana"/>
          <w:i w:val="0"/>
          <w:sz w:val="20"/>
          <w:szCs w:val="20"/>
        </w:rPr>
        <w:t>2.3.</w:t>
      </w:r>
      <w:r w:rsidR="00162EE2">
        <w:rPr>
          <w:rFonts w:ascii="Verdana" w:hAnsi="Verdana"/>
          <w:i w:val="0"/>
          <w:sz w:val="20"/>
          <w:szCs w:val="20"/>
        </w:rPr>
        <w:t xml:space="preserve"> </w:t>
      </w:r>
      <w:r w:rsidR="000111D1">
        <w:rPr>
          <w:rFonts w:ascii="Verdana" w:hAnsi="Verdana"/>
          <w:i w:val="0"/>
          <w:sz w:val="20"/>
          <w:szCs w:val="20"/>
        </w:rPr>
        <w:t xml:space="preserve">TG on </w:t>
      </w:r>
      <w:r w:rsidR="00162EE2" w:rsidRPr="00F3282B">
        <w:rPr>
          <w:rFonts w:ascii="Verdana" w:hAnsi="Verdana"/>
          <w:i w:val="0"/>
          <w:sz w:val="20"/>
          <w:szCs w:val="20"/>
        </w:rPr>
        <w:t>Student Supports and Services</w:t>
      </w:r>
      <w:bookmarkEnd w:id="25"/>
      <w:bookmarkEnd w:id="26"/>
    </w:p>
    <w:p w14:paraId="35089880" w14:textId="77777777" w:rsidR="00162EE2" w:rsidRPr="004F778E" w:rsidRDefault="00162EE2" w:rsidP="00092204">
      <w:pPr>
        <w:spacing w:after="120" w:line="288" w:lineRule="auto"/>
        <w:ind w:right="-772"/>
        <w:jc w:val="both"/>
        <w:rPr>
          <w:rFonts w:ascii="Verdana" w:hAnsi="Verdana"/>
          <w:sz w:val="20"/>
        </w:rPr>
      </w:pPr>
      <w:r>
        <w:rPr>
          <w:rFonts w:ascii="Verdana" w:hAnsi="Verdana"/>
          <w:sz w:val="20"/>
        </w:rPr>
        <w:t xml:space="preserve">SD&amp;LLL WG representatives of Armenia, Croatia, Germany, and ESU formed the TG on Student Supports and Services. The TG pointed at the crucial role of student support services or social infrastructure – allocation of financial aid, student housing, dining, and </w:t>
      </w:r>
      <w:proofErr w:type="spellStart"/>
      <w:r>
        <w:rPr>
          <w:rFonts w:ascii="Verdana" w:hAnsi="Verdana"/>
          <w:sz w:val="20"/>
        </w:rPr>
        <w:t>counselling</w:t>
      </w:r>
      <w:proofErr w:type="spellEnd"/>
      <w:r>
        <w:rPr>
          <w:rFonts w:ascii="Verdana" w:hAnsi="Verdana"/>
          <w:sz w:val="20"/>
        </w:rPr>
        <w:t xml:space="preserve"> services in the social, psychological and career/training fields – for the success of students in higher education.</w:t>
      </w:r>
    </w:p>
    <w:p w14:paraId="25CF31CE" w14:textId="77777777" w:rsidR="00162EE2" w:rsidRDefault="00162EE2" w:rsidP="00092204">
      <w:pPr>
        <w:spacing w:after="120" w:line="288" w:lineRule="auto"/>
        <w:ind w:right="-772"/>
        <w:jc w:val="both"/>
        <w:rPr>
          <w:rFonts w:ascii="Verdana" w:hAnsi="Verdana"/>
          <w:sz w:val="20"/>
        </w:rPr>
      </w:pPr>
      <w:r>
        <w:rPr>
          <w:rFonts w:ascii="Verdana" w:hAnsi="Verdana"/>
          <w:sz w:val="20"/>
        </w:rPr>
        <w:t>Given the complexity of social infrastructure, the TG aimed to provide recommendations at different levels, which would be suitable for all systems in the EHEA. For this purpose four topic areas were identified: providing guidance/</w:t>
      </w:r>
      <w:proofErr w:type="spellStart"/>
      <w:r>
        <w:rPr>
          <w:rFonts w:ascii="Verdana" w:hAnsi="Verdana"/>
          <w:sz w:val="20"/>
        </w:rPr>
        <w:t>counselling</w:t>
      </w:r>
      <w:proofErr w:type="spellEnd"/>
      <w:r>
        <w:rPr>
          <w:rFonts w:ascii="Verdana" w:hAnsi="Verdana"/>
          <w:sz w:val="20"/>
        </w:rPr>
        <w:t xml:space="preserve"> and networking opportunities for future employment; developing and implementing support structure for underrepresented groups; exploring and creating adequate support mechanisms for </w:t>
      </w:r>
      <w:r>
        <w:rPr>
          <w:rFonts w:ascii="Verdana" w:hAnsi="Verdana"/>
          <w:sz w:val="20"/>
        </w:rPr>
        <w:lastRenderedPageBreak/>
        <w:t xml:space="preserve">mature students; and conducting more focused research on the importance of social infrastructure based on regularly and systematically collected data. </w:t>
      </w:r>
    </w:p>
    <w:p w14:paraId="17BCF1F5" w14:textId="4BCC24E7" w:rsidR="00A21671" w:rsidRPr="00A21671" w:rsidRDefault="0097342F" w:rsidP="00A21671">
      <w:pPr>
        <w:spacing w:after="120" w:line="288" w:lineRule="auto"/>
        <w:ind w:right="-772"/>
        <w:jc w:val="both"/>
        <w:rPr>
          <w:rFonts w:ascii="Verdana" w:hAnsi="Verdana"/>
          <w:sz w:val="20"/>
        </w:rPr>
      </w:pPr>
      <w:r>
        <w:rPr>
          <w:rFonts w:ascii="Verdana" w:hAnsi="Verdana"/>
          <w:i/>
          <w:sz w:val="20"/>
        </w:rPr>
        <w:t>It was</w:t>
      </w:r>
      <w:r w:rsidR="00162EE2" w:rsidRPr="001E778C">
        <w:rPr>
          <w:rFonts w:ascii="Verdana" w:hAnsi="Verdana"/>
          <w:i/>
          <w:sz w:val="20"/>
        </w:rPr>
        <w:t xml:space="preserve"> acknowledged that a stronger cooperation towards a more inclusive and student-needs-based social infrastructure was indispensable and there was an urgent need to develop a concept of how the social infrastructure could be fostered at the EHEA level</w:t>
      </w:r>
      <w:r w:rsidR="00162EE2" w:rsidRPr="00257C63">
        <w:rPr>
          <w:rFonts w:ascii="Verdana" w:hAnsi="Verdana"/>
          <w:sz w:val="20"/>
        </w:rPr>
        <w:t>.</w:t>
      </w:r>
      <w:bookmarkStart w:id="27" w:name="_Toc278625897"/>
    </w:p>
    <w:p w14:paraId="2A9B0D65" w14:textId="5E75C168" w:rsidR="00162EE2" w:rsidRPr="00F3282B" w:rsidRDefault="00092204" w:rsidP="003749B4">
      <w:pPr>
        <w:pStyle w:val="Heading2"/>
        <w:spacing w:before="360" w:after="120" w:line="288" w:lineRule="auto"/>
        <w:rPr>
          <w:rFonts w:ascii="Verdana" w:hAnsi="Verdana"/>
          <w:i w:val="0"/>
          <w:sz w:val="20"/>
          <w:szCs w:val="20"/>
        </w:rPr>
      </w:pPr>
      <w:bookmarkStart w:id="28" w:name="_Toc283387973"/>
      <w:r>
        <w:rPr>
          <w:rFonts w:ascii="Verdana" w:hAnsi="Verdana"/>
          <w:i w:val="0"/>
          <w:sz w:val="20"/>
          <w:szCs w:val="20"/>
        </w:rPr>
        <w:t>2.4.</w:t>
      </w:r>
      <w:r w:rsidR="00162EE2" w:rsidRPr="00F3282B">
        <w:rPr>
          <w:rFonts w:ascii="Verdana" w:hAnsi="Verdana"/>
          <w:i w:val="0"/>
          <w:sz w:val="20"/>
          <w:szCs w:val="20"/>
        </w:rPr>
        <w:t xml:space="preserve"> </w:t>
      </w:r>
      <w:r w:rsidR="000111D1">
        <w:rPr>
          <w:rFonts w:ascii="Verdana" w:hAnsi="Verdana"/>
          <w:i w:val="0"/>
          <w:sz w:val="20"/>
          <w:szCs w:val="20"/>
        </w:rPr>
        <w:t xml:space="preserve">TG on </w:t>
      </w:r>
      <w:r w:rsidR="00162EE2" w:rsidRPr="00F3282B">
        <w:rPr>
          <w:rFonts w:ascii="Verdana" w:hAnsi="Verdana"/>
          <w:i w:val="0"/>
          <w:sz w:val="20"/>
          <w:szCs w:val="20"/>
        </w:rPr>
        <w:t>Lifelong Learning and Employability</w:t>
      </w:r>
      <w:bookmarkEnd w:id="27"/>
      <w:bookmarkEnd w:id="28"/>
    </w:p>
    <w:p w14:paraId="195DADF7" w14:textId="77777777" w:rsidR="00162EE2" w:rsidRDefault="00162EE2" w:rsidP="00092204">
      <w:pPr>
        <w:widowControl w:val="0"/>
        <w:autoSpaceDE w:val="0"/>
        <w:autoSpaceDN w:val="0"/>
        <w:adjustRightInd w:val="0"/>
        <w:spacing w:after="120" w:line="288" w:lineRule="auto"/>
        <w:ind w:right="-771"/>
        <w:jc w:val="both"/>
        <w:rPr>
          <w:rFonts w:ascii="Verdana" w:hAnsi="Verdana" w:cs="Russian Times"/>
          <w:sz w:val="20"/>
          <w:szCs w:val="20"/>
        </w:rPr>
      </w:pPr>
      <w:r>
        <w:rPr>
          <w:rFonts w:ascii="Verdana" w:hAnsi="Verdana"/>
          <w:sz w:val="20"/>
        </w:rPr>
        <w:t xml:space="preserve">The TG on lifelong learning and Employability, composed of ESU and EURASHE representatives in the WG, </w:t>
      </w:r>
      <w:proofErr w:type="spellStart"/>
      <w:r>
        <w:rPr>
          <w:rFonts w:ascii="Verdana" w:hAnsi="Verdana"/>
          <w:sz w:val="20"/>
        </w:rPr>
        <w:t>recognised</w:t>
      </w:r>
      <w:proofErr w:type="spellEnd"/>
      <w:r>
        <w:rPr>
          <w:rFonts w:ascii="Verdana" w:hAnsi="Verdana"/>
          <w:sz w:val="20"/>
        </w:rPr>
        <w:t xml:space="preserve"> that any decisive progress in lifelong learning should </w:t>
      </w:r>
      <w:r>
        <w:rPr>
          <w:rFonts w:ascii="Verdana" w:hAnsi="Verdana" w:cs="Russian Times"/>
          <w:sz w:val="20"/>
          <w:szCs w:val="20"/>
        </w:rPr>
        <w:t>involve a change in paradigm, i.e.</w:t>
      </w:r>
      <w:r w:rsidRPr="00F612A3">
        <w:rPr>
          <w:rFonts w:ascii="Verdana" w:hAnsi="Verdana" w:cs="Russian Times"/>
          <w:sz w:val="20"/>
          <w:szCs w:val="20"/>
        </w:rPr>
        <w:t xml:space="preserve"> </w:t>
      </w:r>
      <w:r>
        <w:rPr>
          <w:rFonts w:ascii="Verdana" w:hAnsi="Verdana" w:cs="Russian Times"/>
          <w:sz w:val="20"/>
          <w:szCs w:val="20"/>
        </w:rPr>
        <w:t xml:space="preserve">lifelong learning </w:t>
      </w:r>
      <w:r w:rsidRPr="00F612A3">
        <w:rPr>
          <w:rFonts w:ascii="Verdana" w:hAnsi="Verdana" w:cs="Russian Times"/>
          <w:sz w:val="20"/>
          <w:szCs w:val="20"/>
        </w:rPr>
        <w:t>should no longer be considered as an aim in itself but be apprehen</w:t>
      </w:r>
      <w:r>
        <w:rPr>
          <w:rFonts w:ascii="Verdana" w:hAnsi="Verdana" w:cs="Russian Times"/>
          <w:sz w:val="20"/>
          <w:szCs w:val="20"/>
        </w:rPr>
        <w:t>ded as an integral part of the social r</w:t>
      </w:r>
      <w:r w:rsidRPr="00F612A3">
        <w:rPr>
          <w:rFonts w:ascii="Verdana" w:hAnsi="Verdana" w:cs="Russian Times"/>
          <w:sz w:val="20"/>
          <w:szCs w:val="20"/>
        </w:rPr>
        <w:t xml:space="preserve">esponsibility of </w:t>
      </w:r>
      <w:r>
        <w:rPr>
          <w:rFonts w:ascii="Verdana" w:hAnsi="Verdana" w:cs="Russian Times"/>
          <w:sz w:val="20"/>
          <w:szCs w:val="20"/>
        </w:rPr>
        <w:t>higher education institutions</w:t>
      </w:r>
      <w:r w:rsidRPr="00F612A3">
        <w:rPr>
          <w:rFonts w:ascii="Verdana" w:hAnsi="Verdana" w:cs="Russian Times"/>
          <w:sz w:val="20"/>
          <w:szCs w:val="20"/>
        </w:rPr>
        <w:t>: du</w:t>
      </w:r>
      <w:r>
        <w:rPr>
          <w:rFonts w:ascii="Verdana" w:hAnsi="Verdana" w:cs="Russian Times"/>
          <w:sz w:val="20"/>
          <w:szCs w:val="20"/>
        </w:rPr>
        <w:t>ty to the student body to train/</w:t>
      </w:r>
      <w:r w:rsidRPr="00F612A3">
        <w:rPr>
          <w:rFonts w:ascii="Verdana" w:hAnsi="Verdana" w:cs="Russian Times"/>
          <w:sz w:val="20"/>
          <w:szCs w:val="20"/>
        </w:rPr>
        <w:t xml:space="preserve">retrain in order to improve its employability; duty to the world of work to provide well trained responsive individuals for employment; duty to society to allow all individuals to </w:t>
      </w:r>
      <w:r>
        <w:rPr>
          <w:rFonts w:ascii="Verdana" w:hAnsi="Verdana" w:cs="Russian Times"/>
          <w:sz w:val="20"/>
          <w:szCs w:val="20"/>
        </w:rPr>
        <w:t>be active members of society</w:t>
      </w:r>
      <w:r w:rsidRPr="00F612A3">
        <w:rPr>
          <w:rFonts w:ascii="Verdana" w:hAnsi="Verdana" w:cs="Russian Times"/>
          <w:sz w:val="20"/>
          <w:szCs w:val="20"/>
        </w:rPr>
        <w:t>.</w:t>
      </w:r>
      <w:r>
        <w:rPr>
          <w:rFonts w:ascii="Verdana" w:hAnsi="Verdana" w:cs="Russian Times"/>
          <w:sz w:val="20"/>
          <w:szCs w:val="20"/>
        </w:rPr>
        <w:t xml:space="preserve"> </w:t>
      </w:r>
    </w:p>
    <w:p w14:paraId="39E7A124" w14:textId="6A61D2D4" w:rsidR="00162EE2" w:rsidRPr="00755CA5" w:rsidRDefault="00162EE2" w:rsidP="00092204">
      <w:pPr>
        <w:widowControl w:val="0"/>
        <w:autoSpaceDE w:val="0"/>
        <w:autoSpaceDN w:val="0"/>
        <w:adjustRightInd w:val="0"/>
        <w:spacing w:after="120" w:line="288" w:lineRule="auto"/>
        <w:ind w:right="-771"/>
        <w:jc w:val="both"/>
        <w:rPr>
          <w:rFonts w:ascii="Verdana" w:hAnsi="Verdana"/>
          <w:i/>
          <w:sz w:val="20"/>
          <w:szCs w:val="20"/>
        </w:rPr>
      </w:pPr>
      <w:r>
        <w:rPr>
          <w:rFonts w:ascii="Verdana" w:hAnsi="Verdana" w:cs="Russian Times"/>
          <w:sz w:val="20"/>
          <w:szCs w:val="20"/>
        </w:rPr>
        <w:t xml:space="preserve">Put it differently, </w:t>
      </w:r>
      <w:r w:rsidR="001257F0">
        <w:rPr>
          <w:rFonts w:ascii="Verdana" w:hAnsi="Verdana" w:cs="Russian Times"/>
          <w:sz w:val="20"/>
          <w:szCs w:val="20"/>
        </w:rPr>
        <w:t>it was</w:t>
      </w:r>
      <w:r>
        <w:rPr>
          <w:rFonts w:ascii="Verdana" w:hAnsi="Verdana" w:cs="Russian Times"/>
          <w:sz w:val="20"/>
          <w:szCs w:val="20"/>
        </w:rPr>
        <w:t xml:space="preserve"> highlighted that higher education should exist within the whole continuum of lifelong learning, from basic education to advanced research as the needs of Europe’s populations develop over time and targeted actions are required aimed at widening the participation of mature students in higher education. For this purpose, </w:t>
      </w:r>
      <w:r>
        <w:rPr>
          <w:rFonts w:ascii="Verdana" w:hAnsi="Verdana"/>
          <w:sz w:val="20"/>
          <w:szCs w:val="20"/>
        </w:rPr>
        <w:t xml:space="preserve">formal and informal barriers to study for mature students should be eliminated through, inter alia, Recognition of Prior Learning and incentives for both students and higher education institutions to engage with one another throughout adult life. </w:t>
      </w:r>
      <w:r w:rsidRPr="00755CA5">
        <w:rPr>
          <w:rFonts w:ascii="Verdana" w:hAnsi="Verdana"/>
          <w:i/>
          <w:sz w:val="20"/>
          <w:szCs w:val="20"/>
        </w:rPr>
        <w:t>Finally, the TG pointed at the need to develop a guidelines document to assist the EHEA countries in their efforts to integrate lifelong learning in higher education systems, institutions, and society for the upcoming 2015-2018 period.</w:t>
      </w:r>
    </w:p>
    <w:p w14:paraId="061DB5B4" w14:textId="77777777" w:rsidR="00092204" w:rsidRPr="00496A2A" w:rsidRDefault="00092204" w:rsidP="00092204">
      <w:pPr>
        <w:widowControl w:val="0"/>
        <w:autoSpaceDE w:val="0"/>
        <w:autoSpaceDN w:val="0"/>
        <w:adjustRightInd w:val="0"/>
        <w:spacing w:after="120" w:line="288" w:lineRule="auto"/>
        <w:ind w:right="-771"/>
        <w:jc w:val="both"/>
        <w:rPr>
          <w:rFonts w:ascii="Verdana" w:hAnsi="Verdana" w:cs="Russian Times"/>
          <w:sz w:val="20"/>
          <w:szCs w:val="20"/>
        </w:rPr>
      </w:pPr>
    </w:p>
    <w:p w14:paraId="3CD062C7" w14:textId="77777777" w:rsidR="00162EE2" w:rsidRPr="00D8781B" w:rsidRDefault="00162EE2" w:rsidP="00092204">
      <w:pPr>
        <w:pStyle w:val="Heading1"/>
        <w:spacing w:before="100" w:beforeAutospacing="1" w:after="120" w:line="288" w:lineRule="auto"/>
      </w:pPr>
      <w:bookmarkStart w:id="29" w:name="_Toc278625898"/>
      <w:bookmarkStart w:id="30" w:name="_Toc283387974"/>
      <w:r>
        <w:t xml:space="preserve">3.  </w:t>
      </w:r>
      <w:r w:rsidRPr="00D8781B">
        <w:t>Peer Learning for the Social Dimension (PL4SD) Project</w:t>
      </w:r>
      <w:bookmarkEnd w:id="29"/>
      <w:bookmarkEnd w:id="30"/>
      <w:r w:rsidRPr="00D8781B">
        <w:t xml:space="preserve"> </w:t>
      </w:r>
    </w:p>
    <w:p w14:paraId="216A4276" w14:textId="77777777" w:rsidR="00162EE2"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 xml:space="preserve">The PL4SD project goes back to an initiative of the forgoing </w:t>
      </w:r>
      <w:r w:rsidR="007F66F9">
        <w:rPr>
          <w:rFonts w:ascii="Verdana" w:hAnsi="Verdana"/>
          <w:sz w:val="20"/>
          <w:szCs w:val="20"/>
        </w:rPr>
        <w:t xml:space="preserve">2009-2012 </w:t>
      </w:r>
      <w:r w:rsidRPr="007F66F9">
        <w:rPr>
          <w:rFonts w:ascii="Verdana" w:hAnsi="Verdana"/>
          <w:sz w:val="20"/>
          <w:szCs w:val="20"/>
        </w:rPr>
        <w:t>Social D</w:t>
      </w:r>
      <w:r w:rsidR="007F66F9" w:rsidRPr="007F66F9">
        <w:rPr>
          <w:rFonts w:ascii="Verdana" w:hAnsi="Verdana"/>
          <w:sz w:val="20"/>
          <w:szCs w:val="20"/>
        </w:rPr>
        <w:t>imension Working Group</w:t>
      </w:r>
      <w:r w:rsidRPr="007F66F9">
        <w:rPr>
          <w:rFonts w:ascii="Verdana" w:hAnsi="Verdana"/>
          <w:sz w:val="20"/>
          <w:szCs w:val="20"/>
        </w:rPr>
        <w:t>, which concluded its report with “…the need to d</w:t>
      </w:r>
      <w:r w:rsidRPr="00BA2641">
        <w:rPr>
          <w:rFonts w:ascii="Verdana" w:hAnsi="Verdana"/>
          <w:sz w:val="20"/>
          <w:szCs w:val="20"/>
        </w:rPr>
        <w:t>evelop a Pilot initiative to promote Peer Learning on the Social Dimension of Higher Education</w:t>
      </w:r>
      <w:r>
        <w:rPr>
          <w:rFonts w:ascii="Verdana" w:hAnsi="Verdana"/>
          <w:sz w:val="20"/>
          <w:szCs w:val="20"/>
        </w:rPr>
        <w:t xml:space="preserve">”. </w:t>
      </w:r>
      <w:proofErr w:type="gramStart"/>
      <w:r>
        <w:rPr>
          <w:rFonts w:ascii="Verdana" w:hAnsi="Verdana"/>
          <w:sz w:val="20"/>
          <w:szCs w:val="20"/>
        </w:rPr>
        <w:t>The project as such was set up by a consortium led by the Institute of Advanced Studies (IHS) in Vienna</w:t>
      </w:r>
      <w:proofErr w:type="gramEnd"/>
      <w:r>
        <w:rPr>
          <w:rFonts w:ascii="Verdana" w:hAnsi="Verdana"/>
          <w:sz w:val="20"/>
          <w:szCs w:val="20"/>
        </w:rPr>
        <w:t xml:space="preserve">. </w:t>
      </w:r>
      <w:proofErr w:type="gramStart"/>
      <w:r>
        <w:rPr>
          <w:rFonts w:ascii="Verdana" w:hAnsi="Verdana"/>
          <w:sz w:val="20"/>
          <w:szCs w:val="20"/>
        </w:rPr>
        <w:t>Partners</w:t>
      </w:r>
      <w:proofErr w:type="gramEnd"/>
      <w:r>
        <w:rPr>
          <w:rFonts w:ascii="Verdana" w:hAnsi="Verdana"/>
          <w:sz w:val="20"/>
          <w:szCs w:val="20"/>
        </w:rPr>
        <w:t xml:space="preserve"> are the </w:t>
      </w:r>
      <w:proofErr w:type="gramStart"/>
      <w:r w:rsidRPr="00BA2641">
        <w:rPr>
          <w:rFonts w:ascii="Verdana" w:hAnsi="Verdana"/>
          <w:sz w:val="20"/>
          <w:szCs w:val="20"/>
        </w:rPr>
        <w:t>German Centre</w:t>
      </w:r>
      <w:proofErr w:type="gramEnd"/>
      <w:r w:rsidRPr="00BA2641">
        <w:rPr>
          <w:rFonts w:ascii="Verdana" w:hAnsi="Verdana"/>
          <w:sz w:val="20"/>
          <w:szCs w:val="20"/>
        </w:rPr>
        <w:t xml:space="preserve"> for Research on Higher Education and Science Studies</w:t>
      </w:r>
      <w:r>
        <w:rPr>
          <w:rFonts w:ascii="Verdana" w:hAnsi="Verdana"/>
          <w:sz w:val="20"/>
          <w:szCs w:val="20"/>
        </w:rPr>
        <w:t xml:space="preserve"> (DZHW) in Hannover, the Institute for the Development of Education (IDE) in Zagreb and the </w:t>
      </w:r>
      <w:r w:rsidR="003E7BC0">
        <w:rPr>
          <w:rFonts w:ascii="Verdana" w:hAnsi="Verdana"/>
          <w:sz w:val="20"/>
          <w:szCs w:val="20"/>
        </w:rPr>
        <w:t>ESU.</w:t>
      </w:r>
      <w:r>
        <w:rPr>
          <w:rFonts w:ascii="Verdana" w:hAnsi="Verdana"/>
          <w:sz w:val="20"/>
          <w:szCs w:val="20"/>
        </w:rPr>
        <w:t xml:space="preserve"> The project receives funding from the Lifelong-Learning </w:t>
      </w:r>
      <w:proofErr w:type="spellStart"/>
      <w:r>
        <w:rPr>
          <w:rFonts w:ascii="Verdana" w:hAnsi="Verdana"/>
          <w:sz w:val="20"/>
          <w:szCs w:val="20"/>
        </w:rPr>
        <w:t>Programme</w:t>
      </w:r>
      <w:proofErr w:type="spellEnd"/>
      <w:r>
        <w:rPr>
          <w:rFonts w:ascii="Verdana" w:hAnsi="Verdana"/>
          <w:sz w:val="20"/>
          <w:szCs w:val="20"/>
        </w:rPr>
        <w:t xml:space="preserve"> of the European Commission from 1.10.2012 – 30.9.2015.</w:t>
      </w:r>
    </w:p>
    <w:p w14:paraId="19276791" w14:textId="7570D3F5" w:rsidR="00A21671" w:rsidRPr="00A21671" w:rsidRDefault="00162EE2" w:rsidP="00A21671">
      <w:pPr>
        <w:spacing w:before="100" w:beforeAutospacing="1" w:after="360" w:line="288" w:lineRule="auto"/>
        <w:ind w:right="-771"/>
        <w:jc w:val="both"/>
        <w:rPr>
          <w:rFonts w:ascii="Verdana" w:hAnsi="Verdana"/>
          <w:sz w:val="20"/>
          <w:szCs w:val="20"/>
        </w:rPr>
      </w:pPr>
      <w:r w:rsidRPr="00BA2641">
        <w:rPr>
          <w:rFonts w:ascii="Verdana" w:hAnsi="Verdana"/>
          <w:sz w:val="20"/>
          <w:szCs w:val="20"/>
        </w:rPr>
        <w:t xml:space="preserve">PL4SD is an </w:t>
      </w:r>
      <w:r>
        <w:rPr>
          <w:rFonts w:ascii="Verdana" w:hAnsi="Verdana"/>
          <w:sz w:val="20"/>
          <w:szCs w:val="20"/>
        </w:rPr>
        <w:t>i</w:t>
      </w:r>
      <w:r w:rsidRPr="00BA2641">
        <w:rPr>
          <w:rFonts w:ascii="Verdana" w:hAnsi="Verdana"/>
          <w:sz w:val="20"/>
          <w:szCs w:val="20"/>
        </w:rPr>
        <w:t xml:space="preserve">nitiative to foster </w:t>
      </w:r>
      <w:r>
        <w:rPr>
          <w:rFonts w:ascii="Verdana" w:hAnsi="Verdana"/>
          <w:sz w:val="20"/>
          <w:szCs w:val="20"/>
        </w:rPr>
        <w:t>p</w:t>
      </w:r>
      <w:r w:rsidRPr="00BA2641">
        <w:rPr>
          <w:rFonts w:ascii="Verdana" w:hAnsi="Verdana"/>
          <w:sz w:val="20"/>
          <w:szCs w:val="20"/>
        </w:rPr>
        <w:t xml:space="preserve">eer </w:t>
      </w:r>
      <w:r>
        <w:rPr>
          <w:rFonts w:ascii="Verdana" w:hAnsi="Verdana"/>
          <w:sz w:val="20"/>
          <w:szCs w:val="20"/>
        </w:rPr>
        <w:t>l</w:t>
      </w:r>
      <w:r w:rsidRPr="00BA2641">
        <w:rPr>
          <w:rFonts w:ascii="Verdana" w:hAnsi="Verdana"/>
          <w:sz w:val="20"/>
          <w:szCs w:val="20"/>
        </w:rPr>
        <w:t xml:space="preserve">earning for the </w:t>
      </w:r>
      <w:r>
        <w:rPr>
          <w:rFonts w:ascii="Verdana" w:hAnsi="Verdana"/>
          <w:sz w:val="20"/>
          <w:szCs w:val="20"/>
        </w:rPr>
        <w:t>s</w:t>
      </w:r>
      <w:r w:rsidRPr="00BA2641">
        <w:rPr>
          <w:rFonts w:ascii="Verdana" w:hAnsi="Verdana"/>
          <w:sz w:val="20"/>
          <w:szCs w:val="20"/>
        </w:rPr>
        <w:t xml:space="preserve">ocial </w:t>
      </w:r>
      <w:r>
        <w:rPr>
          <w:rFonts w:ascii="Verdana" w:hAnsi="Verdana"/>
          <w:sz w:val="20"/>
          <w:szCs w:val="20"/>
        </w:rPr>
        <w:t>d</w:t>
      </w:r>
      <w:r w:rsidRPr="00BA2641">
        <w:rPr>
          <w:rFonts w:ascii="Verdana" w:hAnsi="Verdana"/>
          <w:sz w:val="20"/>
          <w:szCs w:val="20"/>
        </w:rPr>
        <w:t xml:space="preserve">imension </w:t>
      </w:r>
      <w:r w:rsidRPr="003E7BC0">
        <w:rPr>
          <w:rFonts w:ascii="Verdana" w:hAnsi="Verdana"/>
          <w:sz w:val="20"/>
          <w:szCs w:val="20"/>
        </w:rPr>
        <w:t xml:space="preserve">in </w:t>
      </w:r>
      <w:r w:rsidR="003E7BC0" w:rsidRPr="003E7BC0">
        <w:rPr>
          <w:rFonts w:ascii="Verdana" w:hAnsi="Verdana"/>
          <w:sz w:val="20"/>
          <w:szCs w:val="20"/>
        </w:rPr>
        <w:t>higher e</w:t>
      </w:r>
      <w:r w:rsidRPr="003E7BC0">
        <w:rPr>
          <w:rFonts w:ascii="Verdana" w:hAnsi="Verdana"/>
          <w:sz w:val="20"/>
          <w:szCs w:val="20"/>
        </w:rPr>
        <w:t>ducation.</w:t>
      </w:r>
      <w:r w:rsidRPr="00BA2641">
        <w:rPr>
          <w:rFonts w:ascii="Verdana" w:hAnsi="Verdana"/>
          <w:sz w:val="20"/>
          <w:szCs w:val="20"/>
        </w:rPr>
        <w:t xml:space="preserve"> It aims at increasing transparency and comprehensiveness of different national approaches in this field for other countries within the EHEA and to encourage them to learn from each other about practices and policies that are undertaken to enhance the social dimension </w:t>
      </w:r>
      <w:r>
        <w:rPr>
          <w:rFonts w:ascii="Verdana" w:hAnsi="Verdana"/>
          <w:sz w:val="20"/>
          <w:szCs w:val="20"/>
        </w:rPr>
        <w:t>in</w:t>
      </w:r>
      <w:r w:rsidRPr="00BA2641">
        <w:rPr>
          <w:rFonts w:ascii="Verdana" w:hAnsi="Verdana"/>
          <w:sz w:val="20"/>
          <w:szCs w:val="20"/>
        </w:rPr>
        <w:t xml:space="preserve"> higher education.</w:t>
      </w:r>
      <w:r>
        <w:rPr>
          <w:rFonts w:ascii="Verdana" w:hAnsi="Verdana"/>
          <w:sz w:val="20"/>
          <w:szCs w:val="20"/>
        </w:rPr>
        <w:t xml:space="preserve"> </w:t>
      </w:r>
      <w:r w:rsidRPr="009C176D">
        <w:rPr>
          <w:rFonts w:ascii="Verdana" w:hAnsi="Verdana"/>
          <w:sz w:val="20"/>
          <w:szCs w:val="20"/>
        </w:rPr>
        <w:t xml:space="preserve">The challenge of fostering peer learning among 47 </w:t>
      </w:r>
      <w:r w:rsidRPr="009C176D">
        <w:rPr>
          <w:rFonts w:ascii="Verdana" w:hAnsi="Verdana"/>
          <w:sz w:val="20"/>
          <w:szCs w:val="20"/>
        </w:rPr>
        <w:lastRenderedPageBreak/>
        <w:t xml:space="preserve">EHEA countries is approached by </w:t>
      </w:r>
      <w:r>
        <w:rPr>
          <w:rFonts w:ascii="Verdana" w:hAnsi="Verdana"/>
          <w:sz w:val="20"/>
          <w:szCs w:val="20"/>
        </w:rPr>
        <w:t>three</w:t>
      </w:r>
      <w:r w:rsidRPr="009C176D">
        <w:rPr>
          <w:rFonts w:ascii="Verdana" w:hAnsi="Verdana"/>
          <w:sz w:val="20"/>
          <w:szCs w:val="20"/>
        </w:rPr>
        <w:t xml:space="preserve"> c</w:t>
      </w:r>
      <w:r>
        <w:rPr>
          <w:rFonts w:ascii="Verdana" w:hAnsi="Verdana"/>
          <w:sz w:val="20"/>
          <w:szCs w:val="20"/>
        </w:rPr>
        <w:t xml:space="preserve">ore elements of the project: </w:t>
      </w:r>
      <w:proofErr w:type="spellStart"/>
      <w:r>
        <w:rPr>
          <w:rFonts w:ascii="Verdana" w:hAnsi="Verdana"/>
          <w:sz w:val="20"/>
          <w:szCs w:val="20"/>
        </w:rPr>
        <w:t>i</w:t>
      </w:r>
      <w:proofErr w:type="spellEnd"/>
      <w:r>
        <w:rPr>
          <w:rFonts w:ascii="Verdana" w:hAnsi="Verdana"/>
          <w:sz w:val="20"/>
          <w:szCs w:val="20"/>
        </w:rPr>
        <w:t>) </w:t>
      </w:r>
      <w:r w:rsidRPr="009C176D">
        <w:rPr>
          <w:rFonts w:ascii="Verdana" w:hAnsi="Verdana"/>
          <w:sz w:val="20"/>
          <w:szCs w:val="20"/>
        </w:rPr>
        <w:t>building up and maintaining an online database of measures</w:t>
      </w:r>
      <w:r>
        <w:rPr>
          <w:rFonts w:ascii="Verdana" w:hAnsi="Verdana"/>
          <w:sz w:val="20"/>
          <w:szCs w:val="20"/>
        </w:rPr>
        <w:t xml:space="preserve">, </w:t>
      </w:r>
      <w:r w:rsidRPr="009C176D">
        <w:rPr>
          <w:rFonts w:ascii="Verdana" w:hAnsi="Verdana"/>
          <w:sz w:val="20"/>
          <w:szCs w:val="20"/>
        </w:rPr>
        <w:t>ii)</w:t>
      </w:r>
      <w:r>
        <w:rPr>
          <w:rFonts w:ascii="Verdana" w:hAnsi="Verdana"/>
          <w:sz w:val="20"/>
          <w:szCs w:val="20"/>
        </w:rPr>
        <w:t> </w:t>
      </w:r>
      <w:r w:rsidRPr="009C176D">
        <w:rPr>
          <w:rFonts w:ascii="Verdana" w:hAnsi="Verdana"/>
          <w:sz w:val="20"/>
          <w:szCs w:val="20"/>
        </w:rPr>
        <w:t xml:space="preserve">conducting country reviews </w:t>
      </w:r>
      <w:r>
        <w:rPr>
          <w:rFonts w:ascii="Verdana" w:hAnsi="Verdana"/>
          <w:sz w:val="20"/>
          <w:szCs w:val="20"/>
        </w:rPr>
        <w:t>in</w:t>
      </w:r>
      <w:r w:rsidRPr="009C176D">
        <w:rPr>
          <w:rFonts w:ascii="Verdana" w:hAnsi="Verdana"/>
          <w:sz w:val="20"/>
          <w:szCs w:val="20"/>
        </w:rPr>
        <w:t xml:space="preserve"> three countries on demand, assisting them in merging national measures and initiatives </w:t>
      </w:r>
      <w:r>
        <w:rPr>
          <w:rFonts w:ascii="Verdana" w:hAnsi="Verdana"/>
          <w:sz w:val="20"/>
          <w:szCs w:val="20"/>
        </w:rPr>
        <w:t>in</w:t>
      </w:r>
      <w:r w:rsidRPr="009C176D">
        <w:rPr>
          <w:rFonts w:ascii="Verdana" w:hAnsi="Verdana"/>
          <w:sz w:val="20"/>
          <w:szCs w:val="20"/>
        </w:rPr>
        <w:t>to a coherent strategy</w:t>
      </w:r>
      <w:r>
        <w:rPr>
          <w:rFonts w:ascii="Verdana" w:hAnsi="Verdana"/>
          <w:sz w:val="20"/>
          <w:szCs w:val="20"/>
        </w:rPr>
        <w:t>, and iii) stimulating peer-learning among stakeholders of the EHEA.</w:t>
      </w:r>
      <w:bookmarkStart w:id="31" w:name="_Toc278625899"/>
    </w:p>
    <w:p w14:paraId="69F072ED" w14:textId="4A237474" w:rsidR="00162EE2" w:rsidRPr="00FF42AE" w:rsidRDefault="00092204" w:rsidP="00092204">
      <w:pPr>
        <w:pStyle w:val="Heading2"/>
        <w:spacing w:before="100" w:beforeAutospacing="1" w:after="120" w:line="288" w:lineRule="auto"/>
        <w:rPr>
          <w:rFonts w:ascii="Verdana" w:hAnsi="Verdana"/>
          <w:i w:val="0"/>
          <w:sz w:val="24"/>
          <w:szCs w:val="24"/>
        </w:rPr>
      </w:pPr>
      <w:bookmarkStart w:id="32" w:name="_Toc283387975"/>
      <w:r>
        <w:rPr>
          <w:rFonts w:ascii="Verdana" w:hAnsi="Verdana"/>
          <w:i w:val="0"/>
          <w:sz w:val="24"/>
          <w:szCs w:val="24"/>
        </w:rPr>
        <w:t>3</w:t>
      </w:r>
      <w:r w:rsidR="00162EE2" w:rsidRPr="00FF42AE">
        <w:rPr>
          <w:rFonts w:ascii="Verdana" w:hAnsi="Verdana"/>
          <w:i w:val="0"/>
          <w:sz w:val="24"/>
          <w:szCs w:val="24"/>
        </w:rPr>
        <w:t>.</w:t>
      </w:r>
      <w:r>
        <w:rPr>
          <w:rFonts w:ascii="Verdana" w:hAnsi="Verdana"/>
          <w:i w:val="0"/>
          <w:sz w:val="24"/>
          <w:szCs w:val="24"/>
        </w:rPr>
        <w:t>1.</w:t>
      </w:r>
      <w:r w:rsidR="00162EE2" w:rsidRPr="00FF42AE">
        <w:rPr>
          <w:rFonts w:ascii="Verdana" w:hAnsi="Verdana"/>
          <w:i w:val="0"/>
          <w:sz w:val="24"/>
          <w:szCs w:val="24"/>
        </w:rPr>
        <w:t xml:space="preserve"> PL4SD database</w:t>
      </w:r>
      <w:bookmarkEnd w:id="31"/>
      <w:bookmarkEnd w:id="32"/>
    </w:p>
    <w:p w14:paraId="084F32D6" w14:textId="49582019" w:rsidR="00162EE2" w:rsidRDefault="00162EE2" w:rsidP="00771E89">
      <w:pPr>
        <w:spacing w:before="100" w:beforeAutospacing="1" w:after="120" w:line="288" w:lineRule="auto"/>
        <w:ind w:right="-772"/>
        <w:jc w:val="both"/>
        <w:rPr>
          <w:rFonts w:ascii="Verdana" w:hAnsi="Verdana"/>
          <w:sz w:val="20"/>
          <w:szCs w:val="20"/>
        </w:rPr>
      </w:pPr>
      <w:r w:rsidRPr="000834E2">
        <w:rPr>
          <w:rFonts w:ascii="Verdana" w:hAnsi="Verdana"/>
          <w:sz w:val="20"/>
          <w:szCs w:val="20"/>
        </w:rPr>
        <w:t>The</w:t>
      </w:r>
      <w:r w:rsidRPr="00EA3F2E">
        <w:rPr>
          <w:rFonts w:ascii="Verdana" w:hAnsi="Verdana"/>
          <w:sz w:val="20"/>
          <w:szCs w:val="20"/>
        </w:rPr>
        <w:t xml:space="preserve"> PL4SD-database </w:t>
      </w:r>
      <w:r w:rsidRPr="000834E2">
        <w:rPr>
          <w:rFonts w:ascii="Verdana" w:hAnsi="Verdana"/>
          <w:sz w:val="20"/>
          <w:szCs w:val="20"/>
        </w:rPr>
        <w:t>of measures in the frame of the social dimension of higher education is accessible</w:t>
      </w:r>
      <w:r w:rsidRPr="00DD6219">
        <w:rPr>
          <w:rFonts w:ascii="Verdana" w:hAnsi="Verdana"/>
          <w:sz w:val="20"/>
          <w:szCs w:val="20"/>
        </w:rPr>
        <w:t xml:space="preserve"> </w:t>
      </w:r>
      <w:r w:rsidRPr="000834E2">
        <w:rPr>
          <w:rFonts w:ascii="Verdana" w:hAnsi="Verdana"/>
          <w:sz w:val="20"/>
          <w:szCs w:val="20"/>
        </w:rPr>
        <w:t>online (</w:t>
      </w:r>
      <w:hyperlink r:id="rId11" w:history="1">
        <w:r w:rsidRPr="000834E2">
          <w:rPr>
            <w:rStyle w:val="Hyperlink"/>
            <w:rFonts w:ascii="Verdana" w:hAnsi="Verdana"/>
            <w:sz w:val="20"/>
            <w:szCs w:val="20"/>
          </w:rPr>
          <w:t>www.pl4sd.eu</w:t>
        </w:r>
      </w:hyperlink>
      <w:r w:rsidRPr="000834E2">
        <w:rPr>
          <w:rFonts w:ascii="Verdana" w:hAnsi="Verdana"/>
          <w:sz w:val="20"/>
          <w:szCs w:val="20"/>
        </w:rPr>
        <w:t xml:space="preserve">) and currently </w:t>
      </w:r>
      <w:r>
        <w:rPr>
          <w:rFonts w:ascii="Verdana" w:hAnsi="Verdana"/>
          <w:sz w:val="20"/>
          <w:szCs w:val="20"/>
        </w:rPr>
        <w:t>contains</w:t>
      </w:r>
      <w:r w:rsidRPr="000834E2">
        <w:rPr>
          <w:rFonts w:ascii="Verdana" w:hAnsi="Verdana"/>
          <w:sz w:val="20"/>
          <w:szCs w:val="20"/>
        </w:rPr>
        <w:t xml:space="preserve"> 2</w:t>
      </w:r>
      <w:r>
        <w:rPr>
          <w:rFonts w:ascii="Verdana" w:hAnsi="Verdana"/>
          <w:sz w:val="20"/>
          <w:szCs w:val="20"/>
        </w:rPr>
        <w:t>92</w:t>
      </w:r>
      <w:r w:rsidRPr="000834E2">
        <w:rPr>
          <w:rFonts w:ascii="Verdana" w:hAnsi="Verdana"/>
          <w:sz w:val="20"/>
          <w:szCs w:val="20"/>
        </w:rPr>
        <w:t xml:space="preserve"> measures from </w:t>
      </w:r>
      <w:r>
        <w:rPr>
          <w:rFonts w:ascii="Verdana" w:hAnsi="Verdana"/>
          <w:sz w:val="20"/>
          <w:szCs w:val="20"/>
        </w:rPr>
        <w:t>32</w:t>
      </w:r>
      <w:r w:rsidRPr="000834E2">
        <w:rPr>
          <w:rFonts w:ascii="Verdana" w:hAnsi="Verdana"/>
          <w:sz w:val="20"/>
          <w:szCs w:val="20"/>
        </w:rPr>
        <w:t xml:space="preserve"> countries plus </w:t>
      </w:r>
      <w:r>
        <w:rPr>
          <w:rFonts w:ascii="Verdana" w:hAnsi="Verdana"/>
          <w:sz w:val="20"/>
          <w:szCs w:val="20"/>
        </w:rPr>
        <w:t>139</w:t>
      </w:r>
      <w:r w:rsidRPr="000834E2">
        <w:rPr>
          <w:rFonts w:ascii="Verdana" w:hAnsi="Verdana"/>
          <w:sz w:val="20"/>
          <w:szCs w:val="20"/>
        </w:rPr>
        <w:t xml:space="preserve"> research </w:t>
      </w:r>
      <w:r>
        <w:rPr>
          <w:rFonts w:ascii="Verdana" w:hAnsi="Verdana"/>
          <w:sz w:val="20"/>
          <w:szCs w:val="20"/>
        </w:rPr>
        <w:t>papers/reports</w:t>
      </w:r>
      <w:r w:rsidRPr="000834E2">
        <w:rPr>
          <w:rFonts w:ascii="Verdana" w:hAnsi="Verdana"/>
          <w:sz w:val="20"/>
          <w:szCs w:val="20"/>
        </w:rPr>
        <w:t xml:space="preserve"> on the topic</w:t>
      </w:r>
      <w:r>
        <w:rPr>
          <w:rFonts w:ascii="Verdana" w:hAnsi="Verdana"/>
          <w:sz w:val="20"/>
          <w:szCs w:val="20"/>
        </w:rPr>
        <w:t xml:space="preserve"> </w:t>
      </w:r>
      <w:r w:rsidRPr="000834E2">
        <w:rPr>
          <w:rFonts w:ascii="Verdana" w:hAnsi="Verdana"/>
          <w:sz w:val="20"/>
          <w:szCs w:val="20"/>
        </w:rPr>
        <w:t>(</w:t>
      </w:r>
      <w:r>
        <w:rPr>
          <w:rFonts w:ascii="Verdana" w:hAnsi="Verdana"/>
          <w:sz w:val="20"/>
          <w:szCs w:val="20"/>
        </w:rPr>
        <w:t xml:space="preserve">Nov. </w:t>
      </w:r>
      <w:r w:rsidRPr="000834E2">
        <w:rPr>
          <w:rFonts w:ascii="Verdana" w:hAnsi="Verdana"/>
          <w:sz w:val="20"/>
          <w:szCs w:val="20"/>
        </w:rPr>
        <w:t xml:space="preserve">2014). PL4SD </w:t>
      </w:r>
      <w:r>
        <w:rPr>
          <w:rFonts w:ascii="Verdana" w:hAnsi="Verdana"/>
          <w:sz w:val="20"/>
          <w:szCs w:val="20"/>
        </w:rPr>
        <w:t>invested</w:t>
      </w:r>
      <w:r w:rsidRPr="000834E2">
        <w:rPr>
          <w:rFonts w:ascii="Verdana" w:hAnsi="Verdana"/>
          <w:sz w:val="20"/>
          <w:szCs w:val="20"/>
        </w:rPr>
        <w:t xml:space="preserve"> a lot of effort to make the database as user friendly as possible, i.e. </w:t>
      </w:r>
      <w:r>
        <w:rPr>
          <w:rFonts w:ascii="Verdana" w:hAnsi="Verdana"/>
          <w:sz w:val="20"/>
          <w:szCs w:val="20"/>
        </w:rPr>
        <w:t>in terms of</w:t>
      </w:r>
      <w:r w:rsidRPr="000834E2">
        <w:rPr>
          <w:rFonts w:ascii="Verdana" w:hAnsi="Verdana"/>
          <w:sz w:val="20"/>
          <w:szCs w:val="20"/>
        </w:rPr>
        <w:t xml:space="preserve"> facilitat</w:t>
      </w:r>
      <w:r>
        <w:rPr>
          <w:rFonts w:ascii="Verdana" w:hAnsi="Verdana"/>
          <w:sz w:val="20"/>
          <w:szCs w:val="20"/>
        </w:rPr>
        <w:t>ing</w:t>
      </w:r>
      <w:r w:rsidRPr="000834E2">
        <w:rPr>
          <w:rFonts w:ascii="Verdana" w:hAnsi="Verdana"/>
          <w:sz w:val="20"/>
          <w:szCs w:val="20"/>
        </w:rPr>
        <w:t xml:space="preserve"> the search </w:t>
      </w:r>
      <w:r>
        <w:rPr>
          <w:rFonts w:ascii="Verdana" w:hAnsi="Verdana"/>
          <w:sz w:val="20"/>
          <w:szCs w:val="20"/>
        </w:rPr>
        <w:t>facility</w:t>
      </w:r>
      <w:r w:rsidRPr="000834E2">
        <w:rPr>
          <w:rFonts w:ascii="Verdana" w:hAnsi="Verdana"/>
          <w:sz w:val="20"/>
          <w:szCs w:val="20"/>
        </w:rPr>
        <w:t xml:space="preserve">. This is a big challenge, most of all because the database should also </w:t>
      </w:r>
      <w:r>
        <w:rPr>
          <w:rFonts w:ascii="Verdana" w:hAnsi="Verdana"/>
          <w:sz w:val="20"/>
          <w:szCs w:val="20"/>
        </w:rPr>
        <w:t>accommodate</w:t>
      </w:r>
      <w:r w:rsidRPr="000834E2">
        <w:rPr>
          <w:rFonts w:ascii="Verdana" w:hAnsi="Verdana"/>
          <w:sz w:val="20"/>
          <w:szCs w:val="20"/>
        </w:rPr>
        <w:t xml:space="preserve"> users </w:t>
      </w:r>
      <w:r>
        <w:rPr>
          <w:rFonts w:ascii="Verdana" w:hAnsi="Verdana"/>
          <w:sz w:val="20"/>
          <w:szCs w:val="20"/>
        </w:rPr>
        <w:t>who</w:t>
      </w:r>
      <w:r w:rsidRPr="000834E2">
        <w:rPr>
          <w:rFonts w:ascii="Verdana" w:hAnsi="Verdana"/>
          <w:sz w:val="20"/>
          <w:szCs w:val="20"/>
        </w:rPr>
        <w:t xml:space="preserve"> want to use it for inspiration and therefore do not know what they are looking for</w:t>
      </w:r>
      <w:r w:rsidRPr="00B72658">
        <w:rPr>
          <w:rFonts w:ascii="Verdana" w:hAnsi="Verdana"/>
          <w:sz w:val="20"/>
          <w:szCs w:val="20"/>
        </w:rPr>
        <w:t xml:space="preserve"> </w:t>
      </w:r>
      <w:r w:rsidRPr="000834E2">
        <w:rPr>
          <w:rFonts w:ascii="Verdana" w:hAnsi="Verdana"/>
          <w:sz w:val="20"/>
          <w:szCs w:val="20"/>
        </w:rPr>
        <w:t xml:space="preserve">concretely. Hence, PL4SD developed an “analytical grid” for this purpose and discussed it with the members of the </w:t>
      </w:r>
      <w:r w:rsidR="00022030">
        <w:rPr>
          <w:rFonts w:ascii="Verdana" w:hAnsi="Verdana"/>
          <w:sz w:val="20"/>
          <w:szCs w:val="20"/>
        </w:rPr>
        <w:t xml:space="preserve">SD&amp;LLL </w:t>
      </w:r>
      <w:r>
        <w:rPr>
          <w:rFonts w:ascii="Verdana" w:hAnsi="Verdana"/>
          <w:sz w:val="20"/>
          <w:szCs w:val="20"/>
        </w:rPr>
        <w:t>WG</w:t>
      </w:r>
      <w:r w:rsidRPr="000834E2">
        <w:rPr>
          <w:rFonts w:ascii="Verdana" w:hAnsi="Verdana"/>
          <w:sz w:val="20"/>
          <w:szCs w:val="20"/>
        </w:rPr>
        <w:t xml:space="preserve"> who also pre</w:t>
      </w:r>
      <w:r>
        <w:rPr>
          <w:rFonts w:ascii="Verdana" w:hAnsi="Verdana"/>
          <w:sz w:val="20"/>
          <w:szCs w:val="20"/>
        </w:rPr>
        <w:t>-</w:t>
      </w:r>
      <w:r w:rsidRPr="000834E2">
        <w:rPr>
          <w:rFonts w:ascii="Verdana" w:hAnsi="Verdana"/>
          <w:sz w:val="20"/>
          <w:szCs w:val="20"/>
        </w:rPr>
        <w:t xml:space="preserve">tested it. After the first round of data collection, the grid </w:t>
      </w:r>
      <w:r>
        <w:rPr>
          <w:rFonts w:ascii="Verdana" w:hAnsi="Verdana"/>
          <w:sz w:val="20"/>
          <w:szCs w:val="20"/>
        </w:rPr>
        <w:t>was</w:t>
      </w:r>
      <w:r w:rsidRPr="000834E2">
        <w:rPr>
          <w:rFonts w:ascii="Verdana" w:hAnsi="Verdana"/>
          <w:sz w:val="20"/>
          <w:szCs w:val="20"/>
        </w:rPr>
        <w:t xml:space="preserve"> revised again</w:t>
      </w:r>
      <w:r>
        <w:rPr>
          <w:rFonts w:ascii="Verdana" w:hAnsi="Verdana"/>
          <w:sz w:val="20"/>
          <w:szCs w:val="20"/>
        </w:rPr>
        <w:t>,</w:t>
      </w:r>
      <w:r w:rsidRPr="000834E2">
        <w:rPr>
          <w:rFonts w:ascii="Verdana" w:hAnsi="Verdana"/>
          <w:sz w:val="20"/>
          <w:szCs w:val="20"/>
        </w:rPr>
        <w:t xml:space="preserve"> leading to a three-way search interface for the database. This enables users to a) filter search results by choosing several categories (target groups, types and objectives of the measures as well as country), b) to start a free text search or c) using a tag cloud based on the full text of all measures entered</w:t>
      </w:r>
      <w:r>
        <w:rPr>
          <w:rFonts w:ascii="Verdana" w:hAnsi="Verdana"/>
          <w:sz w:val="20"/>
          <w:szCs w:val="20"/>
        </w:rPr>
        <w:t xml:space="preserve"> (se</w:t>
      </w:r>
      <w:r w:rsidRPr="00B72658">
        <w:rPr>
          <w:rFonts w:ascii="Verdana" w:hAnsi="Verdana"/>
          <w:sz w:val="20"/>
          <w:szCs w:val="20"/>
        </w:rPr>
        <w:t xml:space="preserve">e </w:t>
      </w:r>
      <w:hyperlink w:anchor="Figure_1" w:history="1">
        <w:r w:rsidR="00454DA8" w:rsidRPr="006A6FEC">
          <w:rPr>
            <w:rStyle w:val="Hyperlink"/>
            <w:rFonts w:ascii="Verdana" w:hAnsi="Verdana"/>
            <w:sz w:val="20"/>
            <w:szCs w:val="20"/>
          </w:rPr>
          <w:t>Figure 1</w:t>
        </w:r>
      </w:hyperlink>
      <w:r w:rsidRPr="00B72658">
        <w:rPr>
          <w:rFonts w:ascii="Verdana" w:hAnsi="Verdana"/>
          <w:sz w:val="20"/>
          <w:szCs w:val="20"/>
        </w:rPr>
        <w:t>). This interface</w:t>
      </w:r>
      <w:r w:rsidRPr="000834E2">
        <w:rPr>
          <w:rFonts w:ascii="Verdana" w:hAnsi="Verdana"/>
          <w:sz w:val="20"/>
          <w:szCs w:val="20"/>
        </w:rPr>
        <w:t xml:space="preserve"> has again been tested by the participants of the </w:t>
      </w:r>
      <w:r>
        <w:rPr>
          <w:rFonts w:ascii="Verdana" w:hAnsi="Verdana"/>
          <w:sz w:val="20"/>
          <w:szCs w:val="20"/>
        </w:rPr>
        <w:t xml:space="preserve">PL4SD </w:t>
      </w:r>
      <w:r w:rsidRPr="000834E2">
        <w:rPr>
          <w:rFonts w:ascii="Verdana" w:hAnsi="Verdana"/>
          <w:sz w:val="20"/>
          <w:szCs w:val="20"/>
        </w:rPr>
        <w:t xml:space="preserve">interim conference in the form of structured interviews and revised </w:t>
      </w:r>
      <w:r>
        <w:rPr>
          <w:rFonts w:ascii="Verdana" w:hAnsi="Verdana"/>
          <w:sz w:val="20"/>
          <w:szCs w:val="20"/>
        </w:rPr>
        <w:t>once more</w:t>
      </w:r>
      <w:r w:rsidRPr="000834E2">
        <w:rPr>
          <w:rFonts w:ascii="Verdana" w:hAnsi="Verdana"/>
          <w:sz w:val="20"/>
          <w:szCs w:val="20"/>
        </w:rPr>
        <w:t xml:space="preserve"> after</w:t>
      </w:r>
      <w:r>
        <w:rPr>
          <w:rFonts w:ascii="Verdana" w:hAnsi="Verdana"/>
          <w:sz w:val="20"/>
          <w:szCs w:val="20"/>
        </w:rPr>
        <w:t xml:space="preserve"> that</w:t>
      </w:r>
      <w:r w:rsidRPr="000834E2">
        <w:rPr>
          <w:rFonts w:ascii="Verdana" w:hAnsi="Verdana"/>
          <w:sz w:val="20"/>
          <w:szCs w:val="20"/>
        </w:rPr>
        <w:t xml:space="preserve">. </w:t>
      </w:r>
    </w:p>
    <w:p w14:paraId="037E804D" w14:textId="713B0792" w:rsidR="00162EE2" w:rsidRPr="000834E2" w:rsidRDefault="00A21671" w:rsidP="00162EE2">
      <w:pPr>
        <w:spacing w:after="120" w:line="288" w:lineRule="auto"/>
        <w:ind w:right="-772"/>
        <w:jc w:val="both"/>
        <w:rPr>
          <w:rFonts w:ascii="Verdana" w:hAnsi="Verdana"/>
          <w:sz w:val="20"/>
          <w:szCs w:val="20"/>
        </w:rPr>
      </w:pPr>
      <w:hyperlink w:anchor="Table_1" w:history="1">
        <w:r w:rsidR="00454DA8" w:rsidRPr="006A6FEC">
          <w:rPr>
            <w:rStyle w:val="Hyperlink"/>
            <w:rFonts w:ascii="Verdana" w:hAnsi="Verdana"/>
            <w:sz w:val="20"/>
            <w:szCs w:val="20"/>
          </w:rPr>
          <w:t>Table 1</w:t>
        </w:r>
      </w:hyperlink>
      <w:r w:rsidR="00162EE2">
        <w:rPr>
          <w:rFonts w:ascii="Verdana" w:hAnsi="Verdana"/>
          <w:sz w:val="20"/>
          <w:szCs w:val="20"/>
        </w:rPr>
        <w:t xml:space="preserve"> provides an overview of the measures in the database as of November 2014. Most of the measures address the general student population, students from lower socio-economic backgrounds or prospective students. The greatest </w:t>
      </w:r>
      <w:proofErr w:type="gramStart"/>
      <w:r w:rsidR="00162EE2">
        <w:rPr>
          <w:rFonts w:ascii="Verdana" w:hAnsi="Verdana"/>
          <w:sz w:val="20"/>
          <w:szCs w:val="20"/>
        </w:rPr>
        <w:t>proportion of measures are</w:t>
      </w:r>
      <w:proofErr w:type="gramEnd"/>
      <w:r w:rsidR="00162EE2">
        <w:rPr>
          <w:rFonts w:ascii="Verdana" w:hAnsi="Verdana"/>
          <w:sz w:val="20"/>
          <w:szCs w:val="20"/>
        </w:rPr>
        <w:t xml:space="preserve"> those with objectives relating to widening access and student support and these deal principally with </w:t>
      </w:r>
      <w:proofErr w:type="spellStart"/>
      <w:r w:rsidR="00162EE2">
        <w:rPr>
          <w:rFonts w:ascii="Verdana" w:hAnsi="Verdana"/>
          <w:sz w:val="20"/>
          <w:szCs w:val="20"/>
        </w:rPr>
        <w:t>counselling</w:t>
      </w:r>
      <w:proofErr w:type="spellEnd"/>
      <w:r w:rsidR="00162EE2">
        <w:rPr>
          <w:rFonts w:ascii="Verdana" w:hAnsi="Verdana"/>
          <w:sz w:val="20"/>
          <w:szCs w:val="20"/>
        </w:rPr>
        <w:t>/ support services or student financial support.</w:t>
      </w:r>
    </w:p>
    <w:p w14:paraId="270CB61B" w14:textId="77777777" w:rsidR="00162EE2" w:rsidRDefault="00162EE2" w:rsidP="00162EE2">
      <w:pPr>
        <w:spacing w:after="120" w:line="288" w:lineRule="auto"/>
        <w:ind w:right="-772"/>
        <w:jc w:val="both"/>
        <w:rPr>
          <w:rFonts w:ascii="Verdana" w:hAnsi="Verdana"/>
          <w:sz w:val="20"/>
          <w:szCs w:val="20"/>
        </w:rPr>
      </w:pPr>
      <w:r>
        <w:rPr>
          <w:rFonts w:ascii="Verdana" w:hAnsi="Verdana"/>
          <w:sz w:val="20"/>
          <w:szCs w:val="20"/>
        </w:rPr>
        <w:t>Individual m</w:t>
      </w:r>
      <w:r w:rsidRPr="000834E2">
        <w:rPr>
          <w:rFonts w:ascii="Verdana" w:hAnsi="Verdana"/>
          <w:sz w:val="20"/>
          <w:szCs w:val="20"/>
        </w:rPr>
        <w:t>easure</w:t>
      </w:r>
      <w:r>
        <w:rPr>
          <w:rFonts w:ascii="Verdana" w:hAnsi="Verdana"/>
          <w:sz w:val="20"/>
          <w:szCs w:val="20"/>
        </w:rPr>
        <w:t xml:space="preserve">s in the database are presented in a coherent structure, including </w:t>
      </w:r>
      <w:r w:rsidRPr="000834E2">
        <w:rPr>
          <w:rFonts w:ascii="Verdana" w:hAnsi="Verdana"/>
          <w:sz w:val="20"/>
          <w:szCs w:val="20"/>
        </w:rPr>
        <w:t>some background information</w:t>
      </w:r>
      <w:r>
        <w:rPr>
          <w:rFonts w:ascii="Verdana" w:hAnsi="Verdana"/>
          <w:sz w:val="20"/>
          <w:szCs w:val="20"/>
        </w:rPr>
        <w:t>,</w:t>
      </w:r>
      <w:r w:rsidRPr="000834E2">
        <w:rPr>
          <w:rFonts w:ascii="Verdana" w:hAnsi="Verdana"/>
          <w:sz w:val="20"/>
          <w:szCs w:val="20"/>
        </w:rPr>
        <w:t xml:space="preserve"> a link to a webpage (if available), keywords, contact information, a description of the measure, the impact of the measure and an overall (self)</w:t>
      </w:r>
      <w:r>
        <w:rPr>
          <w:rFonts w:ascii="Verdana" w:hAnsi="Verdana"/>
          <w:sz w:val="20"/>
          <w:szCs w:val="20"/>
        </w:rPr>
        <w:t xml:space="preserve"> </w:t>
      </w:r>
      <w:r w:rsidRPr="000834E2">
        <w:rPr>
          <w:rFonts w:ascii="Verdana" w:hAnsi="Verdana"/>
          <w:sz w:val="20"/>
          <w:szCs w:val="20"/>
        </w:rPr>
        <w:t xml:space="preserve">assessment of the measure by the author. Each database entry can be read online, easily printed </w:t>
      </w:r>
      <w:r>
        <w:rPr>
          <w:rFonts w:ascii="Verdana" w:hAnsi="Verdana"/>
          <w:sz w:val="20"/>
          <w:szCs w:val="20"/>
        </w:rPr>
        <w:t xml:space="preserve">out </w:t>
      </w:r>
      <w:r w:rsidRPr="000834E2">
        <w:rPr>
          <w:rFonts w:ascii="Verdana" w:hAnsi="Verdana"/>
          <w:sz w:val="20"/>
          <w:szCs w:val="20"/>
        </w:rPr>
        <w:t>or downloaded (</w:t>
      </w:r>
      <w:proofErr w:type="spellStart"/>
      <w:r w:rsidRPr="000834E2">
        <w:rPr>
          <w:rFonts w:ascii="Verdana" w:hAnsi="Verdana"/>
          <w:sz w:val="20"/>
          <w:szCs w:val="20"/>
        </w:rPr>
        <w:t>pdf</w:t>
      </w:r>
      <w:proofErr w:type="spellEnd"/>
      <w:r w:rsidRPr="000834E2">
        <w:rPr>
          <w:rFonts w:ascii="Verdana" w:hAnsi="Verdana"/>
          <w:sz w:val="20"/>
          <w:szCs w:val="20"/>
        </w:rPr>
        <w:t>).</w:t>
      </w:r>
    </w:p>
    <w:p w14:paraId="2DB30320" w14:textId="77777777" w:rsidR="00162EE2" w:rsidRDefault="00162EE2" w:rsidP="00162EE2">
      <w:pPr>
        <w:spacing w:after="120" w:line="288" w:lineRule="auto"/>
        <w:ind w:right="-772"/>
        <w:jc w:val="both"/>
        <w:rPr>
          <w:rFonts w:ascii="Verdana" w:hAnsi="Verdana"/>
          <w:sz w:val="20"/>
          <w:szCs w:val="20"/>
        </w:rPr>
      </w:pPr>
      <w:r>
        <w:rPr>
          <w:rFonts w:ascii="Verdana" w:hAnsi="Verdana"/>
          <w:sz w:val="20"/>
          <w:szCs w:val="20"/>
        </w:rPr>
        <w:t xml:space="preserve">Meanwhile, PL4SD enhanced the database further: </w:t>
      </w:r>
      <w:proofErr w:type="gramStart"/>
      <w:r>
        <w:rPr>
          <w:rFonts w:ascii="Verdana" w:hAnsi="Verdana"/>
          <w:sz w:val="20"/>
          <w:szCs w:val="20"/>
        </w:rPr>
        <w:t>Comments and questions can now be placed by any user below each measure</w:t>
      </w:r>
      <w:proofErr w:type="gramEnd"/>
      <w:r>
        <w:rPr>
          <w:rFonts w:ascii="Verdana" w:hAnsi="Verdana"/>
          <w:sz w:val="20"/>
          <w:szCs w:val="20"/>
        </w:rPr>
        <w:t>. The author of the measure receives each comment via email and can readily reply to it. The debate is then publicly visible in the database. This is designed to turn the whole instrument into a more dialogical one instead of only reading about the measures as a one-way communication.</w:t>
      </w:r>
    </w:p>
    <w:p w14:paraId="540112F9" w14:textId="1524D372" w:rsidR="00162EE2" w:rsidRDefault="00162EE2" w:rsidP="00A21671">
      <w:pPr>
        <w:spacing w:after="360" w:line="288" w:lineRule="auto"/>
        <w:ind w:right="-771"/>
        <w:jc w:val="both"/>
        <w:rPr>
          <w:rFonts w:ascii="Verdana" w:hAnsi="Verdana"/>
          <w:sz w:val="20"/>
          <w:szCs w:val="20"/>
        </w:rPr>
      </w:pPr>
      <w:r w:rsidRPr="000834E2">
        <w:rPr>
          <w:rFonts w:ascii="Verdana" w:hAnsi="Verdana"/>
          <w:sz w:val="20"/>
          <w:szCs w:val="20"/>
        </w:rPr>
        <w:t>Further measures can be sen</w:t>
      </w:r>
      <w:r>
        <w:rPr>
          <w:rFonts w:ascii="Verdana" w:hAnsi="Verdana"/>
          <w:sz w:val="20"/>
          <w:szCs w:val="20"/>
        </w:rPr>
        <w:t>t</w:t>
      </w:r>
      <w:r w:rsidRPr="000834E2">
        <w:rPr>
          <w:rFonts w:ascii="Verdana" w:hAnsi="Verdana"/>
          <w:sz w:val="20"/>
          <w:szCs w:val="20"/>
        </w:rPr>
        <w:t xml:space="preserve"> to the database at any time (the questionnaire is available on the webpage</w:t>
      </w:r>
      <w:r w:rsidRPr="000834E2">
        <w:rPr>
          <w:rFonts w:ascii="Verdana" w:hAnsi="Verdana"/>
          <w:sz w:val="20"/>
          <w:szCs w:val="20"/>
          <w:vertAlign w:val="superscript"/>
        </w:rPr>
        <w:footnoteReference w:id="19"/>
      </w:r>
      <w:r w:rsidRPr="000834E2">
        <w:rPr>
          <w:rFonts w:ascii="Verdana" w:hAnsi="Verdana"/>
          <w:sz w:val="20"/>
          <w:szCs w:val="20"/>
        </w:rPr>
        <w:t>)</w:t>
      </w:r>
      <w:r>
        <w:rPr>
          <w:rFonts w:ascii="Verdana" w:hAnsi="Verdana"/>
          <w:sz w:val="20"/>
          <w:szCs w:val="20"/>
        </w:rPr>
        <w:t>.</w:t>
      </w:r>
      <w:r w:rsidRPr="000834E2">
        <w:rPr>
          <w:rFonts w:ascii="Verdana" w:hAnsi="Verdana"/>
          <w:sz w:val="20"/>
          <w:szCs w:val="20"/>
        </w:rPr>
        <w:t xml:space="preserve"> </w:t>
      </w:r>
      <w:r>
        <w:rPr>
          <w:rFonts w:ascii="Verdana" w:hAnsi="Verdana"/>
          <w:sz w:val="20"/>
          <w:szCs w:val="20"/>
        </w:rPr>
        <w:t>The (provisionally) last round</w:t>
      </w:r>
      <w:r w:rsidRPr="000834E2">
        <w:rPr>
          <w:rFonts w:ascii="Verdana" w:hAnsi="Verdana"/>
          <w:sz w:val="20"/>
          <w:szCs w:val="20"/>
        </w:rPr>
        <w:t xml:space="preserve"> of data collection </w:t>
      </w:r>
      <w:r>
        <w:rPr>
          <w:rFonts w:ascii="Verdana" w:hAnsi="Verdana"/>
          <w:sz w:val="20"/>
          <w:szCs w:val="20"/>
        </w:rPr>
        <w:t>is</w:t>
      </w:r>
      <w:r w:rsidRPr="000834E2">
        <w:rPr>
          <w:rFonts w:ascii="Verdana" w:hAnsi="Verdana"/>
          <w:sz w:val="20"/>
          <w:szCs w:val="20"/>
        </w:rPr>
        <w:t xml:space="preserve"> planned for 2015. Potential users of the database are continuously informed of up</w:t>
      </w:r>
      <w:r>
        <w:rPr>
          <w:rFonts w:ascii="Verdana" w:hAnsi="Verdana"/>
          <w:sz w:val="20"/>
          <w:szCs w:val="20"/>
        </w:rPr>
        <w:t>dates</w:t>
      </w:r>
      <w:r w:rsidRPr="000834E2">
        <w:rPr>
          <w:rFonts w:ascii="Verdana" w:hAnsi="Verdana"/>
          <w:sz w:val="20"/>
          <w:szCs w:val="20"/>
        </w:rPr>
        <w:t xml:space="preserve"> by the PL4SD newsletter (</w:t>
      </w:r>
      <w:r>
        <w:rPr>
          <w:rFonts w:ascii="Verdana" w:hAnsi="Verdana"/>
          <w:sz w:val="20"/>
          <w:szCs w:val="20"/>
        </w:rPr>
        <w:t>can be subscribed</w:t>
      </w:r>
      <w:r w:rsidRPr="000834E2">
        <w:rPr>
          <w:rFonts w:ascii="Verdana" w:hAnsi="Verdana"/>
          <w:sz w:val="20"/>
          <w:szCs w:val="20"/>
        </w:rPr>
        <w:t xml:space="preserve"> on the webpage), </w:t>
      </w:r>
      <w:proofErr w:type="spellStart"/>
      <w:r>
        <w:rPr>
          <w:rFonts w:ascii="Verdana" w:hAnsi="Verdana"/>
          <w:sz w:val="20"/>
          <w:szCs w:val="20"/>
        </w:rPr>
        <w:t>e</w:t>
      </w:r>
      <w:r w:rsidRPr="000834E2">
        <w:rPr>
          <w:rFonts w:ascii="Verdana" w:hAnsi="Verdana"/>
          <w:sz w:val="20"/>
          <w:szCs w:val="20"/>
        </w:rPr>
        <w:t>mailings</w:t>
      </w:r>
      <w:proofErr w:type="spellEnd"/>
      <w:r w:rsidRPr="000834E2">
        <w:rPr>
          <w:rFonts w:ascii="Verdana" w:hAnsi="Verdana"/>
          <w:sz w:val="20"/>
          <w:szCs w:val="20"/>
        </w:rPr>
        <w:t xml:space="preserve"> sen</w:t>
      </w:r>
      <w:r>
        <w:rPr>
          <w:rFonts w:ascii="Verdana" w:hAnsi="Verdana"/>
          <w:sz w:val="20"/>
          <w:szCs w:val="20"/>
        </w:rPr>
        <w:t>t</w:t>
      </w:r>
      <w:r w:rsidRPr="000834E2">
        <w:rPr>
          <w:rFonts w:ascii="Verdana" w:hAnsi="Verdana"/>
          <w:sz w:val="20"/>
          <w:szCs w:val="20"/>
        </w:rPr>
        <w:t xml:space="preserve"> out by the Bologna </w:t>
      </w:r>
      <w:r w:rsidRPr="000834E2">
        <w:rPr>
          <w:rFonts w:ascii="Verdana" w:hAnsi="Verdana"/>
          <w:sz w:val="20"/>
          <w:szCs w:val="20"/>
        </w:rPr>
        <w:lastRenderedPageBreak/>
        <w:t xml:space="preserve">Secretariat and several European stakeholder </w:t>
      </w:r>
      <w:proofErr w:type="spellStart"/>
      <w:r w:rsidRPr="000834E2">
        <w:rPr>
          <w:rFonts w:ascii="Verdana" w:hAnsi="Verdana"/>
          <w:sz w:val="20"/>
          <w:szCs w:val="20"/>
        </w:rPr>
        <w:t>organisations</w:t>
      </w:r>
      <w:proofErr w:type="spellEnd"/>
      <w:r w:rsidRPr="000834E2">
        <w:rPr>
          <w:rFonts w:ascii="Verdana" w:hAnsi="Verdana"/>
          <w:sz w:val="20"/>
          <w:szCs w:val="20"/>
        </w:rPr>
        <w:t xml:space="preserve"> such as the </w:t>
      </w:r>
      <w:r w:rsidR="003A4781">
        <w:rPr>
          <w:rFonts w:ascii="Verdana" w:hAnsi="Verdana"/>
          <w:sz w:val="20"/>
          <w:szCs w:val="20"/>
        </w:rPr>
        <w:t>ESU</w:t>
      </w:r>
      <w:r>
        <w:rPr>
          <w:rFonts w:ascii="Verdana" w:hAnsi="Verdana"/>
          <w:sz w:val="20"/>
          <w:szCs w:val="20"/>
        </w:rPr>
        <w:t>,</w:t>
      </w:r>
      <w:r w:rsidRPr="000834E2">
        <w:rPr>
          <w:rFonts w:ascii="Verdana" w:hAnsi="Verdana"/>
          <w:sz w:val="20"/>
          <w:szCs w:val="20"/>
        </w:rPr>
        <w:t xml:space="preserve"> </w:t>
      </w:r>
      <w:r w:rsidR="003A4781">
        <w:rPr>
          <w:rFonts w:ascii="Verdana" w:hAnsi="Verdana"/>
          <w:sz w:val="20"/>
          <w:szCs w:val="20"/>
        </w:rPr>
        <w:t>EUA</w:t>
      </w:r>
      <w:r>
        <w:rPr>
          <w:rFonts w:ascii="Verdana" w:hAnsi="Verdana"/>
          <w:sz w:val="20"/>
          <w:szCs w:val="20"/>
        </w:rPr>
        <w:t xml:space="preserve">, </w:t>
      </w:r>
      <w:r w:rsidR="003A4781">
        <w:rPr>
          <w:rFonts w:ascii="Verdana" w:hAnsi="Verdana"/>
          <w:sz w:val="20"/>
          <w:szCs w:val="20"/>
        </w:rPr>
        <w:t xml:space="preserve">EURASHE </w:t>
      </w:r>
      <w:r w:rsidRPr="000834E2">
        <w:rPr>
          <w:rFonts w:ascii="Verdana" w:hAnsi="Verdana"/>
          <w:sz w:val="20"/>
          <w:szCs w:val="20"/>
        </w:rPr>
        <w:t>or presentations of PL4SD at various international events.</w:t>
      </w:r>
    </w:p>
    <w:p w14:paraId="4841CC6C" w14:textId="4D375890" w:rsidR="00162EE2" w:rsidRPr="00FF42AE" w:rsidRDefault="00092204" w:rsidP="00092204">
      <w:pPr>
        <w:pStyle w:val="Heading2"/>
        <w:spacing w:after="120" w:line="288" w:lineRule="auto"/>
        <w:rPr>
          <w:rFonts w:ascii="Verdana" w:hAnsi="Verdana"/>
          <w:i w:val="0"/>
          <w:sz w:val="24"/>
          <w:szCs w:val="24"/>
        </w:rPr>
      </w:pPr>
      <w:bookmarkStart w:id="33" w:name="_Toc278625900"/>
      <w:bookmarkStart w:id="34" w:name="_Toc283387976"/>
      <w:r>
        <w:rPr>
          <w:rFonts w:ascii="Verdana" w:hAnsi="Verdana"/>
          <w:i w:val="0"/>
          <w:sz w:val="24"/>
          <w:szCs w:val="24"/>
        </w:rPr>
        <w:t>3.2.</w:t>
      </w:r>
      <w:r w:rsidR="00162EE2" w:rsidRPr="00FF42AE">
        <w:rPr>
          <w:rFonts w:ascii="Verdana" w:hAnsi="Verdana"/>
          <w:i w:val="0"/>
          <w:sz w:val="24"/>
          <w:szCs w:val="24"/>
        </w:rPr>
        <w:t xml:space="preserve"> PL4SD country reviews</w:t>
      </w:r>
      <w:bookmarkEnd w:id="33"/>
      <w:bookmarkEnd w:id="34"/>
    </w:p>
    <w:p w14:paraId="1F4C2FA4" w14:textId="77777777" w:rsidR="00162EE2" w:rsidRDefault="00162EE2" w:rsidP="00092204">
      <w:pPr>
        <w:spacing w:after="120" w:line="288" w:lineRule="auto"/>
        <w:ind w:right="-772"/>
        <w:jc w:val="both"/>
        <w:rPr>
          <w:rFonts w:ascii="Verdana" w:hAnsi="Verdana"/>
          <w:sz w:val="20"/>
          <w:szCs w:val="20"/>
        </w:rPr>
      </w:pPr>
      <w:r w:rsidRPr="00EA3F2E">
        <w:rPr>
          <w:rFonts w:ascii="Verdana" w:hAnsi="Verdana"/>
          <w:sz w:val="20"/>
          <w:szCs w:val="20"/>
        </w:rPr>
        <w:t xml:space="preserve">The second part of the project is a pilot study conducting detailed expert </w:t>
      </w:r>
      <w:r>
        <w:rPr>
          <w:rFonts w:ascii="Verdana" w:hAnsi="Verdana"/>
          <w:sz w:val="20"/>
          <w:szCs w:val="20"/>
        </w:rPr>
        <w:t>analysis</w:t>
      </w:r>
      <w:r w:rsidRPr="00EA3F2E">
        <w:rPr>
          <w:rFonts w:ascii="Verdana" w:hAnsi="Verdana"/>
          <w:sz w:val="20"/>
          <w:szCs w:val="20"/>
        </w:rPr>
        <w:t xml:space="preserve"> in three countries on demand. These </w:t>
      </w:r>
      <w:r>
        <w:rPr>
          <w:rFonts w:ascii="Verdana" w:hAnsi="Verdana"/>
          <w:sz w:val="20"/>
          <w:szCs w:val="20"/>
        </w:rPr>
        <w:t>PL4SD c</w:t>
      </w:r>
      <w:r w:rsidRPr="00EA3F2E">
        <w:rPr>
          <w:rFonts w:ascii="Verdana" w:hAnsi="Verdana"/>
          <w:sz w:val="20"/>
          <w:szCs w:val="20"/>
        </w:rPr>
        <w:t xml:space="preserve">ountry reviews have the aim </w:t>
      </w:r>
      <w:r w:rsidRPr="00DC380D">
        <w:rPr>
          <w:rFonts w:ascii="Verdana" w:hAnsi="Verdana"/>
          <w:sz w:val="20"/>
          <w:szCs w:val="20"/>
        </w:rPr>
        <w:t xml:space="preserve">of providing an external and comprehensive reflection and review of initiatives and measures undertaken by a country to support the social dimension of higher education. The objective of the review is to assist </w:t>
      </w:r>
      <w:r>
        <w:rPr>
          <w:rFonts w:ascii="Verdana" w:hAnsi="Verdana"/>
          <w:sz w:val="20"/>
          <w:szCs w:val="20"/>
        </w:rPr>
        <w:t>participating countries</w:t>
      </w:r>
      <w:r w:rsidRPr="00DC380D">
        <w:rPr>
          <w:rFonts w:ascii="Verdana" w:hAnsi="Verdana"/>
          <w:sz w:val="20"/>
          <w:szCs w:val="20"/>
        </w:rPr>
        <w:t xml:space="preserve"> in the development of a coherent and effective national strategy for improving the social dimension of higher education.</w:t>
      </w:r>
      <w:r>
        <w:rPr>
          <w:rFonts w:ascii="Verdana" w:hAnsi="Verdana"/>
          <w:sz w:val="20"/>
          <w:szCs w:val="20"/>
        </w:rPr>
        <w:t xml:space="preserve"> In this sense, they can be seen as a preparatory exercise for developing a national strategy on the social dimension, as proposed by the SD&amp;LLL WG. </w:t>
      </w:r>
    </w:p>
    <w:p w14:paraId="48CC6957" w14:textId="77777777" w:rsidR="00162EE2" w:rsidRDefault="00162EE2" w:rsidP="00092204">
      <w:pPr>
        <w:spacing w:after="120" w:line="288" w:lineRule="auto"/>
        <w:ind w:right="-772"/>
        <w:jc w:val="both"/>
        <w:rPr>
          <w:rFonts w:ascii="Verdana" w:hAnsi="Verdana"/>
          <w:sz w:val="20"/>
          <w:szCs w:val="20"/>
        </w:rPr>
      </w:pPr>
      <w:r w:rsidRPr="00EA3F2E">
        <w:rPr>
          <w:rFonts w:ascii="Verdana" w:hAnsi="Verdana"/>
          <w:sz w:val="20"/>
          <w:szCs w:val="20"/>
        </w:rPr>
        <w:t>With the assistance of the Bologna Secretariat, all member states of the Bologna Process have been invited to conduct this pilot study with PL4SD. Lithuania, Armenia and Croatia applied formally and have been chosen for the country review</w:t>
      </w:r>
      <w:r>
        <w:rPr>
          <w:rFonts w:ascii="Verdana" w:hAnsi="Verdana"/>
          <w:sz w:val="20"/>
          <w:szCs w:val="20"/>
        </w:rPr>
        <w:t>s</w:t>
      </w:r>
      <w:r w:rsidRPr="00EA3F2E">
        <w:rPr>
          <w:rFonts w:ascii="Verdana" w:hAnsi="Verdana"/>
          <w:sz w:val="20"/>
          <w:szCs w:val="20"/>
        </w:rPr>
        <w:t xml:space="preserve"> </w:t>
      </w:r>
      <w:r>
        <w:rPr>
          <w:rFonts w:ascii="Verdana" w:hAnsi="Verdana"/>
          <w:sz w:val="20"/>
          <w:szCs w:val="20"/>
        </w:rPr>
        <w:t>with the agreement of</w:t>
      </w:r>
      <w:r w:rsidRPr="00EA3F2E">
        <w:rPr>
          <w:rFonts w:ascii="Verdana" w:hAnsi="Verdana"/>
          <w:sz w:val="20"/>
          <w:szCs w:val="20"/>
        </w:rPr>
        <w:t xml:space="preserve"> the </w:t>
      </w:r>
      <w:r>
        <w:rPr>
          <w:rFonts w:ascii="Verdana" w:hAnsi="Verdana"/>
          <w:sz w:val="20"/>
          <w:szCs w:val="20"/>
        </w:rPr>
        <w:t xml:space="preserve">SD&amp;LLL WG (functioning as the </w:t>
      </w:r>
      <w:r w:rsidRPr="00EA3F2E">
        <w:rPr>
          <w:rFonts w:ascii="Verdana" w:hAnsi="Verdana"/>
          <w:sz w:val="20"/>
          <w:szCs w:val="20"/>
        </w:rPr>
        <w:t>stakeholders’ forum of PL4SD</w:t>
      </w:r>
      <w:r>
        <w:rPr>
          <w:rFonts w:ascii="Verdana" w:hAnsi="Verdana"/>
          <w:sz w:val="20"/>
          <w:szCs w:val="20"/>
        </w:rPr>
        <w:t>)</w:t>
      </w:r>
      <w:r w:rsidRPr="00EA3F2E">
        <w:rPr>
          <w:rFonts w:ascii="Verdana" w:hAnsi="Verdana"/>
          <w:sz w:val="20"/>
          <w:szCs w:val="20"/>
        </w:rPr>
        <w:t>.</w:t>
      </w:r>
      <w:r>
        <w:rPr>
          <w:rFonts w:ascii="Verdana" w:hAnsi="Verdana"/>
          <w:sz w:val="20"/>
          <w:szCs w:val="20"/>
        </w:rPr>
        <w:t xml:space="preserve"> Romania may join as a fourth (and not budgeted) country for a review in 2015.</w:t>
      </w:r>
    </w:p>
    <w:p w14:paraId="3351F990" w14:textId="6D41B143" w:rsidR="00162EE2" w:rsidRPr="00EA3F2E" w:rsidRDefault="00162EE2" w:rsidP="00A21671">
      <w:pPr>
        <w:spacing w:after="360" w:line="288" w:lineRule="auto"/>
        <w:ind w:right="-771"/>
        <w:jc w:val="both"/>
        <w:rPr>
          <w:rFonts w:ascii="Verdana" w:hAnsi="Verdana"/>
          <w:sz w:val="20"/>
          <w:szCs w:val="20"/>
        </w:rPr>
      </w:pPr>
      <w:r>
        <w:rPr>
          <w:rFonts w:ascii="Verdana" w:hAnsi="Verdana"/>
          <w:sz w:val="20"/>
          <w:szCs w:val="20"/>
        </w:rPr>
        <w:t xml:space="preserve">The country reviews started with a background report covering basic facts of the country, the higher education system and the social situation of students. The team for each site-visit consisted of three external experts </w:t>
      </w:r>
      <w:r w:rsidRPr="00CB76E3">
        <w:rPr>
          <w:rFonts w:ascii="Verdana" w:hAnsi="Verdana"/>
          <w:sz w:val="20"/>
          <w:szCs w:val="20"/>
        </w:rPr>
        <w:t>who were selected based on their wide-ranging experience in the assessment of national higher education systems and their understan</w:t>
      </w:r>
      <w:r>
        <w:rPr>
          <w:rFonts w:ascii="Verdana" w:hAnsi="Verdana"/>
          <w:sz w:val="20"/>
          <w:szCs w:val="20"/>
        </w:rPr>
        <w:t>ding of social dimension issues (senior scientists in the field of international higher education, senior experts on European higher education from an institutional or policy making perspective and former representatives of ESU) together with four experts from PL4SD. The site-visits took place on five consecutive days</w:t>
      </w:r>
      <w:r w:rsidR="00F800B1">
        <w:rPr>
          <w:rFonts w:ascii="Verdana" w:hAnsi="Verdana"/>
          <w:sz w:val="20"/>
          <w:szCs w:val="20"/>
        </w:rPr>
        <w:t>,</w:t>
      </w:r>
      <w:r>
        <w:rPr>
          <w:rFonts w:ascii="Verdana" w:hAnsi="Verdana"/>
          <w:sz w:val="20"/>
          <w:szCs w:val="20"/>
        </w:rPr>
        <w:t xml:space="preserve"> which were fully packed with around 30 sessions (interviews/ focus groups, discussions). The review team interviewed between 80 to over 100 individuals, separately or in groups, in each country. Final reports including recommendations are sent to the national Ministries for comments. After a revision of all documents, the background report, the final expert report and the response of the national Ministry form together the PL4SD country report, which will be published on </w:t>
      </w:r>
      <w:hyperlink r:id="rId12" w:history="1">
        <w:r w:rsidRPr="001E2B19">
          <w:rPr>
            <w:rStyle w:val="Hyperlink"/>
            <w:rFonts w:ascii="Verdana" w:hAnsi="Verdana"/>
            <w:sz w:val="20"/>
            <w:szCs w:val="20"/>
          </w:rPr>
          <w:t>www.pl4sd.eu</w:t>
        </w:r>
      </w:hyperlink>
      <w:r>
        <w:rPr>
          <w:rFonts w:ascii="Verdana" w:hAnsi="Verdana"/>
          <w:sz w:val="20"/>
          <w:szCs w:val="20"/>
        </w:rPr>
        <w:t xml:space="preserve"> (beginning of 2015 at the latest). </w:t>
      </w:r>
    </w:p>
    <w:p w14:paraId="6ADFD73C" w14:textId="77777777" w:rsidR="00162EE2" w:rsidRPr="00FF42AE" w:rsidRDefault="00092204" w:rsidP="00092204">
      <w:pPr>
        <w:pStyle w:val="Heading2"/>
        <w:spacing w:after="120" w:line="288" w:lineRule="auto"/>
        <w:rPr>
          <w:rFonts w:ascii="Verdana" w:hAnsi="Verdana"/>
          <w:i w:val="0"/>
          <w:sz w:val="24"/>
          <w:szCs w:val="24"/>
        </w:rPr>
      </w:pPr>
      <w:bookmarkStart w:id="35" w:name="_Toc278625901"/>
      <w:bookmarkStart w:id="36" w:name="_Toc283387977"/>
      <w:r>
        <w:rPr>
          <w:rFonts w:ascii="Verdana" w:hAnsi="Verdana"/>
          <w:i w:val="0"/>
          <w:sz w:val="24"/>
          <w:szCs w:val="24"/>
        </w:rPr>
        <w:t>3</w:t>
      </w:r>
      <w:r w:rsidR="00162EE2" w:rsidRPr="00FF42AE">
        <w:rPr>
          <w:rFonts w:ascii="Verdana" w:hAnsi="Verdana"/>
          <w:i w:val="0"/>
          <w:sz w:val="24"/>
          <w:szCs w:val="24"/>
        </w:rPr>
        <w:t>.</w:t>
      </w:r>
      <w:r>
        <w:rPr>
          <w:rFonts w:ascii="Verdana" w:hAnsi="Verdana"/>
          <w:i w:val="0"/>
          <w:sz w:val="24"/>
          <w:szCs w:val="24"/>
        </w:rPr>
        <w:t>3.</w:t>
      </w:r>
      <w:r w:rsidR="00162EE2" w:rsidRPr="00FF42AE">
        <w:rPr>
          <w:rFonts w:ascii="Verdana" w:hAnsi="Verdana"/>
          <w:i w:val="0"/>
          <w:sz w:val="24"/>
          <w:szCs w:val="24"/>
        </w:rPr>
        <w:t xml:space="preserve"> Peer-Learning</w:t>
      </w:r>
      <w:bookmarkEnd w:id="35"/>
      <w:bookmarkEnd w:id="36"/>
    </w:p>
    <w:p w14:paraId="28511568" w14:textId="28B44210" w:rsidR="00162EE2" w:rsidRDefault="00162EE2" w:rsidP="00092204">
      <w:pPr>
        <w:spacing w:after="120" w:line="288" w:lineRule="auto"/>
        <w:ind w:right="-772"/>
        <w:jc w:val="both"/>
        <w:rPr>
          <w:rFonts w:ascii="Verdana" w:hAnsi="Verdana"/>
          <w:sz w:val="20"/>
          <w:szCs w:val="20"/>
        </w:rPr>
      </w:pPr>
      <w:r>
        <w:rPr>
          <w:rFonts w:ascii="Verdana" w:hAnsi="Verdana"/>
          <w:sz w:val="20"/>
          <w:szCs w:val="20"/>
        </w:rPr>
        <w:t xml:space="preserve">To further stimulate peer learning on the social dimension among the member countries of the EHEA, PL4SD has </w:t>
      </w:r>
      <w:proofErr w:type="spellStart"/>
      <w:r>
        <w:rPr>
          <w:rFonts w:ascii="Verdana" w:hAnsi="Verdana"/>
          <w:sz w:val="20"/>
          <w:szCs w:val="20"/>
        </w:rPr>
        <w:t>organised</w:t>
      </w:r>
      <w:proofErr w:type="spellEnd"/>
      <w:r>
        <w:rPr>
          <w:rFonts w:ascii="Verdana" w:hAnsi="Verdana"/>
          <w:sz w:val="20"/>
          <w:szCs w:val="20"/>
        </w:rPr>
        <w:t xml:space="preserve"> two conferences. The first, the “interim” conference </w:t>
      </w:r>
      <w:r w:rsidRPr="00B1558F">
        <w:rPr>
          <w:rFonts w:ascii="Verdana" w:hAnsi="Verdana"/>
          <w:sz w:val="20"/>
          <w:szCs w:val="20"/>
        </w:rPr>
        <w:t>took place in spring 2014</w:t>
      </w:r>
      <w:r>
        <w:rPr>
          <w:rFonts w:ascii="Verdana" w:hAnsi="Verdana"/>
          <w:sz w:val="20"/>
          <w:szCs w:val="20"/>
        </w:rPr>
        <w:t>, when the database went online</w:t>
      </w:r>
      <w:r w:rsidRPr="00B1558F">
        <w:rPr>
          <w:rFonts w:ascii="Verdana" w:hAnsi="Verdana"/>
          <w:sz w:val="20"/>
          <w:szCs w:val="20"/>
        </w:rPr>
        <w:t xml:space="preserve">. </w:t>
      </w:r>
      <w:r>
        <w:rPr>
          <w:rFonts w:ascii="Verdana" w:hAnsi="Verdana"/>
          <w:sz w:val="20"/>
          <w:szCs w:val="20"/>
        </w:rPr>
        <w:t>The t</w:t>
      </w:r>
      <w:r w:rsidR="00FD3533">
        <w:rPr>
          <w:rFonts w:ascii="Verdana" w:hAnsi="Verdana"/>
          <w:sz w:val="20"/>
          <w:szCs w:val="20"/>
        </w:rPr>
        <w:t xml:space="preserve">arget </w:t>
      </w:r>
      <w:proofErr w:type="gramStart"/>
      <w:r w:rsidR="00FD3533">
        <w:rPr>
          <w:rFonts w:ascii="Verdana" w:hAnsi="Verdana"/>
          <w:sz w:val="20"/>
          <w:szCs w:val="20"/>
        </w:rPr>
        <w:t xml:space="preserve">group for this conference </w:t>
      </w:r>
      <w:r>
        <w:rPr>
          <w:rFonts w:ascii="Verdana" w:hAnsi="Verdana"/>
          <w:sz w:val="20"/>
          <w:szCs w:val="20"/>
        </w:rPr>
        <w:t>were</w:t>
      </w:r>
      <w:proofErr w:type="gramEnd"/>
      <w:r>
        <w:rPr>
          <w:rFonts w:ascii="Verdana" w:hAnsi="Verdana"/>
          <w:sz w:val="20"/>
          <w:szCs w:val="20"/>
        </w:rPr>
        <w:t xml:space="preserve"> mainly policy makers. </w:t>
      </w:r>
      <w:r w:rsidRPr="00B1558F">
        <w:rPr>
          <w:rFonts w:ascii="Verdana" w:hAnsi="Verdana"/>
          <w:sz w:val="20"/>
          <w:szCs w:val="20"/>
        </w:rPr>
        <w:t xml:space="preserve">Nearly 70 representatives of ministries and stakeholder </w:t>
      </w:r>
      <w:proofErr w:type="spellStart"/>
      <w:r w:rsidRPr="00B1558F">
        <w:rPr>
          <w:rFonts w:ascii="Verdana" w:hAnsi="Verdana"/>
          <w:sz w:val="20"/>
          <w:szCs w:val="20"/>
        </w:rPr>
        <w:t>organisations</w:t>
      </w:r>
      <w:proofErr w:type="spellEnd"/>
      <w:r w:rsidRPr="00B1558F">
        <w:rPr>
          <w:rFonts w:ascii="Verdana" w:hAnsi="Verdana"/>
          <w:sz w:val="20"/>
          <w:szCs w:val="20"/>
        </w:rPr>
        <w:t xml:space="preserve"> (e.g. rectors’ conferences, student unions) and researchers/ practitioners from 23 member states of the EHEA participated in the conference. Representatives from Armenia, Austria, Croatia, France, Germany, Ireland, Lithuania, The Netherlands, Norway, Poland, Romania, Sweden and the United Kingdom presented measures entered in the PL4SD database. They were structured around four streams, namely access for underrepresented groups, students with disabilities, </w:t>
      </w:r>
      <w:proofErr w:type="spellStart"/>
      <w:r w:rsidRPr="00B1558F">
        <w:rPr>
          <w:rFonts w:ascii="Verdana" w:hAnsi="Verdana"/>
          <w:sz w:val="20"/>
          <w:szCs w:val="20"/>
        </w:rPr>
        <w:t>counselling</w:t>
      </w:r>
      <w:proofErr w:type="spellEnd"/>
      <w:r w:rsidRPr="00B1558F">
        <w:rPr>
          <w:rFonts w:ascii="Verdana" w:hAnsi="Verdana"/>
          <w:sz w:val="20"/>
          <w:szCs w:val="20"/>
        </w:rPr>
        <w:t xml:space="preserve"> and </w:t>
      </w:r>
      <w:r w:rsidRPr="00B1558F">
        <w:rPr>
          <w:rFonts w:ascii="Verdana" w:hAnsi="Verdana"/>
          <w:sz w:val="20"/>
          <w:szCs w:val="20"/>
        </w:rPr>
        <w:lastRenderedPageBreak/>
        <w:t xml:space="preserve">guidance for prospective students and examples of national action plans for the social dimension. These presentations served as an input for vivid and fruitful discussions among the participants. All presentations are available on the PL4SD website and a conference report </w:t>
      </w:r>
      <w:r>
        <w:rPr>
          <w:rFonts w:ascii="Verdana" w:hAnsi="Verdana"/>
          <w:sz w:val="20"/>
          <w:szCs w:val="20"/>
        </w:rPr>
        <w:t>has been</w:t>
      </w:r>
      <w:r w:rsidRPr="00B1558F">
        <w:rPr>
          <w:rFonts w:ascii="Verdana" w:hAnsi="Verdana"/>
          <w:sz w:val="20"/>
          <w:szCs w:val="20"/>
        </w:rPr>
        <w:t xml:space="preserve"> published. Participants also evaluated the conference with a short questionnaire. </w:t>
      </w:r>
    </w:p>
    <w:p w14:paraId="56C532FE" w14:textId="5C9ACF2A" w:rsidR="00162EE2" w:rsidRDefault="00162EE2" w:rsidP="00A21671">
      <w:pPr>
        <w:spacing w:after="360" w:line="288" w:lineRule="auto"/>
        <w:ind w:right="-771"/>
        <w:jc w:val="both"/>
        <w:rPr>
          <w:rFonts w:ascii="Verdana" w:hAnsi="Verdana"/>
          <w:sz w:val="20"/>
          <w:szCs w:val="20"/>
        </w:rPr>
      </w:pPr>
      <w:r>
        <w:rPr>
          <w:rFonts w:ascii="Verdana" w:hAnsi="Verdana"/>
          <w:sz w:val="20"/>
          <w:szCs w:val="20"/>
        </w:rPr>
        <w:t>For the second conference, PL4SD has joined forces with EUROSTUDENT. This conference on the “social dimension of Higher Education“ will take place at the end of February 2015 and will bring together several hundred persons from policy, research and praxis (</w:t>
      </w:r>
      <w:hyperlink r:id="rId13" w:history="1">
        <w:r w:rsidRPr="00B6508C">
          <w:rPr>
            <w:rStyle w:val="Hyperlink"/>
            <w:rFonts w:ascii="Verdana" w:hAnsi="Verdana"/>
            <w:sz w:val="20"/>
            <w:szCs w:val="20"/>
          </w:rPr>
          <w:t>www.socialdimension-he.eu</w:t>
        </w:r>
      </w:hyperlink>
      <w:r>
        <w:rPr>
          <w:rFonts w:ascii="Verdana" w:hAnsi="Verdana"/>
          <w:sz w:val="20"/>
          <w:szCs w:val="20"/>
        </w:rPr>
        <w:t xml:space="preserve">). Highlights of the conference will be the release of the fifth EUROSTUDENT report, a discussion of the PL4SD country reviews and the Strategy on the social dimension as proposed by the SD&amp;LLL WG. A call for contribution attracted presentations from outside of PL4SD and EUROSTUDENT that will be complemented by presentations of measures delivered to the PL4SD database and results from EUROSTUDENT. Altogether, the </w:t>
      </w:r>
      <w:proofErr w:type="spellStart"/>
      <w:r>
        <w:rPr>
          <w:rFonts w:ascii="Verdana" w:hAnsi="Verdana"/>
          <w:sz w:val="20"/>
          <w:szCs w:val="20"/>
        </w:rPr>
        <w:t>programme</w:t>
      </w:r>
      <w:proofErr w:type="spellEnd"/>
      <w:r>
        <w:rPr>
          <w:rFonts w:ascii="Verdana" w:hAnsi="Verdana"/>
          <w:sz w:val="20"/>
          <w:szCs w:val="20"/>
        </w:rPr>
        <w:t xml:space="preserve"> consists of several tracks </w:t>
      </w:r>
      <w:proofErr w:type="spellStart"/>
      <w:r>
        <w:rPr>
          <w:rFonts w:ascii="Verdana" w:hAnsi="Verdana"/>
          <w:sz w:val="20"/>
          <w:szCs w:val="20"/>
        </w:rPr>
        <w:t>focussing</w:t>
      </w:r>
      <w:proofErr w:type="spellEnd"/>
      <w:r>
        <w:rPr>
          <w:rFonts w:ascii="Verdana" w:hAnsi="Verdana"/>
          <w:sz w:val="20"/>
          <w:szCs w:val="20"/>
        </w:rPr>
        <w:t xml:space="preserve"> on national strategies, access, retention and success, special student groups, mobility, student support and funding, study and work, e</w:t>
      </w:r>
      <w:r w:rsidRPr="009C176D">
        <w:rPr>
          <w:rFonts w:ascii="Verdana" w:hAnsi="Verdana"/>
          <w:sz w:val="20"/>
          <w:szCs w:val="20"/>
        </w:rPr>
        <w:t>xpectations and student assessments</w:t>
      </w:r>
      <w:r>
        <w:rPr>
          <w:rFonts w:ascii="Verdana" w:hAnsi="Verdana"/>
          <w:sz w:val="20"/>
          <w:szCs w:val="20"/>
        </w:rPr>
        <w:t>. More than 50 presentations, several keynotes, three workshops and a final panel on political outcomes are planned.</w:t>
      </w:r>
    </w:p>
    <w:p w14:paraId="664218C2" w14:textId="77777777" w:rsidR="00162EE2" w:rsidRPr="00FF42AE" w:rsidRDefault="00092204" w:rsidP="00092204">
      <w:pPr>
        <w:pStyle w:val="Heading2"/>
        <w:spacing w:after="120" w:line="288" w:lineRule="auto"/>
        <w:rPr>
          <w:rFonts w:ascii="Verdana" w:hAnsi="Verdana"/>
          <w:i w:val="0"/>
          <w:sz w:val="24"/>
          <w:szCs w:val="24"/>
        </w:rPr>
      </w:pPr>
      <w:bookmarkStart w:id="37" w:name="_Toc278625902"/>
      <w:bookmarkStart w:id="38" w:name="_Toc283387978"/>
      <w:r>
        <w:rPr>
          <w:rFonts w:ascii="Verdana" w:hAnsi="Verdana"/>
          <w:i w:val="0"/>
          <w:sz w:val="24"/>
          <w:szCs w:val="24"/>
        </w:rPr>
        <w:t xml:space="preserve">3.4. </w:t>
      </w:r>
      <w:r w:rsidR="00162EE2" w:rsidRPr="00FF42AE">
        <w:rPr>
          <w:rFonts w:ascii="Verdana" w:hAnsi="Verdana"/>
          <w:i w:val="0"/>
          <w:sz w:val="24"/>
          <w:szCs w:val="24"/>
        </w:rPr>
        <w:t>Added value applicable to the Bologna Process</w:t>
      </w:r>
      <w:bookmarkEnd w:id="37"/>
      <w:bookmarkEnd w:id="38"/>
    </w:p>
    <w:p w14:paraId="10BCA631" w14:textId="77777777" w:rsidR="00162EE2" w:rsidRDefault="00162EE2" w:rsidP="00092204">
      <w:pPr>
        <w:spacing w:after="120" w:line="288" w:lineRule="auto"/>
        <w:ind w:right="-772"/>
        <w:jc w:val="both"/>
        <w:rPr>
          <w:rFonts w:ascii="Verdana" w:hAnsi="Verdana"/>
          <w:sz w:val="20"/>
          <w:szCs w:val="20"/>
        </w:rPr>
      </w:pPr>
      <w:r>
        <w:rPr>
          <w:rFonts w:ascii="Verdana" w:hAnsi="Verdana"/>
          <w:sz w:val="20"/>
          <w:szCs w:val="20"/>
        </w:rPr>
        <w:t xml:space="preserve">For the social dimension of the EHEA, PL4SD should be regarded as complementary to the Bologna Process Implementation Report (EURYDICE) and the EUROSTUDENT report. The latter two provide a quantitative overview whereas PL4SD adds concrete measures to the picture and supports the development of national strategies for the social dimension through the country reviews and in the future also through its analytical reports. </w:t>
      </w:r>
    </w:p>
    <w:p w14:paraId="304065DE" w14:textId="77777777" w:rsidR="00162EE2" w:rsidRDefault="00162EE2" w:rsidP="00092204">
      <w:pPr>
        <w:spacing w:after="120" w:line="288" w:lineRule="auto"/>
        <w:ind w:right="-772"/>
        <w:jc w:val="both"/>
        <w:rPr>
          <w:rFonts w:ascii="Verdana" w:hAnsi="Verdana"/>
          <w:sz w:val="20"/>
          <w:szCs w:val="20"/>
        </w:rPr>
      </w:pPr>
      <w:r>
        <w:rPr>
          <w:rFonts w:ascii="Verdana" w:hAnsi="Verdana"/>
          <w:sz w:val="20"/>
          <w:szCs w:val="20"/>
        </w:rPr>
        <w:t xml:space="preserve">When looking on the PL4SD database, it becomes obvious that every EHEA country is to some extent engaged in the social dimension, but with different </w:t>
      </w:r>
      <w:r w:rsidRPr="00BF380D">
        <w:rPr>
          <w:rFonts w:ascii="Verdana" w:hAnsi="Verdana"/>
          <w:sz w:val="20"/>
          <w:szCs w:val="20"/>
        </w:rPr>
        <w:t>emphases</w:t>
      </w:r>
      <w:r>
        <w:rPr>
          <w:rFonts w:ascii="Verdana" w:hAnsi="Verdana"/>
          <w:sz w:val="20"/>
          <w:szCs w:val="20"/>
        </w:rPr>
        <w:t xml:space="preserve">. Moreover, only very few countries have so far developed a coherent plan on how to overcome certain (not to talk about all) barriers for underrepresented groups in higher education. Most of the countries implemented a broad variety of very different measures, however, it seems that those measures are very seldom evaluated and their impact is mostly unknown. That is even true for large </w:t>
      </w:r>
      <w:proofErr w:type="spellStart"/>
      <w:r>
        <w:rPr>
          <w:rFonts w:ascii="Verdana" w:hAnsi="Verdana"/>
          <w:sz w:val="20"/>
          <w:szCs w:val="20"/>
        </w:rPr>
        <w:t>programmes</w:t>
      </w:r>
      <w:proofErr w:type="spellEnd"/>
      <w:r>
        <w:rPr>
          <w:rFonts w:ascii="Verdana" w:hAnsi="Verdana"/>
          <w:sz w:val="20"/>
          <w:szCs w:val="20"/>
        </w:rPr>
        <w:t xml:space="preserve"> of student support like grants or indirect financial support like subsidies for student canteens. That observation is in conjunction with the proposed strategy on the social dimension to be adopted by Ministers at the Yerevan Ministerial Conference and has led to the recommendation that countries should set up an inclusive process to develop a coherent national strategy.</w:t>
      </w:r>
    </w:p>
    <w:p w14:paraId="3190B4BD" w14:textId="77777777" w:rsidR="00162EE2" w:rsidRDefault="00162EE2" w:rsidP="00092204">
      <w:pPr>
        <w:spacing w:after="120" w:line="288" w:lineRule="auto"/>
        <w:ind w:right="-772"/>
        <w:jc w:val="both"/>
        <w:rPr>
          <w:rFonts w:ascii="Verdana" w:hAnsi="Verdana"/>
          <w:sz w:val="20"/>
          <w:szCs w:val="20"/>
        </w:rPr>
      </w:pPr>
      <w:r>
        <w:rPr>
          <w:rFonts w:ascii="Verdana" w:hAnsi="Verdana"/>
          <w:sz w:val="20"/>
          <w:szCs w:val="20"/>
        </w:rPr>
        <w:t xml:space="preserve">However, it is also very obvious that all higher education systems face similar problems in regard to the social dimension and – especially because the effectiveness of the measures implemented on national level is mostly unknown – it makes a lot of sense to learn from </w:t>
      </w:r>
      <w:proofErr w:type="spellStart"/>
      <w:r>
        <w:rPr>
          <w:rFonts w:ascii="Verdana" w:hAnsi="Verdana"/>
          <w:sz w:val="20"/>
          <w:szCs w:val="20"/>
        </w:rPr>
        <w:t>neighbouring</w:t>
      </w:r>
      <w:proofErr w:type="spellEnd"/>
      <w:r>
        <w:rPr>
          <w:rFonts w:ascii="Verdana" w:hAnsi="Verdana"/>
          <w:sz w:val="20"/>
          <w:szCs w:val="20"/>
        </w:rPr>
        <w:t xml:space="preserve"> countries’ experiences. There is no best and no worst country, but a wide range of different measures hardly anyone has an overview of, because they are implemented by a variety of different actors including the state, the </w:t>
      </w:r>
      <w:r w:rsidRPr="00092204">
        <w:rPr>
          <w:rFonts w:ascii="Verdana" w:hAnsi="Verdana"/>
          <w:sz w:val="20"/>
          <w:szCs w:val="20"/>
        </w:rPr>
        <w:t xml:space="preserve">higher education </w:t>
      </w:r>
      <w:r w:rsidRPr="00092204">
        <w:rPr>
          <w:rFonts w:ascii="Verdana" w:hAnsi="Verdana"/>
          <w:sz w:val="20"/>
          <w:szCs w:val="20"/>
        </w:rPr>
        <w:lastRenderedPageBreak/>
        <w:t>institutions</w:t>
      </w:r>
      <w:r>
        <w:rPr>
          <w:rFonts w:ascii="Verdana" w:hAnsi="Verdana"/>
          <w:sz w:val="20"/>
          <w:szCs w:val="20"/>
        </w:rPr>
        <w:t xml:space="preserve"> and different stakeholder </w:t>
      </w:r>
      <w:proofErr w:type="spellStart"/>
      <w:r>
        <w:rPr>
          <w:rFonts w:ascii="Verdana" w:hAnsi="Verdana"/>
          <w:sz w:val="20"/>
          <w:szCs w:val="20"/>
        </w:rPr>
        <w:t>organisations</w:t>
      </w:r>
      <w:proofErr w:type="spellEnd"/>
      <w:r>
        <w:rPr>
          <w:rFonts w:ascii="Verdana" w:hAnsi="Verdana"/>
          <w:sz w:val="20"/>
          <w:szCs w:val="20"/>
        </w:rPr>
        <w:t>. Taken together however, these measures form the social dimension policy of a country – which in many cases becomes visible in its full variety for the first time in the PL4SD database. In this sense, the PL4SD database is also a starting point for an inventory at national level as recommended by the SD&amp;LLL WG in its Guidelines for developing a national strategy.</w:t>
      </w:r>
    </w:p>
    <w:p w14:paraId="20C8140E" w14:textId="1B7EAD4D" w:rsidR="00162EE2" w:rsidRDefault="00162EE2" w:rsidP="00A21671">
      <w:pPr>
        <w:spacing w:after="360" w:line="288" w:lineRule="auto"/>
        <w:ind w:right="-771"/>
        <w:jc w:val="both"/>
        <w:rPr>
          <w:rFonts w:ascii="Verdana" w:hAnsi="Verdana"/>
          <w:sz w:val="20"/>
          <w:szCs w:val="20"/>
        </w:rPr>
      </w:pPr>
      <w:r>
        <w:rPr>
          <w:rFonts w:ascii="Verdana" w:hAnsi="Verdana"/>
          <w:sz w:val="20"/>
          <w:szCs w:val="20"/>
        </w:rPr>
        <w:t xml:space="preserve">Following from that, key players in the social dimension are local practitioners. They develop a lot of concrete measures themselves, they have to implement the measures developed elsewhere (e.g. in a ministry), they face the immediate impact of a measure, and they might well have the best insight on what is needed, what works and what should be improved. Therefore, an exchange of experiences among those local practitioners is very much needed and has the potential to be very fruitful. PL4SD is the first peer-learning platform to foster this kind of exchange, either online through its database or face-to-face through its conferences. In that sense, PL4SD could also be a model for </w:t>
      </w:r>
      <w:proofErr w:type="gramStart"/>
      <w:r>
        <w:rPr>
          <w:rFonts w:ascii="Verdana" w:hAnsi="Verdana"/>
          <w:sz w:val="20"/>
          <w:szCs w:val="20"/>
        </w:rPr>
        <w:t>peer-learning</w:t>
      </w:r>
      <w:proofErr w:type="gramEnd"/>
      <w:r>
        <w:rPr>
          <w:rFonts w:ascii="Verdana" w:hAnsi="Verdana"/>
          <w:sz w:val="20"/>
          <w:szCs w:val="20"/>
        </w:rPr>
        <w:t xml:space="preserve"> in other fields of the Bologna Process.</w:t>
      </w:r>
    </w:p>
    <w:p w14:paraId="36B618A8" w14:textId="214B9FE4" w:rsidR="00162EE2" w:rsidRPr="00FF42AE" w:rsidRDefault="008F3B6E" w:rsidP="00092204">
      <w:pPr>
        <w:pStyle w:val="Heading2"/>
        <w:spacing w:before="100" w:beforeAutospacing="1" w:after="120" w:line="288" w:lineRule="auto"/>
        <w:rPr>
          <w:rFonts w:ascii="Verdana" w:hAnsi="Verdana"/>
          <w:i w:val="0"/>
          <w:sz w:val="24"/>
          <w:szCs w:val="24"/>
        </w:rPr>
      </w:pPr>
      <w:bookmarkStart w:id="39" w:name="_Toc278625903"/>
      <w:bookmarkStart w:id="40" w:name="_Toc283387979"/>
      <w:r>
        <w:rPr>
          <w:rFonts w:ascii="Verdana" w:hAnsi="Verdana"/>
          <w:i w:val="0"/>
          <w:sz w:val="24"/>
          <w:szCs w:val="24"/>
        </w:rPr>
        <w:t>3.5.</w:t>
      </w:r>
      <w:r w:rsidR="00461327">
        <w:rPr>
          <w:rFonts w:ascii="Verdana" w:hAnsi="Verdana"/>
          <w:i w:val="0"/>
          <w:sz w:val="24"/>
          <w:szCs w:val="24"/>
        </w:rPr>
        <w:t xml:space="preserve"> F</w:t>
      </w:r>
      <w:r w:rsidR="00162EE2" w:rsidRPr="00FF42AE">
        <w:rPr>
          <w:rFonts w:ascii="Verdana" w:hAnsi="Verdana"/>
          <w:i w:val="0"/>
          <w:sz w:val="24"/>
          <w:szCs w:val="24"/>
        </w:rPr>
        <w:t>uture of PL4SD</w:t>
      </w:r>
      <w:bookmarkEnd w:id="39"/>
      <w:bookmarkEnd w:id="40"/>
    </w:p>
    <w:p w14:paraId="02DCA805" w14:textId="77777777" w:rsidR="00162EE2"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 xml:space="preserve">PL4SD is a project funded by the Lifelong-Learning </w:t>
      </w:r>
      <w:proofErr w:type="spellStart"/>
      <w:r>
        <w:rPr>
          <w:rFonts w:ascii="Verdana" w:hAnsi="Verdana"/>
          <w:sz w:val="20"/>
          <w:szCs w:val="20"/>
        </w:rPr>
        <w:t>Programme</w:t>
      </w:r>
      <w:proofErr w:type="spellEnd"/>
      <w:r>
        <w:rPr>
          <w:rFonts w:ascii="Verdana" w:hAnsi="Verdana"/>
          <w:sz w:val="20"/>
          <w:szCs w:val="20"/>
        </w:rPr>
        <w:t xml:space="preserve"> of the European Commission. It will formally last until the end of September 2015. After the PL4SD conference in February, a third round of data collection for the PL4SD database will take place. If the budget allows, a fourth country review is also intended for spring 2015. However, most of the work will be devoted to an analytical analysis of the measures entered into the PL4SD database. That is the </w:t>
      </w:r>
      <w:proofErr w:type="spellStart"/>
      <w:r>
        <w:rPr>
          <w:rFonts w:ascii="Verdana" w:hAnsi="Verdana"/>
          <w:sz w:val="20"/>
          <w:szCs w:val="20"/>
        </w:rPr>
        <w:t>programme</w:t>
      </w:r>
      <w:proofErr w:type="spellEnd"/>
      <w:r>
        <w:rPr>
          <w:rFonts w:ascii="Verdana" w:hAnsi="Verdana"/>
          <w:sz w:val="20"/>
          <w:szCs w:val="20"/>
        </w:rPr>
        <w:t xml:space="preserve"> for the near future.</w:t>
      </w:r>
    </w:p>
    <w:p w14:paraId="66268A20" w14:textId="77777777" w:rsidR="00162EE2"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 xml:space="preserve">In the long run, the future of PL4SD depends on the funding available. The database will be maintained and accessible without any external resources. However, one important issue should be resolved to improve the usability of the database: qualitative information about the measures and even more their impact should be added. As </w:t>
      </w:r>
      <w:r>
        <w:rPr>
          <w:rFonts w:ascii="Verdana" w:hAnsi="Verdana"/>
          <w:sz w:val="20"/>
          <w:szCs w:val="20"/>
        </w:rPr>
        <w:fldChar w:fldCharType="begin"/>
      </w:r>
      <w:r>
        <w:rPr>
          <w:rFonts w:ascii="Verdana" w:hAnsi="Verdana"/>
          <w:sz w:val="20"/>
          <w:szCs w:val="20"/>
        </w:rPr>
        <w:instrText xml:space="preserve"> REF _Ref403655472 \h  \* MERGEFORMAT </w:instrText>
      </w:r>
      <w:r>
        <w:rPr>
          <w:rFonts w:ascii="Verdana" w:hAnsi="Verdana"/>
          <w:sz w:val="20"/>
          <w:szCs w:val="20"/>
        </w:rPr>
      </w:r>
      <w:r>
        <w:rPr>
          <w:rFonts w:ascii="Verdana" w:hAnsi="Verdana"/>
          <w:sz w:val="20"/>
          <w:szCs w:val="20"/>
        </w:rPr>
        <w:fldChar w:fldCharType="separate"/>
      </w:r>
      <w:r w:rsidR="000161C0" w:rsidRPr="000161C0">
        <w:rPr>
          <w:rFonts w:ascii="Verdana" w:hAnsi="Verdana"/>
          <w:sz w:val="20"/>
          <w:szCs w:val="20"/>
        </w:rPr>
        <w:t>Table 1</w:t>
      </w:r>
      <w:r>
        <w:rPr>
          <w:rFonts w:ascii="Verdana" w:hAnsi="Verdana"/>
          <w:sz w:val="20"/>
          <w:szCs w:val="20"/>
        </w:rPr>
        <w:fldChar w:fldCharType="end"/>
      </w:r>
      <w:r>
        <w:rPr>
          <w:rFonts w:ascii="Verdana" w:hAnsi="Verdana"/>
          <w:sz w:val="20"/>
          <w:szCs w:val="20"/>
        </w:rPr>
        <w:t xml:space="preserve"> has shown, there are for example already 135 measures on widening access. They are presented in the database one after the other in an equal manner and therefore it is not easy to distinguish best practice or a model that might potentially be adapted to different national circumstances. So far, the database is a great source for stimulating ideas for measures in other contexts. Nevertheless, </w:t>
      </w:r>
      <w:proofErr w:type="gramStart"/>
      <w:r>
        <w:rPr>
          <w:rFonts w:ascii="Verdana" w:hAnsi="Verdana"/>
          <w:sz w:val="20"/>
          <w:szCs w:val="20"/>
        </w:rPr>
        <w:t>information on “what really works” has been rarely entered by the authors of the measures</w:t>
      </w:r>
      <w:proofErr w:type="gramEnd"/>
      <w:r>
        <w:rPr>
          <w:rFonts w:ascii="Verdana" w:hAnsi="Verdana"/>
          <w:sz w:val="20"/>
          <w:szCs w:val="20"/>
        </w:rPr>
        <w:t xml:space="preserve">. Such qualitative information must be added to reduce the complexity of more than 100 measures on one topic to make the database even </w:t>
      </w:r>
      <w:proofErr w:type="gramStart"/>
      <w:r>
        <w:rPr>
          <w:rFonts w:ascii="Verdana" w:hAnsi="Verdana"/>
          <w:sz w:val="20"/>
          <w:szCs w:val="20"/>
        </w:rPr>
        <w:t>more user-friendly</w:t>
      </w:r>
      <w:proofErr w:type="gramEnd"/>
      <w:r>
        <w:rPr>
          <w:rFonts w:ascii="Verdana" w:hAnsi="Verdana"/>
          <w:sz w:val="20"/>
          <w:szCs w:val="20"/>
        </w:rPr>
        <w:t xml:space="preserve">. It’s obvious on the other hand that the PL4SD team cannot and will not be in a position to judge the effectiveness of the measures. The </w:t>
      </w:r>
      <w:proofErr w:type="gramStart"/>
      <w:r>
        <w:rPr>
          <w:rFonts w:ascii="Verdana" w:hAnsi="Verdana"/>
          <w:sz w:val="20"/>
          <w:szCs w:val="20"/>
        </w:rPr>
        <w:t>recently-implemented</w:t>
      </w:r>
      <w:proofErr w:type="gramEnd"/>
      <w:r>
        <w:rPr>
          <w:rFonts w:ascii="Verdana" w:hAnsi="Verdana"/>
          <w:sz w:val="20"/>
          <w:szCs w:val="20"/>
        </w:rPr>
        <w:t xml:space="preserve"> commenting tool should add to these efforts, but in the end, only those who provided the measure or representatives of the target group of that measure who have assessed its impact can really judge its effectiveness. To include this kind of information is one of the future challenges of PL4SD.</w:t>
      </w:r>
    </w:p>
    <w:p w14:paraId="6F8DE450" w14:textId="77777777" w:rsidR="00162EE2"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 xml:space="preserve">The country reviews proved to be very fruitful and should also continue, but may have to be funded by the participating countries in the future. However, based on the experiences from the pilot reviews, some points should be changed for future reviews: </w:t>
      </w:r>
      <w:r>
        <w:rPr>
          <w:rFonts w:ascii="Verdana" w:hAnsi="Verdana"/>
          <w:sz w:val="20"/>
          <w:szCs w:val="20"/>
        </w:rPr>
        <w:lastRenderedPageBreak/>
        <w:t xml:space="preserve">firstly, the background reports should be written by experts from the country to be reviewed. That will reduce overall costs and enhance the quality of the report not least because documents and data published in national language can be integrated more easily. Secondly, the size of the review team could either be smaller or should split more often into two groups during the site visit to meet with even more different </w:t>
      </w:r>
      <w:proofErr w:type="gramStart"/>
      <w:r>
        <w:rPr>
          <w:rFonts w:ascii="Verdana" w:hAnsi="Verdana"/>
          <w:sz w:val="20"/>
          <w:szCs w:val="20"/>
        </w:rPr>
        <w:t>stakeholders</w:t>
      </w:r>
      <w:proofErr w:type="gramEnd"/>
      <w:r>
        <w:rPr>
          <w:rFonts w:ascii="Verdana" w:hAnsi="Verdana"/>
          <w:sz w:val="20"/>
          <w:szCs w:val="20"/>
        </w:rPr>
        <w:t xml:space="preserve"> as the social dimension is a very broad field that involves many issues, bodies and interest groups. Thirdly, if more country reviews are conducted, a mode of disseminating the results to other countries must be found. For the time being, the review reports will be published on the PL4SD website and discussed at the final conference. However, a broader means of communication will further enhance </w:t>
      </w:r>
      <w:proofErr w:type="gramStart"/>
      <w:r w:rsidRPr="0036230D">
        <w:rPr>
          <w:rFonts w:ascii="Verdana" w:hAnsi="Verdana"/>
          <w:sz w:val="20"/>
          <w:szCs w:val="20"/>
        </w:rPr>
        <w:t>peer-learning</w:t>
      </w:r>
      <w:proofErr w:type="gramEnd"/>
      <w:r w:rsidRPr="0036230D">
        <w:rPr>
          <w:rFonts w:ascii="Verdana" w:hAnsi="Verdana"/>
          <w:sz w:val="20"/>
          <w:szCs w:val="20"/>
        </w:rPr>
        <w:t xml:space="preserve"> </w:t>
      </w:r>
      <w:r>
        <w:rPr>
          <w:rFonts w:ascii="Verdana" w:hAnsi="Verdana"/>
          <w:sz w:val="20"/>
          <w:szCs w:val="20"/>
        </w:rPr>
        <w:t>among EHEA member countries. In addition, after several reviews have been done, a synthesis report on how to overcome common obstacles observed during the reviews should be produced.</w:t>
      </w:r>
    </w:p>
    <w:p w14:paraId="317CB71E" w14:textId="77777777" w:rsidR="00162EE2"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The social dimension is one of the areas of the Bologna Process on which, despite considerable input over the last number of years, it has been difficult to make tangible progress. The establishment of PL4SD has, for the first time, provided a critical resource to facilitate concrete developments in this policy area and the methodology of peer learning (including peer review) has been central to engaging member countries in a very real exploration of how widening participation in higher education might be achieved within their systems. Taken together, the Strategy and Guidelines being put forward by the Working Group seek to develop a roadmap to assist member countries to navigate what may be unfamiliar terrain</w:t>
      </w:r>
      <w:r w:rsidRPr="005C6B7B">
        <w:rPr>
          <w:rFonts w:ascii="Verdana" w:hAnsi="Verdana"/>
          <w:sz w:val="20"/>
          <w:szCs w:val="20"/>
        </w:rPr>
        <w:t xml:space="preserve"> </w:t>
      </w:r>
      <w:r>
        <w:rPr>
          <w:rFonts w:ascii="Verdana" w:hAnsi="Verdana"/>
          <w:sz w:val="20"/>
          <w:szCs w:val="20"/>
        </w:rPr>
        <w:t xml:space="preserve">or to </w:t>
      </w:r>
      <w:proofErr w:type="spellStart"/>
      <w:r>
        <w:rPr>
          <w:rFonts w:ascii="Verdana" w:hAnsi="Verdana"/>
          <w:sz w:val="20"/>
          <w:szCs w:val="20"/>
        </w:rPr>
        <w:t>systematise</w:t>
      </w:r>
      <w:proofErr w:type="spellEnd"/>
      <w:r>
        <w:rPr>
          <w:rFonts w:ascii="Verdana" w:hAnsi="Verdana"/>
          <w:sz w:val="20"/>
          <w:szCs w:val="20"/>
        </w:rPr>
        <w:t xml:space="preserve"> existing initiatives into a coherent national plan with clear national objectives. </w:t>
      </w:r>
    </w:p>
    <w:p w14:paraId="1889BCAA" w14:textId="77777777" w:rsidR="00162EE2"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 xml:space="preserve">Through the database and peer learning, PL4SD is raising awareness of the different kinds of measures that can bring these plans to reality and providing concrete examples that practitioners or policy makers can adapt to their national circumstances. Through peer review, PL4SD is assisting member countries to examine in detail their national provision in this area and create the foundations for a coherent and effective national plan. A future synthesis of peer reviews should also be hugely beneficial in identifying common challenges and effective approaches across different member countries. </w:t>
      </w:r>
    </w:p>
    <w:p w14:paraId="77177329" w14:textId="77777777" w:rsidR="00162EE2" w:rsidRPr="00CA0FD1" w:rsidRDefault="00162EE2" w:rsidP="00092204">
      <w:pPr>
        <w:spacing w:before="100" w:beforeAutospacing="1" w:after="120" w:line="288" w:lineRule="auto"/>
        <w:ind w:right="-772"/>
        <w:jc w:val="both"/>
        <w:rPr>
          <w:rFonts w:ascii="Verdana" w:hAnsi="Verdana"/>
          <w:sz w:val="20"/>
          <w:szCs w:val="20"/>
        </w:rPr>
      </w:pPr>
      <w:r>
        <w:rPr>
          <w:rFonts w:ascii="Verdana" w:hAnsi="Verdana"/>
          <w:sz w:val="20"/>
          <w:szCs w:val="20"/>
        </w:rPr>
        <w:t xml:space="preserve">Therefore, notwithstanding that the future funding of the project is a matter for decision by the EU Commission in the framework of its Erasmus+ </w:t>
      </w:r>
      <w:proofErr w:type="spellStart"/>
      <w:r>
        <w:rPr>
          <w:rFonts w:ascii="Verdana" w:hAnsi="Verdana"/>
          <w:sz w:val="20"/>
          <w:szCs w:val="20"/>
        </w:rPr>
        <w:t>programme</w:t>
      </w:r>
      <w:proofErr w:type="spellEnd"/>
      <w:r w:rsidRPr="00FF42AE">
        <w:rPr>
          <w:rFonts w:ascii="Verdana" w:hAnsi="Verdana"/>
          <w:sz w:val="20"/>
          <w:szCs w:val="20"/>
        </w:rPr>
        <w:t xml:space="preserve">, the </w:t>
      </w:r>
      <w:r w:rsidR="00F800B1">
        <w:rPr>
          <w:rFonts w:ascii="Verdana" w:hAnsi="Verdana"/>
          <w:sz w:val="20"/>
          <w:szCs w:val="20"/>
        </w:rPr>
        <w:t>SD&amp;LLL WG</w:t>
      </w:r>
      <w:r w:rsidRPr="00FF42AE">
        <w:rPr>
          <w:rFonts w:ascii="Verdana" w:hAnsi="Verdana"/>
          <w:sz w:val="20"/>
          <w:szCs w:val="20"/>
        </w:rPr>
        <w:t xml:space="preserve"> is strongly recommending endorsement of the work of the PL4SD initiative to date and support for its continuation beyond September 2015.</w:t>
      </w:r>
      <w:r w:rsidRPr="00267B8F">
        <w:rPr>
          <w:rFonts w:ascii="Verdana" w:hAnsi="Verdana"/>
          <w:b/>
          <w:sz w:val="20"/>
          <w:szCs w:val="20"/>
        </w:rPr>
        <w:t xml:space="preserve"> </w:t>
      </w:r>
      <w:r>
        <w:rPr>
          <w:rFonts w:ascii="Verdana" w:hAnsi="Verdana"/>
          <w:sz w:val="20"/>
          <w:szCs w:val="20"/>
        </w:rPr>
        <w:t xml:space="preserve">  </w:t>
      </w:r>
    </w:p>
    <w:p w14:paraId="674087EA" w14:textId="1193C501" w:rsidR="00092204" w:rsidRPr="00092204" w:rsidRDefault="00092204" w:rsidP="00D075DE">
      <w:pPr>
        <w:pStyle w:val="Heading1"/>
        <w:rPr>
          <w:i/>
        </w:rPr>
      </w:pPr>
      <w:bookmarkStart w:id="41" w:name="_Toc278625905"/>
      <w:bookmarkStart w:id="42" w:name="_Toc283387980"/>
      <w:r w:rsidRPr="00092204">
        <w:t>Conclusions</w:t>
      </w:r>
      <w:bookmarkEnd w:id="41"/>
      <w:bookmarkEnd w:id="42"/>
    </w:p>
    <w:p w14:paraId="31AAF938" w14:textId="77777777" w:rsidR="00092204" w:rsidRDefault="00092204" w:rsidP="00092204">
      <w:pPr>
        <w:pStyle w:val="NormalWeb"/>
        <w:spacing w:after="120" w:line="288" w:lineRule="auto"/>
        <w:ind w:right="-914"/>
        <w:jc w:val="both"/>
        <w:rPr>
          <w:rFonts w:ascii="Verdana" w:hAnsi="Verdana"/>
        </w:rPr>
      </w:pPr>
      <w:r w:rsidRPr="0072044C">
        <w:rPr>
          <w:rFonts w:ascii="Verdana" w:hAnsi="Verdana"/>
        </w:rPr>
        <w:t xml:space="preserve">Quality higher education provision and lifelong learning are regarded as being central to enhancing employability and increasing competitiveness in addition to furthering personal and professional development and motivating social solidarity and civic engagement.  However, not all students who would benefit from higher education </w:t>
      </w:r>
      <w:r>
        <w:rPr>
          <w:rFonts w:ascii="Verdana" w:hAnsi="Verdana"/>
        </w:rPr>
        <w:t xml:space="preserve">or lifelong learning opportunities </w:t>
      </w:r>
      <w:r w:rsidRPr="0072044C">
        <w:rPr>
          <w:rFonts w:ascii="Verdana" w:hAnsi="Verdana"/>
        </w:rPr>
        <w:t xml:space="preserve">are enabled to participate at this level arising from social, cultural or economic barriers or due to insufficient systems of support.  Therefore, it is critical to </w:t>
      </w:r>
      <w:r w:rsidRPr="0072044C">
        <w:rPr>
          <w:rFonts w:ascii="Verdana" w:hAnsi="Verdana"/>
        </w:rPr>
        <w:lastRenderedPageBreak/>
        <w:t xml:space="preserve">focus on securing more equitable access to, participation in and completion of higher education for both social and economic reasons. </w:t>
      </w:r>
    </w:p>
    <w:p w14:paraId="0727B1B0" w14:textId="77777777" w:rsidR="00092204" w:rsidRPr="0072044C" w:rsidRDefault="00092204" w:rsidP="00092204">
      <w:pPr>
        <w:pStyle w:val="NormalWeb"/>
        <w:spacing w:after="120" w:line="288" w:lineRule="auto"/>
        <w:ind w:right="-914"/>
        <w:jc w:val="both"/>
        <w:rPr>
          <w:rFonts w:ascii="Verdana" w:hAnsi="Verdana"/>
        </w:rPr>
      </w:pPr>
      <w:r w:rsidRPr="0072044C">
        <w:rPr>
          <w:rFonts w:ascii="Verdana" w:hAnsi="Verdana"/>
        </w:rPr>
        <w:t>In the Bucharest Communiqué́, Ministers acknowledged that widening access to higher education was a precondition for societal progress and economic development and agreed to adopt national measures to widen overall access to quality higher education in pursuing the overarching Bologna Process objective that the student body entering and graduating from higher education should reflect the diversity of Europe’s populations.</w:t>
      </w:r>
    </w:p>
    <w:p w14:paraId="18D86656" w14:textId="77777777" w:rsidR="00092204" w:rsidRPr="0072044C" w:rsidRDefault="00092204" w:rsidP="00092204">
      <w:pPr>
        <w:pStyle w:val="NormalWeb"/>
        <w:spacing w:after="120" w:line="288" w:lineRule="auto"/>
        <w:ind w:right="-914"/>
        <w:jc w:val="both"/>
        <w:rPr>
          <w:rFonts w:ascii="Verdana" w:hAnsi="Verdana"/>
        </w:rPr>
      </w:pPr>
      <w:r w:rsidRPr="0072044C">
        <w:rPr>
          <w:rFonts w:ascii="Verdana" w:hAnsi="Verdana"/>
        </w:rPr>
        <w:t xml:space="preserve">However, the 2014 </w:t>
      </w:r>
      <w:r w:rsidRPr="0072044C">
        <w:rPr>
          <w:rFonts w:ascii="Verdana" w:hAnsi="Verdana"/>
          <w:bCs/>
        </w:rPr>
        <w:t xml:space="preserve">Eurydice report on the </w:t>
      </w:r>
      <w:proofErr w:type="spellStart"/>
      <w:r w:rsidRPr="0072044C">
        <w:rPr>
          <w:rFonts w:ascii="Verdana" w:hAnsi="Verdana"/>
        </w:rPr>
        <w:t>Modernisation</w:t>
      </w:r>
      <w:proofErr w:type="spellEnd"/>
      <w:r w:rsidRPr="0072044C">
        <w:rPr>
          <w:rFonts w:ascii="Verdana" w:hAnsi="Verdana"/>
        </w:rPr>
        <w:t xml:space="preserve"> of Higher Education in Europe: Access, Retention and Employability</w:t>
      </w:r>
      <w:r w:rsidRPr="0072044C">
        <w:rPr>
          <w:rStyle w:val="FootnoteReference"/>
          <w:rFonts w:ascii="Verdana" w:hAnsi="Verdana"/>
        </w:rPr>
        <w:footnoteReference w:id="20"/>
      </w:r>
      <w:r w:rsidRPr="0072044C">
        <w:rPr>
          <w:rFonts w:ascii="Verdana" w:hAnsi="Verdana"/>
        </w:rPr>
        <w:t xml:space="preserve"> observes that, although the priority of the social dimension of higher education is </w:t>
      </w:r>
      <w:proofErr w:type="spellStart"/>
      <w:r w:rsidRPr="0072044C">
        <w:rPr>
          <w:rFonts w:ascii="Verdana" w:hAnsi="Verdana"/>
        </w:rPr>
        <w:t>emphasised</w:t>
      </w:r>
      <w:proofErr w:type="spellEnd"/>
      <w:r w:rsidRPr="0072044C">
        <w:rPr>
          <w:rFonts w:ascii="Verdana" w:hAnsi="Verdana"/>
        </w:rPr>
        <w:t xml:space="preserve"> in such policy documents and countries have made clear commitments to develop national plans or strategies and set measurable targets, only nine countries have actually defined attainment targets for specified groups to date.</w:t>
      </w:r>
    </w:p>
    <w:p w14:paraId="40DAA9F7" w14:textId="77777777" w:rsidR="00092204" w:rsidRPr="0072044C" w:rsidRDefault="00092204" w:rsidP="00092204">
      <w:pPr>
        <w:pStyle w:val="NormalWeb"/>
        <w:spacing w:after="120" w:line="288" w:lineRule="auto"/>
        <w:ind w:right="-914"/>
        <w:jc w:val="both"/>
        <w:rPr>
          <w:rFonts w:ascii="Verdana" w:hAnsi="Verdana"/>
        </w:rPr>
      </w:pPr>
      <w:r w:rsidRPr="0072044C">
        <w:rPr>
          <w:rFonts w:ascii="Verdana" w:hAnsi="Verdana"/>
        </w:rPr>
        <w:t xml:space="preserve">In addition, the </w:t>
      </w:r>
      <w:r w:rsidRPr="0072044C">
        <w:rPr>
          <w:rFonts w:ascii="Verdana" w:hAnsi="Verdana"/>
          <w:bCs/>
        </w:rPr>
        <w:t xml:space="preserve">Eurydice report observes that </w:t>
      </w:r>
      <w:r w:rsidRPr="0072044C">
        <w:rPr>
          <w:rFonts w:ascii="Verdana" w:hAnsi="Verdana"/>
        </w:rPr>
        <w:t>there is still considerable work to be done in the area of measuring progress on the social dimension.  It was observed that practices in this area vary considerably and the report concludes that, “…There is therefore a long way to go before a convincing, evidence-based, European-wide picture of progress in widening access is possible to obtain…</w:t>
      </w:r>
      <w:proofErr w:type="gramStart"/>
      <w:r w:rsidRPr="0072044C">
        <w:rPr>
          <w:rFonts w:ascii="Verdana" w:hAnsi="Verdana"/>
        </w:rPr>
        <w:t>”.</w:t>
      </w:r>
      <w:proofErr w:type="gramEnd"/>
      <w:r w:rsidRPr="0072044C">
        <w:rPr>
          <w:rFonts w:ascii="Verdana" w:hAnsi="Verdana"/>
        </w:rPr>
        <w:t xml:space="preserve"> </w:t>
      </w:r>
    </w:p>
    <w:p w14:paraId="1FB72F77" w14:textId="77777777" w:rsidR="00092204" w:rsidRPr="0072044C" w:rsidRDefault="00092204" w:rsidP="00092204">
      <w:pPr>
        <w:pStyle w:val="NormalWeb"/>
        <w:spacing w:after="120" w:line="288" w:lineRule="auto"/>
        <w:ind w:right="-914"/>
        <w:jc w:val="both"/>
        <w:rPr>
          <w:rFonts w:ascii="Verdana" w:hAnsi="Verdana"/>
        </w:rPr>
      </w:pPr>
      <w:r w:rsidRPr="0072044C">
        <w:rPr>
          <w:rFonts w:ascii="Verdana" w:hAnsi="Verdana"/>
        </w:rPr>
        <w:t>In light of the Ministerial commitment at Bucharest to adopt national measures and the difficulties identified in making practical and tangible progress in this area, the Working Group, in pursuing its terms of reference, worked on elaborating a strategy to support the member countries in the development of effective policies to ensure greater access to quality higher education for non-traditional learners and students from disadvantaged backgrounds.</w:t>
      </w:r>
    </w:p>
    <w:p w14:paraId="51A4ADB0" w14:textId="77777777" w:rsidR="00092204" w:rsidRPr="000C47E5" w:rsidRDefault="00092204" w:rsidP="00092204">
      <w:pPr>
        <w:widowControl w:val="0"/>
        <w:autoSpaceDE w:val="0"/>
        <w:autoSpaceDN w:val="0"/>
        <w:adjustRightInd w:val="0"/>
        <w:spacing w:after="120" w:line="288" w:lineRule="auto"/>
        <w:ind w:right="-914"/>
        <w:jc w:val="both"/>
        <w:rPr>
          <w:rFonts w:ascii="Verdana" w:hAnsi="Verdana" w:cs="Helvetica"/>
          <w:bCs/>
          <w:sz w:val="20"/>
          <w:szCs w:val="20"/>
        </w:rPr>
      </w:pPr>
      <w:r w:rsidRPr="000C47E5">
        <w:rPr>
          <w:rFonts w:ascii="Verdana" w:hAnsi="Verdana"/>
          <w:sz w:val="20"/>
          <w:szCs w:val="20"/>
        </w:rPr>
        <w:t xml:space="preserve">Together with the development of national plans or strategies to address participation in higher education, “Widening Participation for Equity and Growth - </w:t>
      </w:r>
      <w:r w:rsidRPr="000C47E5">
        <w:rPr>
          <w:rFonts w:ascii="Verdana" w:hAnsi="Verdana"/>
          <w:i/>
          <w:sz w:val="20"/>
          <w:szCs w:val="20"/>
        </w:rPr>
        <w:t>A Strategy for the Development of the Social Dimension and Lifelong Learning in the European Higher Education Area to 2020</w:t>
      </w:r>
      <w:r w:rsidRPr="000C47E5">
        <w:rPr>
          <w:rFonts w:ascii="Verdana" w:hAnsi="Verdana"/>
          <w:sz w:val="20"/>
          <w:szCs w:val="20"/>
        </w:rPr>
        <w:t xml:space="preserve">” deals with setting </w:t>
      </w:r>
      <w:r w:rsidRPr="000C47E5">
        <w:rPr>
          <w:rFonts w:ascii="Verdana" w:hAnsi="Verdana" w:cs="Helvetica"/>
          <w:bCs/>
          <w:sz w:val="20"/>
          <w:szCs w:val="20"/>
        </w:rPr>
        <w:t>national targets for underrepresented groups, following up with specific actions and collecting relevant data.  The BFUG is requested to consider the strategy for adoption by Ministers at the Yerevan meeting.</w:t>
      </w:r>
    </w:p>
    <w:p w14:paraId="35A82163" w14:textId="77777777" w:rsidR="00092204" w:rsidRPr="000C47E5" w:rsidRDefault="00092204" w:rsidP="00092204">
      <w:pPr>
        <w:widowControl w:val="0"/>
        <w:autoSpaceDE w:val="0"/>
        <w:autoSpaceDN w:val="0"/>
        <w:adjustRightInd w:val="0"/>
        <w:spacing w:after="120" w:line="288" w:lineRule="auto"/>
        <w:ind w:right="-914"/>
        <w:jc w:val="both"/>
        <w:rPr>
          <w:rFonts w:ascii="Verdana" w:hAnsi="Verdana" w:cs="Times"/>
          <w:sz w:val="20"/>
          <w:szCs w:val="20"/>
        </w:rPr>
      </w:pPr>
      <w:r w:rsidRPr="000C47E5">
        <w:rPr>
          <w:rFonts w:ascii="Verdana" w:hAnsi="Verdana" w:cs="Helvetica"/>
          <w:bCs/>
          <w:sz w:val="20"/>
          <w:szCs w:val="20"/>
        </w:rPr>
        <w:t xml:space="preserve">Critically, the strategy is accompanied by a set of </w:t>
      </w:r>
      <w:r w:rsidRPr="000C47E5">
        <w:rPr>
          <w:rFonts w:ascii="Verdana" w:hAnsi="Verdana" w:cs="Times"/>
          <w:sz w:val="20"/>
          <w:szCs w:val="20"/>
        </w:rPr>
        <w:t>guidelines, which have been produced to assist countries to meet the challenge of developing or enhancing national plans or strategies. These guidelines have been developed to provide a “roadmap” for member countries in order to ensure that national plans or strategies</w:t>
      </w:r>
      <w:r w:rsidRPr="000C47E5">
        <w:rPr>
          <w:rFonts w:ascii="Verdana" w:hAnsi="Verdana"/>
          <w:sz w:val="20"/>
          <w:szCs w:val="20"/>
        </w:rPr>
        <w:t xml:space="preserve"> </w:t>
      </w:r>
      <w:r w:rsidRPr="000C47E5">
        <w:rPr>
          <w:rFonts w:ascii="Verdana" w:hAnsi="Verdana" w:cs="Times"/>
          <w:sz w:val="20"/>
          <w:szCs w:val="20"/>
        </w:rPr>
        <w:t xml:space="preserve">are </w:t>
      </w:r>
      <w:r w:rsidRPr="000C47E5">
        <w:rPr>
          <w:rFonts w:ascii="Verdana" w:hAnsi="Verdana"/>
          <w:sz w:val="20"/>
          <w:szCs w:val="20"/>
        </w:rPr>
        <w:t>developed using a systematic approach to identifying barriers into and within the higher education system, based on relevant data providing evidence for action.</w:t>
      </w:r>
    </w:p>
    <w:p w14:paraId="0E15B4C0" w14:textId="77777777" w:rsidR="00092204" w:rsidRPr="000C47E5" w:rsidRDefault="00092204" w:rsidP="00092204">
      <w:pPr>
        <w:spacing w:after="120" w:line="288" w:lineRule="auto"/>
        <w:ind w:right="-914"/>
        <w:jc w:val="both"/>
        <w:rPr>
          <w:rFonts w:ascii="Verdana" w:hAnsi="Verdana"/>
          <w:sz w:val="20"/>
          <w:szCs w:val="20"/>
        </w:rPr>
      </w:pPr>
      <w:r w:rsidRPr="000C47E5">
        <w:rPr>
          <w:rFonts w:ascii="Verdana" w:hAnsi="Verdana"/>
          <w:sz w:val="20"/>
          <w:szCs w:val="20"/>
        </w:rPr>
        <w:t xml:space="preserve">Through its database and peer learning activities, the PL4SD project is raising awareness of the different kinds of measures that can bring these plans to reality and providing </w:t>
      </w:r>
      <w:r w:rsidRPr="000C47E5">
        <w:rPr>
          <w:rFonts w:ascii="Verdana" w:hAnsi="Verdana"/>
          <w:sz w:val="20"/>
          <w:szCs w:val="20"/>
        </w:rPr>
        <w:lastRenderedPageBreak/>
        <w:t xml:space="preserve">concrete examples that practitioners or policy makers can adapt to their national circumstances.  Through peer review, PL4SD is assisting member countries to examine in detail their national provision in this area and create the foundations for coherent and effective national plans. </w:t>
      </w:r>
    </w:p>
    <w:p w14:paraId="71C3DECC" w14:textId="77777777" w:rsidR="00092204" w:rsidRPr="000C47E5" w:rsidRDefault="00092204" w:rsidP="00092204">
      <w:pPr>
        <w:spacing w:after="120" w:line="288" w:lineRule="auto"/>
        <w:ind w:right="-914"/>
        <w:jc w:val="both"/>
        <w:rPr>
          <w:rFonts w:ascii="Verdana" w:hAnsi="Verdana"/>
          <w:sz w:val="20"/>
          <w:szCs w:val="20"/>
        </w:rPr>
      </w:pPr>
      <w:r w:rsidRPr="000C47E5">
        <w:rPr>
          <w:rFonts w:ascii="Verdana" w:hAnsi="Verdana"/>
          <w:sz w:val="20"/>
          <w:szCs w:val="20"/>
        </w:rPr>
        <w:t xml:space="preserve">The establishment of the PL4SD project has provided a critical resource to drive real progress in relation to the social dimension in the EHEA and the methodology of peer learning (including peer review) has been central to engaging member countries in a very real exploration of how widening participation in higher education might be achieved within their systems.  </w:t>
      </w:r>
    </w:p>
    <w:p w14:paraId="02472908" w14:textId="77777777" w:rsidR="00092204" w:rsidRPr="000C47E5" w:rsidRDefault="00092204" w:rsidP="00092204">
      <w:pPr>
        <w:spacing w:after="120" w:line="288" w:lineRule="auto"/>
        <w:ind w:right="-914"/>
        <w:jc w:val="both"/>
        <w:rPr>
          <w:rFonts w:ascii="Verdana" w:hAnsi="Verdana"/>
          <w:sz w:val="20"/>
          <w:szCs w:val="20"/>
        </w:rPr>
      </w:pPr>
      <w:r w:rsidRPr="000C47E5">
        <w:rPr>
          <w:rFonts w:ascii="Verdana" w:hAnsi="Verdana"/>
          <w:sz w:val="20"/>
          <w:szCs w:val="20"/>
        </w:rPr>
        <w:t xml:space="preserve">Between the development of the Strategy and guidelines and the establishment of the PL4SD database and conduct of peer reviews, it is reasonable to conclude that significant real progress has been made in this policy area over the period since the mandate of the Working Group was given at the Bucharest conference.  The Working Group has concluded that it would not be possible to have made such substantial and concrete progress in this difficult policy area without the dedicated resource of PL4SD or in the absence of </w:t>
      </w:r>
      <w:proofErr w:type="spellStart"/>
      <w:r w:rsidRPr="000C47E5">
        <w:rPr>
          <w:rFonts w:ascii="Verdana" w:hAnsi="Verdana"/>
          <w:sz w:val="20"/>
          <w:szCs w:val="20"/>
        </w:rPr>
        <w:t>mobilising</w:t>
      </w:r>
      <w:proofErr w:type="spellEnd"/>
      <w:r w:rsidRPr="000C47E5">
        <w:rPr>
          <w:rFonts w:ascii="Verdana" w:hAnsi="Verdana"/>
          <w:sz w:val="20"/>
          <w:szCs w:val="20"/>
        </w:rPr>
        <w:t xml:space="preserve"> the methodology of peer learning.</w:t>
      </w:r>
    </w:p>
    <w:p w14:paraId="67E951DD" w14:textId="3625DB8E" w:rsidR="00092204" w:rsidRPr="000C47E5" w:rsidRDefault="00092204" w:rsidP="00D075DE">
      <w:pPr>
        <w:spacing w:after="120" w:line="288" w:lineRule="auto"/>
        <w:ind w:right="-914"/>
        <w:jc w:val="both"/>
        <w:rPr>
          <w:rFonts w:ascii="Verdana" w:hAnsi="Verdana"/>
          <w:sz w:val="20"/>
          <w:szCs w:val="20"/>
        </w:rPr>
      </w:pPr>
      <w:r w:rsidRPr="000C47E5">
        <w:rPr>
          <w:rFonts w:ascii="Verdana" w:hAnsi="Verdana"/>
          <w:sz w:val="20"/>
          <w:szCs w:val="20"/>
        </w:rPr>
        <w:t xml:space="preserve">The Working Group </w:t>
      </w:r>
      <w:r>
        <w:rPr>
          <w:rFonts w:ascii="Verdana" w:hAnsi="Verdana"/>
          <w:sz w:val="20"/>
          <w:szCs w:val="20"/>
        </w:rPr>
        <w:t xml:space="preserve">wishes to acknowledge that its </w:t>
      </w:r>
      <w:r w:rsidRPr="000C47E5">
        <w:rPr>
          <w:rFonts w:ascii="Verdana" w:hAnsi="Verdana"/>
          <w:sz w:val="20"/>
          <w:szCs w:val="20"/>
        </w:rPr>
        <w:t xml:space="preserve">deliberations also benefitted from co-operation with the “Expanding Opportunities” project (which hosted one of the WG meetings) and from interaction with a range of networks and other contributors at the thematic sections of its meetings. </w:t>
      </w:r>
    </w:p>
    <w:p w14:paraId="7CF66CC3" w14:textId="6CF961B2" w:rsidR="00092204" w:rsidRDefault="00092204" w:rsidP="00D075DE">
      <w:pPr>
        <w:pStyle w:val="Heading1"/>
      </w:pPr>
      <w:bookmarkStart w:id="43" w:name="_Toc278625906"/>
      <w:bookmarkStart w:id="44" w:name="_Toc283387981"/>
      <w:r w:rsidRPr="00092204">
        <w:t>Recommendations</w:t>
      </w:r>
      <w:bookmarkEnd w:id="43"/>
      <w:bookmarkEnd w:id="44"/>
    </w:p>
    <w:p w14:paraId="54D77950" w14:textId="77777777" w:rsidR="00142B8E" w:rsidRPr="00142B8E" w:rsidRDefault="00142B8E" w:rsidP="00142B8E"/>
    <w:p w14:paraId="14B7811C" w14:textId="77777777" w:rsidR="00092204" w:rsidRPr="000C47E5" w:rsidRDefault="00092204" w:rsidP="00092204">
      <w:pPr>
        <w:widowControl w:val="0"/>
        <w:autoSpaceDE w:val="0"/>
        <w:autoSpaceDN w:val="0"/>
        <w:adjustRightInd w:val="0"/>
        <w:spacing w:after="120" w:line="288" w:lineRule="auto"/>
        <w:ind w:right="-914"/>
        <w:jc w:val="both"/>
        <w:rPr>
          <w:rFonts w:ascii="Verdana" w:hAnsi="Verdana" w:cs="Helvetica"/>
          <w:bCs/>
          <w:sz w:val="20"/>
          <w:szCs w:val="20"/>
        </w:rPr>
      </w:pPr>
      <w:r w:rsidRPr="000C47E5">
        <w:rPr>
          <w:rFonts w:ascii="Verdana" w:hAnsi="Verdana" w:cs="Helvetica"/>
          <w:bCs/>
          <w:sz w:val="20"/>
          <w:szCs w:val="20"/>
        </w:rPr>
        <w:t xml:space="preserve">We request the Ministers at the Yerevan </w:t>
      </w:r>
      <w:r>
        <w:rPr>
          <w:rFonts w:ascii="Verdana" w:hAnsi="Verdana" w:cs="Helvetica"/>
          <w:bCs/>
          <w:sz w:val="20"/>
          <w:szCs w:val="20"/>
        </w:rPr>
        <w:t>conference</w:t>
      </w:r>
      <w:r w:rsidRPr="000C47E5">
        <w:rPr>
          <w:rFonts w:ascii="Verdana" w:hAnsi="Verdana" w:cs="Helvetica"/>
          <w:bCs/>
          <w:sz w:val="20"/>
          <w:szCs w:val="20"/>
        </w:rPr>
        <w:t xml:space="preserve"> to formally adopt the document </w:t>
      </w:r>
      <w:r w:rsidRPr="000C47E5">
        <w:rPr>
          <w:rFonts w:ascii="Verdana" w:hAnsi="Verdana"/>
          <w:sz w:val="20"/>
          <w:szCs w:val="20"/>
        </w:rPr>
        <w:t xml:space="preserve">“Widening Participation for Equity and Growth - </w:t>
      </w:r>
      <w:r w:rsidRPr="000C47E5">
        <w:rPr>
          <w:rFonts w:ascii="Verdana" w:hAnsi="Verdana"/>
          <w:i/>
          <w:sz w:val="20"/>
          <w:szCs w:val="20"/>
        </w:rPr>
        <w:t>A Strategy for the Development of the Social Dimension and Lifelong Learning in the European Higher Education Area to 2020</w:t>
      </w:r>
      <w:r w:rsidRPr="000C47E5">
        <w:rPr>
          <w:rFonts w:ascii="Verdana" w:hAnsi="Verdana"/>
          <w:sz w:val="20"/>
          <w:szCs w:val="20"/>
        </w:rPr>
        <w:t>”.</w:t>
      </w:r>
    </w:p>
    <w:p w14:paraId="5EE0C3D8" w14:textId="77777777" w:rsidR="00092204" w:rsidRPr="000C47E5" w:rsidRDefault="00092204" w:rsidP="00092204">
      <w:pPr>
        <w:widowControl w:val="0"/>
        <w:autoSpaceDE w:val="0"/>
        <w:autoSpaceDN w:val="0"/>
        <w:adjustRightInd w:val="0"/>
        <w:spacing w:after="120" w:line="288" w:lineRule="auto"/>
        <w:ind w:right="-914"/>
        <w:jc w:val="both"/>
        <w:rPr>
          <w:rFonts w:ascii="Verdana" w:hAnsi="Verdana" w:cs="Times"/>
          <w:sz w:val="20"/>
          <w:szCs w:val="20"/>
        </w:rPr>
      </w:pPr>
      <w:r w:rsidRPr="000C47E5">
        <w:rPr>
          <w:rFonts w:ascii="Verdana" w:hAnsi="Verdana" w:cs="Helvetica"/>
          <w:bCs/>
          <w:sz w:val="20"/>
          <w:szCs w:val="20"/>
        </w:rPr>
        <w:t xml:space="preserve">In order to effectively monitor the implementation of this </w:t>
      </w:r>
      <w:r w:rsidRPr="000C47E5">
        <w:rPr>
          <w:rFonts w:ascii="Verdana" w:hAnsi="Verdana"/>
          <w:sz w:val="20"/>
          <w:szCs w:val="20"/>
        </w:rPr>
        <w:t xml:space="preserve">strategy for the development of the social dimension and lifelong learning </w:t>
      </w:r>
      <w:r w:rsidRPr="000C47E5">
        <w:rPr>
          <w:rFonts w:ascii="Verdana" w:hAnsi="Verdana" w:cs="Helvetica"/>
          <w:bCs/>
          <w:sz w:val="20"/>
          <w:szCs w:val="20"/>
        </w:rPr>
        <w:t xml:space="preserve">and the specific measures it contains, we request the BFUG to report to Ministers on progress at the next Ministerial Conference in 2018. </w:t>
      </w:r>
    </w:p>
    <w:p w14:paraId="6FC629E8" w14:textId="77777777" w:rsidR="00092204" w:rsidRPr="000C47E5" w:rsidRDefault="00092204" w:rsidP="00092204">
      <w:pPr>
        <w:spacing w:after="120" w:line="288" w:lineRule="auto"/>
        <w:ind w:right="-914"/>
        <w:jc w:val="both"/>
        <w:rPr>
          <w:rFonts w:ascii="Verdana" w:hAnsi="Verdana"/>
          <w:sz w:val="20"/>
          <w:szCs w:val="20"/>
        </w:rPr>
      </w:pPr>
      <w:r w:rsidRPr="000C47E5">
        <w:rPr>
          <w:rFonts w:ascii="Verdana" w:hAnsi="Verdana"/>
          <w:sz w:val="20"/>
          <w:szCs w:val="20"/>
        </w:rPr>
        <w:t>We recommend endorsement of the work of the PL4SD initiative to date through its database and conferences, note the imminent publication of the initial three peer reviews of EHEA member countries and request Ministerial support for the continuation of the initiative beyond September 2015.</w:t>
      </w:r>
    </w:p>
    <w:p w14:paraId="20428D76" w14:textId="77777777" w:rsidR="00092204" w:rsidRDefault="00092204" w:rsidP="00092204">
      <w:pPr>
        <w:spacing w:after="120" w:line="288" w:lineRule="auto"/>
        <w:ind w:right="-914"/>
        <w:jc w:val="both"/>
        <w:rPr>
          <w:rFonts w:ascii="Verdana" w:hAnsi="Verdana"/>
          <w:sz w:val="20"/>
          <w:szCs w:val="20"/>
        </w:rPr>
      </w:pPr>
      <w:r w:rsidRPr="000C47E5">
        <w:rPr>
          <w:rFonts w:ascii="Verdana" w:hAnsi="Verdana"/>
          <w:sz w:val="20"/>
          <w:szCs w:val="20"/>
        </w:rPr>
        <w:t>We note the important exploratory work carried out by the Working Group’s thematic sub-groups on the themes of access, teaching and learning, student supports and services and lifelong learning and employability and propose that the recommendations made by these sub-groups be brought forward under the ter</w:t>
      </w:r>
      <w:r>
        <w:rPr>
          <w:rFonts w:ascii="Verdana" w:hAnsi="Verdana"/>
          <w:sz w:val="20"/>
          <w:szCs w:val="20"/>
        </w:rPr>
        <w:t>ms of reference of the Working G</w:t>
      </w:r>
      <w:r w:rsidRPr="000C47E5">
        <w:rPr>
          <w:rFonts w:ascii="Verdana" w:hAnsi="Verdana"/>
          <w:sz w:val="20"/>
          <w:szCs w:val="20"/>
        </w:rPr>
        <w:t>roup mandated by Ministers to follow up with this policy area.</w:t>
      </w:r>
    </w:p>
    <w:p w14:paraId="54C911DC" w14:textId="7B0890FA" w:rsidR="005B4DFF" w:rsidRPr="000C47E5" w:rsidRDefault="005B4DFF" w:rsidP="00092204">
      <w:pPr>
        <w:spacing w:after="120" w:line="288" w:lineRule="auto"/>
        <w:ind w:right="-914"/>
        <w:jc w:val="both"/>
        <w:rPr>
          <w:rFonts w:ascii="Verdana" w:hAnsi="Verdana"/>
          <w:sz w:val="20"/>
          <w:szCs w:val="20"/>
        </w:rPr>
      </w:pPr>
      <w:r w:rsidRPr="00142B8E">
        <w:rPr>
          <w:rFonts w:ascii="Verdana" w:hAnsi="Verdana"/>
          <w:sz w:val="20"/>
          <w:szCs w:val="20"/>
        </w:rPr>
        <w:t>We would encourage the BFUG to consider a general recommendation for teaching and learning from both a structural and social dimension perspective in the Yerevan communiqué.</w:t>
      </w:r>
      <w:r>
        <w:rPr>
          <w:rFonts w:ascii="Verdana" w:hAnsi="Verdana"/>
          <w:sz w:val="20"/>
          <w:szCs w:val="20"/>
        </w:rPr>
        <w:t xml:space="preserve"> </w:t>
      </w:r>
    </w:p>
    <w:p w14:paraId="25F457FF" w14:textId="3DD8ED4C" w:rsidR="00162EE2" w:rsidRPr="00CA0FD1" w:rsidRDefault="00092204" w:rsidP="00A21671">
      <w:pPr>
        <w:spacing w:after="120" w:line="288" w:lineRule="auto"/>
        <w:ind w:right="-914"/>
        <w:jc w:val="both"/>
        <w:rPr>
          <w:rFonts w:ascii="Verdana" w:hAnsi="Verdana"/>
          <w:sz w:val="20"/>
          <w:szCs w:val="20"/>
        </w:rPr>
      </w:pPr>
      <w:r w:rsidRPr="000C47E5">
        <w:rPr>
          <w:rFonts w:ascii="Verdana" w:hAnsi="Verdana"/>
          <w:sz w:val="20"/>
          <w:szCs w:val="20"/>
        </w:rPr>
        <w:lastRenderedPageBreak/>
        <w:t xml:space="preserve">We recommend further development of the interaction with initiatives and networks relevant to the work on the social dimension of higher education and lifelong learning. </w:t>
      </w:r>
      <w:bookmarkStart w:id="45" w:name="_GoBack"/>
      <w:bookmarkEnd w:id="45"/>
    </w:p>
    <w:p w14:paraId="29E0A914" w14:textId="155FDD2D" w:rsidR="00162EE2" w:rsidRPr="00FF42AE" w:rsidRDefault="00162EE2" w:rsidP="007F66F9">
      <w:pPr>
        <w:pStyle w:val="Heading1"/>
        <w:spacing w:after="120"/>
      </w:pPr>
      <w:bookmarkStart w:id="46" w:name="_Toc278625907"/>
      <w:bookmarkStart w:id="47" w:name="_Toc283387982"/>
      <w:r w:rsidRPr="00FF42AE">
        <w:t>Acronyms</w:t>
      </w:r>
      <w:bookmarkEnd w:id="46"/>
      <w:bookmarkEnd w:id="47"/>
    </w:p>
    <w:p w14:paraId="2AC33D22" w14:textId="77777777" w:rsidR="007F66F9" w:rsidRDefault="00162EE2" w:rsidP="007F66F9">
      <w:pPr>
        <w:spacing w:after="60" w:line="288" w:lineRule="auto"/>
        <w:ind w:left="357" w:right="-771"/>
        <w:rPr>
          <w:rFonts w:ascii="Verdana" w:hAnsi="Verdana"/>
          <w:sz w:val="20"/>
        </w:rPr>
      </w:pPr>
      <w:r w:rsidRPr="00F45050">
        <w:rPr>
          <w:rFonts w:ascii="Verdana" w:hAnsi="Verdana"/>
          <w:sz w:val="20"/>
        </w:rPr>
        <w:t xml:space="preserve">BFUG – Bologna Follow-Up Group </w:t>
      </w:r>
    </w:p>
    <w:p w14:paraId="1F0D052A" w14:textId="77777777" w:rsidR="007F66F9" w:rsidRPr="00F45050" w:rsidRDefault="007F66F9" w:rsidP="007F66F9">
      <w:pPr>
        <w:spacing w:after="60" w:line="288" w:lineRule="auto"/>
        <w:ind w:left="357" w:right="-771"/>
        <w:rPr>
          <w:rFonts w:ascii="Verdana" w:hAnsi="Verdana"/>
          <w:sz w:val="20"/>
        </w:rPr>
      </w:pPr>
      <w:r>
        <w:rPr>
          <w:rFonts w:ascii="Verdana" w:hAnsi="Verdana"/>
          <w:sz w:val="20"/>
          <w:szCs w:val="20"/>
        </w:rPr>
        <w:t xml:space="preserve">DZHW – </w:t>
      </w:r>
      <w:r w:rsidRPr="00BA2641">
        <w:rPr>
          <w:rFonts w:ascii="Verdana" w:hAnsi="Verdana"/>
          <w:sz w:val="20"/>
          <w:szCs w:val="20"/>
        </w:rPr>
        <w:t>German Centre for Research on Higher Education and Science Studies</w:t>
      </w:r>
      <w:r w:rsidR="00451D2E">
        <w:rPr>
          <w:rFonts w:ascii="Verdana" w:hAnsi="Verdana"/>
          <w:sz w:val="20"/>
          <w:szCs w:val="20"/>
        </w:rPr>
        <w:t>, Hannover</w:t>
      </w:r>
    </w:p>
    <w:p w14:paraId="518BDE7E"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 xml:space="preserve">EC – European Commission </w:t>
      </w:r>
    </w:p>
    <w:p w14:paraId="7DE3777D"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 xml:space="preserve">EHEA – European Higher Education Area </w:t>
      </w:r>
    </w:p>
    <w:p w14:paraId="1A6BEFF2"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 xml:space="preserve">EI – Education International </w:t>
      </w:r>
    </w:p>
    <w:p w14:paraId="39E0E25E"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ESU – European Students’ Union</w:t>
      </w:r>
    </w:p>
    <w:p w14:paraId="0359069F"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 xml:space="preserve">EUA – European University Association </w:t>
      </w:r>
    </w:p>
    <w:p w14:paraId="095FA668" w14:textId="77777777" w:rsidR="00162EE2" w:rsidRDefault="00162EE2" w:rsidP="007F66F9">
      <w:pPr>
        <w:spacing w:after="60" w:line="288" w:lineRule="auto"/>
        <w:ind w:left="357" w:right="-771"/>
        <w:rPr>
          <w:rFonts w:ascii="Verdana" w:hAnsi="Verdana"/>
          <w:sz w:val="20"/>
        </w:rPr>
      </w:pPr>
      <w:proofErr w:type="spellStart"/>
      <w:r w:rsidRPr="00F45050">
        <w:rPr>
          <w:rFonts w:ascii="Verdana" w:hAnsi="Verdana"/>
          <w:sz w:val="20"/>
        </w:rPr>
        <w:t>ExpandO</w:t>
      </w:r>
      <w:proofErr w:type="spellEnd"/>
      <w:r w:rsidRPr="00F45050">
        <w:rPr>
          <w:rFonts w:ascii="Verdana" w:hAnsi="Verdana"/>
          <w:sz w:val="20"/>
        </w:rPr>
        <w:t xml:space="preserve"> – Expanding Opportunities project</w:t>
      </w:r>
    </w:p>
    <w:p w14:paraId="357F9071" w14:textId="77777777" w:rsidR="007F66F9" w:rsidRPr="00F45050" w:rsidRDefault="007F66F9" w:rsidP="007F66F9">
      <w:pPr>
        <w:spacing w:after="60" w:line="288" w:lineRule="auto"/>
        <w:ind w:left="357" w:right="-771"/>
        <w:rPr>
          <w:rFonts w:ascii="Verdana" w:hAnsi="Verdana"/>
          <w:sz w:val="20"/>
        </w:rPr>
      </w:pPr>
      <w:r>
        <w:rPr>
          <w:rFonts w:ascii="Verdana" w:hAnsi="Verdana"/>
          <w:sz w:val="20"/>
          <w:szCs w:val="20"/>
        </w:rPr>
        <w:t>IDE – Institute for the Development of Education</w:t>
      </w:r>
      <w:r w:rsidR="00451D2E">
        <w:rPr>
          <w:rFonts w:ascii="Verdana" w:hAnsi="Verdana"/>
          <w:sz w:val="20"/>
          <w:szCs w:val="20"/>
        </w:rPr>
        <w:t>, Zagreb</w:t>
      </w:r>
    </w:p>
    <w:p w14:paraId="79D4FC6A"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PL4SD – Peer Learning for the Social Dimension project</w:t>
      </w:r>
    </w:p>
    <w:p w14:paraId="7AE465A4"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SCL – student-</w:t>
      </w:r>
      <w:proofErr w:type="spellStart"/>
      <w:r w:rsidRPr="00F45050">
        <w:rPr>
          <w:rFonts w:ascii="Verdana" w:hAnsi="Verdana"/>
          <w:sz w:val="20"/>
        </w:rPr>
        <w:t>centred</w:t>
      </w:r>
      <w:proofErr w:type="spellEnd"/>
      <w:r w:rsidRPr="00F45050">
        <w:rPr>
          <w:rFonts w:ascii="Verdana" w:hAnsi="Verdana"/>
          <w:sz w:val="20"/>
        </w:rPr>
        <w:t xml:space="preserve"> learning</w:t>
      </w:r>
    </w:p>
    <w:p w14:paraId="271C3D97"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SD&amp;LLL WG – Social Dimension and Lifelong Learning Working Group</w:t>
      </w:r>
    </w:p>
    <w:p w14:paraId="01738AD3"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TG – thematic group</w:t>
      </w:r>
    </w:p>
    <w:p w14:paraId="48A16046" w14:textId="77777777" w:rsidR="00162EE2" w:rsidRPr="00F45050" w:rsidRDefault="00162EE2" w:rsidP="007F66F9">
      <w:pPr>
        <w:spacing w:after="60" w:line="288" w:lineRule="auto"/>
        <w:ind w:left="357" w:right="-771"/>
        <w:rPr>
          <w:rFonts w:ascii="Verdana" w:hAnsi="Verdana"/>
          <w:sz w:val="20"/>
        </w:rPr>
      </w:pPr>
      <w:r w:rsidRPr="00F45050">
        <w:rPr>
          <w:rFonts w:ascii="Verdana" w:hAnsi="Verdana"/>
          <w:sz w:val="20"/>
        </w:rPr>
        <w:t>T&amp;L – teaching and learning</w:t>
      </w:r>
    </w:p>
    <w:p w14:paraId="7A8BC557" w14:textId="19B4B847" w:rsidR="00FD244D" w:rsidRDefault="00FD244D" w:rsidP="00FD244D">
      <w:pPr>
        <w:pStyle w:val="Heading1"/>
        <w:spacing w:after="120"/>
      </w:pPr>
      <w:bookmarkStart w:id="48" w:name="_Toc283387983"/>
      <w:r>
        <w:t>Figures and Tables</w:t>
      </w:r>
      <w:bookmarkEnd w:id="48"/>
    </w:p>
    <w:p w14:paraId="5F1E97E2" w14:textId="77777777" w:rsidR="00FD244D" w:rsidRPr="00FD244D" w:rsidRDefault="00FD244D" w:rsidP="00FD244D">
      <w:pPr>
        <w:pStyle w:val="ListParagraph"/>
        <w:keepNext/>
        <w:numPr>
          <w:ilvl w:val="0"/>
          <w:numId w:val="64"/>
        </w:numPr>
        <w:spacing w:after="120" w:line="288" w:lineRule="auto"/>
        <w:ind w:right="-771"/>
        <w:jc w:val="both"/>
        <w:rPr>
          <w:rFonts w:ascii="Verdana" w:hAnsi="Verdana"/>
          <w:bCs/>
          <w:sz w:val="20"/>
          <w:szCs w:val="20"/>
        </w:rPr>
      </w:pPr>
      <w:r w:rsidRPr="00FD244D">
        <w:rPr>
          <w:rFonts w:ascii="Verdana" w:hAnsi="Verdana"/>
          <w:bCs/>
          <w:sz w:val="20"/>
          <w:szCs w:val="20"/>
        </w:rPr>
        <w:t>Figure 1: Screenshot of the search interface of the PL4SD database</w:t>
      </w:r>
    </w:p>
    <w:p w14:paraId="3F868C47" w14:textId="77777777" w:rsidR="008109F6" w:rsidRDefault="00FD244D" w:rsidP="008109F6">
      <w:pPr>
        <w:pStyle w:val="Caption"/>
        <w:numPr>
          <w:ilvl w:val="0"/>
          <w:numId w:val="64"/>
        </w:numPr>
        <w:rPr>
          <w:b w:val="0"/>
        </w:rPr>
      </w:pPr>
      <w:r w:rsidRPr="00FD244D">
        <w:rPr>
          <w:b w:val="0"/>
        </w:rPr>
        <w:t>Table 1: Overview of measures in the PL4SD database (as of Nov. 2014)</w:t>
      </w:r>
    </w:p>
    <w:p w14:paraId="00B57EFC" w14:textId="77777777" w:rsidR="008109F6" w:rsidRDefault="008109F6">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MS Mincho" w:hAnsi="Verdana"/>
          <w:bCs/>
          <w:sz w:val="20"/>
          <w:szCs w:val="18"/>
          <w:bdr w:val="none" w:sz="0" w:space="0" w:color="auto"/>
          <w:lang w:val="en-GB"/>
        </w:rPr>
      </w:pPr>
      <w:r>
        <w:rPr>
          <w:b/>
        </w:rPr>
        <w:br w:type="page"/>
      </w:r>
    </w:p>
    <w:p w14:paraId="78B3B6D0" w14:textId="65CE40B8" w:rsidR="001E7F83" w:rsidRDefault="001E7F83" w:rsidP="001E7F83">
      <w:pPr>
        <w:pStyle w:val="Heading2"/>
      </w:pPr>
      <w:bookmarkStart w:id="49" w:name="Figure_1"/>
      <w:bookmarkStart w:id="50" w:name="_Toc283387984"/>
      <w:r>
        <w:lastRenderedPageBreak/>
        <w:t>Figure 1</w:t>
      </w:r>
      <w:bookmarkEnd w:id="49"/>
      <w:bookmarkEnd w:id="50"/>
      <w:r w:rsidR="008109F6" w:rsidRPr="008109F6">
        <w:t xml:space="preserve"> </w:t>
      </w:r>
    </w:p>
    <w:p w14:paraId="38EAD175" w14:textId="217951DC" w:rsidR="008109F6" w:rsidRPr="008109F6" w:rsidRDefault="008109F6" w:rsidP="008109F6">
      <w:pPr>
        <w:pStyle w:val="Caption"/>
        <w:rPr>
          <w:b w:val="0"/>
        </w:rPr>
      </w:pPr>
      <w:r w:rsidRPr="008109F6">
        <w:rPr>
          <w:szCs w:val="20"/>
        </w:rPr>
        <w:t>Screenshot of the search interface of the PL4SD database</w:t>
      </w:r>
    </w:p>
    <w:p w14:paraId="7268C8C3" w14:textId="77777777" w:rsidR="008109F6" w:rsidRPr="008109F6" w:rsidRDefault="008109F6" w:rsidP="008109F6"/>
    <w:p w14:paraId="4DDE977E" w14:textId="6CE4F0F1" w:rsidR="00FD244D" w:rsidRPr="00FD244D" w:rsidRDefault="008109F6" w:rsidP="00FD244D">
      <w:r>
        <w:rPr>
          <w:rFonts w:ascii="Verdana" w:hAnsi="Verdana"/>
          <w:noProof/>
          <w:sz w:val="20"/>
          <w:szCs w:val="20"/>
        </w:rPr>
        <w:drawing>
          <wp:inline distT="0" distB="0" distL="0" distR="0" wp14:anchorId="25FC4091" wp14:editId="6B8A8483">
            <wp:extent cx="5270500" cy="5884185"/>
            <wp:effectExtent l="25400" t="25400" r="12700" b="3429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5884185"/>
                    </a:xfrm>
                    <a:prstGeom prst="rect">
                      <a:avLst/>
                    </a:prstGeom>
                    <a:noFill/>
                    <a:ln w="9525" cmpd="sng">
                      <a:solidFill>
                        <a:srgbClr val="4F81BD"/>
                      </a:solidFill>
                      <a:miter lim="800000"/>
                      <a:headEnd/>
                      <a:tailEnd/>
                    </a:ln>
                    <a:effectLst/>
                  </pic:spPr>
                </pic:pic>
              </a:graphicData>
            </a:graphic>
          </wp:inline>
        </w:drawing>
      </w:r>
    </w:p>
    <w:p w14:paraId="1F9EBD5D" w14:textId="27D36943" w:rsidR="00A06C39" w:rsidRPr="000834E2" w:rsidRDefault="00A06C39" w:rsidP="00A06C39">
      <w:pPr>
        <w:spacing w:after="120" w:line="288" w:lineRule="auto"/>
        <w:ind w:right="-772"/>
        <w:jc w:val="both"/>
        <w:rPr>
          <w:rFonts w:ascii="Verdana" w:hAnsi="Verdana"/>
          <w:sz w:val="20"/>
          <w:szCs w:val="20"/>
        </w:rPr>
      </w:pPr>
      <w:bookmarkStart w:id="51" w:name="_Toc278625908"/>
      <w:r w:rsidRPr="000834E2">
        <w:rPr>
          <w:rFonts w:ascii="Verdana" w:hAnsi="Verdana"/>
          <w:sz w:val="20"/>
          <w:szCs w:val="20"/>
        </w:rPr>
        <w:t xml:space="preserve">Source: </w:t>
      </w:r>
      <w:hyperlink r:id="rId15" w:history="1">
        <w:r w:rsidRPr="000834E2">
          <w:rPr>
            <w:rStyle w:val="Hyperlink"/>
            <w:rFonts w:ascii="Verdana" w:hAnsi="Verdana"/>
            <w:sz w:val="20"/>
            <w:szCs w:val="20"/>
          </w:rPr>
          <w:t>www.pl4sd.eu</w:t>
        </w:r>
      </w:hyperlink>
      <w:r w:rsidRPr="000834E2">
        <w:rPr>
          <w:rFonts w:ascii="Verdana" w:hAnsi="Verdana"/>
          <w:sz w:val="20"/>
          <w:szCs w:val="20"/>
        </w:rPr>
        <w:t xml:space="preserve"> (as of </w:t>
      </w:r>
      <w:r>
        <w:rPr>
          <w:rFonts w:ascii="Verdana" w:hAnsi="Verdana"/>
          <w:sz w:val="20"/>
          <w:szCs w:val="20"/>
        </w:rPr>
        <w:t>11</w:t>
      </w:r>
      <w:r w:rsidRPr="000834E2">
        <w:rPr>
          <w:rFonts w:ascii="Verdana" w:hAnsi="Verdana"/>
          <w:sz w:val="20"/>
          <w:szCs w:val="20"/>
        </w:rPr>
        <w:t>.</w:t>
      </w:r>
      <w:r>
        <w:rPr>
          <w:rFonts w:ascii="Verdana" w:hAnsi="Verdana"/>
          <w:sz w:val="20"/>
          <w:szCs w:val="20"/>
        </w:rPr>
        <w:t>11</w:t>
      </w:r>
      <w:r w:rsidRPr="000834E2">
        <w:rPr>
          <w:rFonts w:ascii="Verdana" w:hAnsi="Verdana"/>
          <w:sz w:val="20"/>
          <w:szCs w:val="20"/>
        </w:rPr>
        <w:t>.2014).</w:t>
      </w:r>
    </w:p>
    <w:p w14:paraId="23A31D74" w14:textId="77777777" w:rsidR="008109F6" w:rsidRDefault="008109F6">
      <w:pPr>
        <w:pBdr>
          <w:top w:val="none" w:sz="0" w:space="0" w:color="auto"/>
          <w:left w:val="none" w:sz="0" w:space="0" w:color="auto"/>
          <w:bottom w:val="none" w:sz="0" w:space="0" w:color="auto"/>
          <w:right w:val="none" w:sz="0" w:space="0" w:color="auto"/>
          <w:between w:val="none" w:sz="0" w:space="0" w:color="auto"/>
          <w:bar w:val="none" w:sz="0" w:color="auto"/>
        </w:pBdr>
      </w:pPr>
    </w:p>
    <w:p w14:paraId="464627FC" w14:textId="0E310C39" w:rsidR="001E7F83" w:rsidRDefault="008109F6" w:rsidP="001E7F83">
      <w:pPr>
        <w:pStyle w:val="Heading2"/>
        <w:ind w:hanging="426"/>
      </w:pPr>
      <w:bookmarkStart w:id="52" w:name="Table_1"/>
      <w:bookmarkStart w:id="53" w:name="_Toc283387985"/>
      <w:r w:rsidRPr="0022201D">
        <w:lastRenderedPageBreak/>
        <w:t xml:space="preserve">Table </w:t>
      </w:r>
      <w:r>
        <w:t>1</w:t>
      </w:r>
      <w:bookmarkEnd w:id="53"/>
      <w:r w:rsidRPr="0022201D">
        <w:t xml:space="preserve"> </w:t>
      </w:r>
    </w:p>
    <w:bookmarkEnd w:id="52"/>
    <w:p w14:paraId="43ADBACA" w14:textId="0C78B7D5" w:rsidR="008109F6" w:rsidRDefault="008109F6" w:rsidP="00771E89">
      <w:pPr>
        <w:pStyle w:val="Caption"/>
        <w:tabs>
          <w:tab w:val="left" w:pos="7230"/>
        </w:tabs>
        <w:ind w:hanging="426"/>
      </w:pPr>
      <w:r w:rsidRPr="0022201D">
        <w:t>Overview of measures in the PL4SD database (as of Nov. 2014)</w:t>
      </w:r>
    </w:p>
    <w:tbl>
      <w:tblPr>
        <w:tblW w:w="9072" w:type="dxa"/>
        <w:tblInd w:w="-459" w:type="dxa"/>
        <w:tblLayout w:type="fixed"/>
        <w:tblLook w:val="04A0" w:firstRow="1" w:lastRow="0" w:firstColumn="1" w:lastColumn="0" w:noHBand="0" w:noVBand="1"/>
      </w:tblPr>
      <w:tblGrid>
        <w:gridCol w:w="2834"/>
        <w:gridCol w:w="886"/>
        <w:gridCol w:w="886"/>
        <w:gridCol w:w="2834"/>
        <w:gridCol w:w="886"/>
        <w:gridCol w:w="746"/>
      </w:tblGrid>
      <w:tr w:rsidR="008109F6" w:rsidRPr="0022201D" w14:paraId="57145197" w14:textId="77777777" w:rsidTr="008109F6">
        <w:trPr>
          <w:trHeight w:val="300"/>
        </w:trPr>
        <w:tc>
          <w:tcPr>
            <w:tcW w:w="2834" w:type="dxa"/>
            <w:tcBorders>
              <w:bottom w:val="single" w:sz="4" w:space="0" w:color="auto"/>
            </w:tcBorders>
            <w:shd w:val="clear" w:color="auto" w:fill="auto"/>
            <w:noWrap/>
            <w:vAlign w:val="center"/>
            <w:hideMark/>
          </w:tcPr>
          <w:p w14:paraId="4319CBE6" w14:textId="77777777" w:rsidR="008109F6" w:rsidRPr="00100B72" w:rsidRDefault="008109F6" w:rsidP="008109F6">
            <w:pPr>
              <w:keepNext/>
              <w:keepLines/>
              <w:spacing w:beforeLines="20" w:before="48" w:afterLines="20" w:after="48"/>
              <w:ind w:left="-250" w:firstLine="283"/>
              <w:rPr>
                <w:rFonts w:ascii="Verdana" w:hAnsi="Verdana"/>
                <w:b/>
                <w:bCs/>
                <w:sz w:val="18"/>
                <w:szCs w:val="20"/>
                <w:lang w:val="en-GB"/>
              </w:rPr>
            </w:pPr>
            <w:r w:rsidRPr="00100B72">
              <w:rPr>
                <w:rFonts w:ascii="Verdana" w:hAnsi="Verdana"/>
                <w:b/>
                <w:bCs/>
                <w:sz w:val="18"/>
                <w:szCs w:val="20"/>
                <w:lang w:val="en-GB"/>
              </w:rPr>
              <w:t>STUDENT TARGET GROUP</w:t>
            </w:r>
          </w:p>
        </w:tc>
        <w:tc>
          <w:tcPr>
            <w:tcW w:w="886" w:type="dxa"/>
            <w:tcBorders>
              <w:bottom w:val="single" w:sz="4" w:space="0" w:color="auto"/>
            </w:tcBorders>
            <w:shd w:val="clear" w:color="auto" w:fill="auto"/>
            <w:noWrap/>
            <w:vAlign w:val="center"/>
            <w:hideMark/>
          </w:tcPr>
          <w:p w14:paraId="4FB00B86"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c>
          <w:tcPr>
            <w:tcW w:w="886" w:type="dxa"/>
            <w:tcBorders>
              <w:bottom w:val="single" w:sz="4" w:space="0" w:color="auto"/>
              <w:right w:val="single" w:sz="4" w:space="0" w:color="auto"/>
            </w:tcBorders>
            <w:shd w:val="clear" w:color="auto" w:fill="auto"/>
            <w:noWrap/>
            <w:vAlign w:val="center"/>
            <w:hideMark/>
          </w:tcPr>
          <w:p w14:paraId="2FB6ECC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c>
          <w:tcPr>
            <w:tcW w:w="2834" w:type="dxa"/>
            <w:tcBorders>
              <w:left w:val="single" w:sz="4" w:space="0" w:color="auto"/>
              <w:bottom w:val="single" w:sz="4" w:space="0" w:color="auto"/>
            </w:tcBorders>
            <w:shd w:val="clear" w:color="auto" w:fill="auto"/>
            <w:noWrap/>
            <w:vAlign w:val="center"/>
            <w:hideMark/>
          </w:tcPr>
          <w:p w14:paraId="17A61A49" w14:textId="77777777" w:rsidR="008109F6" w:rsidRPr="00100B72" w:rsidRDefault="008109F6" w:rsidP="008109F6">
            <w:pPr>
              <w:keepNext/>
              <w:keepLines/>
              <w:spacing w:beforeLines="20" w:before="48" w:afterLines="20" w:after="48"/>
              <w:rPr>
                <w:rFonts w:ascii="Verdana" w:hAnsi="Verdana"/>
                <w:b/>
                <w:bCs/>
                <w:sz w:val="18"/>
                <w:szCs w:val="20"/>
                <w:lang w:val="en-GB"/>
              </w:rPr>
            </w:pPr>
            <w:r w:rsidRPr="00100B72">
              <w:rPr>
                <w:rFonts w:ascii="Verdana" w:hAnsi="Verdana"/>
                <w:b/>
                <w:bCs/>
                <w:sz w:val="18"/>
                <w:szCs w:val="20"/>
                <w:lang w:val="en-GB"/>
              </w:rPr>
              <w:t>OBJECTIVE OF MEASURE</w:t>
            </w:r>
          </w:p>
        </w:tc>
        <w:tc>
          <w:tcPr>
            <w:tcW w:w="886" w:type="dxa"/>
            <w:tcBorders>
              <w:bottom w:val="single" w:sz="4" w:space="0" w:color="auto"/>
            </w:tcBorders>
            <w:shd w:val="clear" w:color="auto" w:fill="auto"/>
            <w:noWrap/>
            <w:vAlign w:val="center"/>
            <w:hideMark/>
          </w:tcPr>
          <w:p w14:paraId="5A4B1864"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c>
          <w:tcPr>
            <w:tcW w:w="746" w:type="dxa"/>
            <w:tcBorders>
              <w:bottom w:val="single" w:sz="4" w:space="0" w:color="auto"/>
            </w:tcBorders>
            <w:shd w:val="clear" w:color="auto" w:fill="auto"/>
            <w:noWrap/>
            <w:vAlign w:val="center"/>
            <w:hideMark/>
          </w:tcPr>
          <w:p w14:paraId="0DF3A52C"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r>
      <w:tr w:rsidR="008109F6" w:rsidRPr="0022201D" w14:paraId="0D862068" w14:textId="77777777" w:rsidTr="008109F6">
        <w:trPr>
          <w:trHeight w:val="300"/>
        </w:trPr>
        <w:tc>
          <w:tcPr>
            <w:tcW w:w="2834" w:type="dxa"/>
            <w:tcBorders>
              <w:top w:val="single" w:sz="4" w:space="0" w:color="auto"/>
              <w:bottom w:val="single" w:sz="4" w:space="0" w:color="BFBFBF"/>
            </w:tcBorders>
            <w:shd w:val="clear" w:color="auto" w:fill="auto"/>
            <w:noWrap/>
            <w:vAlign w:val="center"/>
            <w:hideMark/>
          </w:tcPr>
          <w:p w14:paraId="418AE812"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general</w:t>
            </w:r>
            <w:proofErr w:type="gramEnd"/>
            <w:r w:rsidRPr="00100B72">
              <w:rPr>
                <w:rFonts w:ascii="Verdana" w:hAnsi="Verdana"/>
                <w:sz w:val="18"/>
                <w:szCs w:val="20"/>
                <w:lang w:val="en-GB"/>
              </w:rPr>
              <w:t xml:space="preserve"> student population</w:t>
            </w:r>
          </w:p>
        </w:tc>
        <w:tc>
          <w:tcPr>
            <w:tcW w:w="886" w:type="dxa"/>
            <w:tcBorders>
              <w:top w:val="single" w:sz="4" w:space="0" w:color="auto"/>
              <w:bottom w:val="single" w:sz="4" w:space="0" w:color="BFBFBF"/>
            </w:tcBorders>
            <w:shd w:val="clear" w:color="auto" w:fill="auto"/>
            <w:noWrap/>
            <w:vAlign w:val="center"/>
            <w:hideMark/>
          </w:tcPr>
          <w:p w14:paraId="08F5C8B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124</w:t>
            </w:r>
          </w:p>
        </w:tc>
        <w:tc>
          <w:tcPr>
            <w:tcW w:w="886" w:type="dxa"/>
            <w:tcBorders>
              <w:top w:val="single" w:sz="4" w:space="0" w:color="auto"/>
              <w:bottom w:val="single" w:sz="4" w:space="0" w:color="BFBFBF"/>
              <w:right w:val="single" w:sz="4" w:space="0" w:color="auto"/>
            </w:tcBorders>
            <w:shd w:val="clear" w:color="auto" w:fill="auto"/>
            <w:noWrap/>
            <w:vAlign w:val="center"/>
            <w:hideMark/>
          </w:tcPr>
          <w:p w14:paraId="5820F31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42%</w:t>
            </w:r>
          </w:p>
        </w:tc>
        <w:tc>
          <w:tcPr>
            <w:tcW w:w="2834" w:type="dxa"/>
            <w:tcBorders>
              <w:top w:val="single" w:sz="4" w:space="0" w:color="auto"/>
              <w:left w:val="single" w:sz="4" w:space="0" w:color="auto"/>
              <w:bottom w:val="single" w:sz="4" w:space="0" w:color="BFBFBF"/>
            </w:tcBorders>
            <w:shd w:val="clear" w:color="auto" w:fill="auto"/>
            <w:noWrap/>
            <w:vAlign w:val="center"/>
            <w:hideMark/>
          </w:tcPr>
          <w:p w14:paraId="031A6318"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widening</w:t>
            </w:r>
            <w:proofErr w:type="gramEnd"/>
            <w:r w:rsidRPr="00100B72">
              <w:rPr>
                <w:rFonts w:ascii="Verdana" w:hAnsi="Verdana"/>
                <w:sz w:val="18"/>
                <w:szCs w:val="20"/>
                <w:lang w:val="en-GB"/>
              </w:rPr>
              <w:t xml:space="preserve"> access</w:t>
            </w:r>
          </w:p>
        </w:tc>
        <w:tc>
          <w:tcPr>
            <w:tcW w:w="886" w:type="dxa"/>
            <w:tcBorders>
              <w:top w:val="single" w:sz="4" w:space="0" w:color="auto"/>
              <w:bottom w:val="single" w:sz="4" w:space="0" w:color="BFBFBF"/>
            </w:tcBorders>
            <w:shd w:val="clear" w:color="auto" w:fill="auto"/>
            <w:noWrap/>
            <w:vAlign w:val="center"/>
            <w:hideMark/>
          </w:tcPr>
          <w:p w14:paraId="265849DD"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135</w:t>
            </w:r>
          </w:p>
        </w:tc>
        <w:tc>
          <w:tcPr>
            <w:tcW w:w="746" w:type="dxa"/>
            <w:tcBorders>
              <w:top w:val="single" w:sz="4" w:space="0" w:color="auto"/>
              <w:bottom w:val="single" w:sz="4" w:space="0" w:color="BFBFBF"/>
            </w:tcBorders>
            <w:shd w:val="clear" w:color="auto" w:fill="auto"/>
            <w:noWrap/>
            <w:vAlign w:val="center"/>
            <w:hideMark/>
          </w:tcPr>
          <w:p w14:paraId="24167B5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46%</w:t>
            </w:r>
          </w:p>
        </w:tc>
      </w:tr>
      <w:tr w:rsidR="008109F6" w:rsidRPr="0022201D" w14:paraId="3B9A212A"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6D95F5EB"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by</w:t>
            </w:r>
            <w:proofErr w:type="gramEnd"/>
            <w:r w:rsidRPr="00100B72">
              <w:rPr>
                <w:rFonts w:ascii="Verdana" w:hAnsi="Verdana"/>
                <w:sz w:val="18"/>
                <w:szCs w:val="20"/>
                <w:lang w:val="en-GB"/>
              </w:rPr>
              <w:t xml:space="preserve"> gender</w:t>
            </w:r>
          </w:p>
        </w:tc>
        <w:tc>
          <w:tcPr>
            <w:tcW w:w="886" w:type="dxa"/>
            <w:tcBorders>
              <w:top w:val="single" w:sz="4" w:space="0" w:color="BFBFBF"/>
              <w:bottom w:val="single" w:sz="4" w:space="0" w:color="BFBFBF"/>
            </w:tcBorders>
            <w:shd w:val="clear" w:color="auto" w:fill="auto"/>
            <w:noWrap/>
            <w:vAlign w:val="center"/>
            <w:hideMark/>
          </w:tcPr>
          <w:p w14:paraId="2D0824C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31</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2C78534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11%</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1F202C08"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retention</w:t>
            </w:r>
            <w:proofErr w:type="gramEnd"/>
            <w:r w:rsidRPr="00100B72">
              <w:rPr>
                <w:rFonts w:ascii="Verdana" w:hAnsi="Verdana"/>
                <w:sz w:val="18"/>
                <w:szCs w:val="20"/>
                <w:lang w:val="en-GB"/>
              </w:rPr>
              <w:t xml:space="preserve"> and success</w:t>
            </w:r>
          </w:p>
        </w:tc>
        <w:tc>
          <w:tcPr>
            <w:tcW w:w="886" w:type="dxa"/>
            <w:tcBorders>
              <w:top w:val="single" w:sz="4" w:space="0" w:color="BFBFBF"/>
              <w:bottom w:val="single" w:sz="4" w:space="0" w:color="BFBFBF"/>
            </w:tcBorders>
            <w:shd w:val="clear" w:color="auto" w:fill="auto"/>
            <w:noWrap/>
            <w:vAlign w:val="center"/>
            <w:hideMark/>
          </w:tcPr>
          <w:p w14:paraId="3045E2D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42</w:t>
            </w:r>
          </w:p>
        </w:tc>
        <w:tc>
          <w:tcPr>
            <w:tcW w:w="746" w:type="dxa"/>
            <w:tcBorders>
              <w:top w:val="single" w:sz="4" w:space="0" w:color="BFBFBF"/>
              <w:bottom w:val="single" w:sz="4" w:space="0" w:color="BFBFBF"/>
            </w:tcBorders>
            <w:shd w:val="clear" w:color="auto" w:fill="auto"/>
            <w:noWrap/>
            <w:vAlign w:val="center"/>
            <w:hideMark/>
          </w:tcPr>
          <w:p w14:paraId="041BDA80"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14%</w:t>
            </w:r>
          </w:p>
        </w:tc>
      </w:tr>
      <w:tr w:rsidR="008109F6" w:rsidRPr="0022201D" w14:paraId="6B84D961"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22F718BC"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ethnic</w:t>
            </w:r>
            <w:proofErr w:type="gramEnd"/>
            <w:r w:rsidRPr="00100B72">
              <w:rPr>
                <w:rFonts w:ascii="Verdana" w:hAnsi="Verdana"/>
                <w:sz w:val="18"/>
                <w:szCs w:val="20"/>
                <w:lang w:val="en-GB"/>
              </w:rPr>
              <w:t xml:space="preserve"> minorities</w:t>
            </w:r>
          </w:p>
        </w:tc>
        <w:tc>
          <w:tcPr>
            <w:tcW w:w="886" w:type="dxa"/>
            <w:tcBorders>
              <w:top w:val="single" w:sz="4" w:space="0" w:color="BFBFBF"/>
              <w:bottom w:val="single" w:sz="4" w:space="0" w:color="BFBFBF"/>
            </w:tcBorders>
            <w:shd w:val="clear" w:color="auto" w:fill="auto"/>
            <w:noWrap/>
            <w:vAlign w:val="center"/>
            <w:hideMark/>
          </w:tcPr>
          <w:p w14:paraId="7C7C9AE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27</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5350132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9%</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41FC44BE"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combining</w:t>
            </w:r>
            <w:proofErr w:type="gramEnd"/>
            <w:r w:rsidRPr="00100B72">
              <w:rPr>
                <w:rFonts w:ascii="Verdana" w:hAnsi="Verdana"/>
                <w:sz w:val="18"/>
                <w:szCs w:val="20"/>
                <w:lang w:val="en-GB"/>
              </w:rPr>
              <w:t xml:space="preserve"> study and work</w:t>
            </w:r>
          </w:p>
        </w:tc>
        <w:tc>
          <w:tcPr>
            <w:tcW w:w="886" w:type="dxa"/>
            <w:tcBorders>
              <w:top w:val="single" w:sz="4" w:space="0" w:color="BFBFBF"/>
              <w:bottom w:val="single" w:sz="4" w:space="0" w:color="BFBFBF"/>
            </w:tcBorders>
            <w:shd w:val="clear" w:color="auto" w:fill="auto"/>
            <w:noWrap/>
            <w:vAlign w:val="center"/>
            <w:hideMark/>
          </w:tcPr>
          <w:p w14:paraId="05E60AFD"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20</w:t>
            </w:r>
          </w:p>
        </w:tc>
        <w:tc>
          <w:tcPr>
            <w:tcW w:w="746" w:type="dxa"/>
            <w:tcBorders>
              <w:top w:val="single" w:sz="4" w:space="0" w:color="BFBFBF"/>
              <w:bottom w:val="single" w:sz="4" w:space="0" w:color="BFBFBF"/>
            </w:tcBorders>
            <w:shd w:val="clear" w:color="auto" w:fill="auto"/>
            <w:noWrap/>
            <w:vAlign w:val="center"/>
            <w:hideMark/>
          </w:tcPr>
          <w:p w14:paraId="654036D8"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7%</w:t>
            </w:r>
          </w:p>
        </w:tc>
      </w:tr>
      <w:tr w:rsidR="008109F6" w:rsidRPr="0022201D" w14:paraId="4CF9B80C"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62944111"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from</w:t>
            </w:r>
            <w:proofErr w:type="gramEnd"/>
            <w:r w:rsidRPr="00100B72">
              <w:rPr>
                <w:rFonts w:ascii="Verdana" w:hAnsi="Verdana"/>
                <w:sz w:val="18"/>
                <w:szCs w:val="20"/>
                <w:lang w:val="en-GB"/>
              </w:rPr>
              <w:t xml:space="preserve"> lower socioeconomic backgrounds</w:t>
            </w:r>
          </w:p>
        </w:tc>
        <w:tc>
          <w:tcPr>
            <w:tcW w:w="886" w:type="dxa"/>
            <w:tcBorders>
              <w:top w:val="single" w:sz="4" w:space="0" w:color="BFBFBF"/>
              <w:bottom w:val="single" w:sz="4" w:space="0" w:color="BFBFBF"/>
            </w:tcBorders>
            <w:shd w:val="clear" w:color="auto" w:fill="auto"/>
            <w:noWrap/>
            <w:vAlign w:val="center"/>
            <w:hideMark/>
          </w:tcPr>
          <w:p w14:paraId="6C91197E"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67</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158BDB5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23%</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3169F65D"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lifelong</w:t>
            </w:r>
            <w:proofErr w:type="gramEnd"/>
            <w:r w:rsidRPr="00100B72">
              <w:rPr>
                <w:rFonts w:ascii="Verdana" w:hAnsi="Verdana"/>
                <w:sz w:val="18"/>
                <w:szCs w:val="20"/>
                <w:lang w:val="en-GB"/>
              </w:rPr>
              <w:t xml:space="preserve"> learning</w:t>
            </w:r>
          </w:p>
        </w:tc>
        <w:tc>
          <w:tcPr>
            <w:tcW w:w="886" w:type="dxa"/>
            <w:tcBorders>
              <w:top w:val="single" w:sz="4" w:space="0" w:color="BFBFBF"/>
              <w:bottom w:val="single" w:sz="4" w:space="0" w:color="BFBFBF"/>
            </w:tcBorders>
            <w:shd w:val="clear" w:color="auto" w:fill="auto"/>
            <w:noWrap/>
            <w:vAlign w:val="center"/>
            <w:hideMark/>
          </w:tcPr>
          <w:p w14:paraId="491D2740"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21</w:t>
            </w:r>
          </w:p>
        </w:tc>
        <w:tc>
          <w:tcPr>
            <w:tcW w:w="746" w:type="dxa"/>
            <w:tcBorders>
              <w:top w:val="single" w:sz="4" w:space="0" w:color="BFBFBF"/>
              <w:bottom w:val="single" w:sz="4" w:space="0" w:color="BFBFBF"/>
            </w:tcBorders>
            <w:shd w:val="clear" w:color="auto" w:fill="auto"/>
            <w:noWrap/>
            <w:vAlign w:val="center"/>
            <w:hideMark/>
          </w:tcPr>
          <w:p w14:paraId="7E77977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7%</w:t>
            </w:r>
          </w:p>
        </w:tc>
      </w:tr>
      <w:tr w:rsidR="008109F6" w:rsidRPr="0022201D" w14:paraId="0976AF6D"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231670B7"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from</w:t>
            </w:r>
            <w:proofErr w:type="gramEnd"/>
            <w:r w:rsidRPr="00100B72">
              <w:rPr>
                <w:rFonts w:ascii="Verdana" w:hAnsi="Verdana"/>
                <w:sz w:val="18"/>
                <w:szCs w:val="20"/>
                <w:lang w:val="en-GB"/>
              </w:rPr>
              <w:t xml:space="preserve"> migrant backgrounds</w:t>
            </w:r>
          </w:p>
        </w:tc>
        <w:tc>
          <w:tcPr>
            <w:tcW w:w="886" w:type="dxa"/>
            <w:tcBorders>
              <w:top w:val="single" w:sz="4" w:space="0" w:color="BFBFBF"/>
              <w:bottom w:val="single" w:sz="4" w:space="0" w:color="BFBFBF"/>
            </w:tcBorders>
            <w:shd w:val="clear" w:color="auto" w:fill="auto"/>
            <w:noWrap/>
            <w:vAlign w:val="center"/>
            <w:hideMark/>
          </w:tcPr>
          <w:p w14:paraId="2EEED37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39</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1B33D59A"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13%</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2E96261A"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international</w:t>
            </w:r>
            <w:proofErr w:type="gramEnd"/>
            <w:r w:rsidRPr="00100B72">
              <w:rPr>
                <w:rFonts w:ascii="Verdana" w:hAnsi="Verdana"/>
                <w:sz w:val="18"/>
                <w:szCs w:val="20"/>
                <w:lang w:val="en-GB"/>
              </w:rPr>
              <w:t xml:space="preserve"> mobility</w:t>
            </w:r>
          </w:p>
        </w:tc>
        <w:tc>
          <w:tcPr>
            <w:tcW w:w="886" w:type="dxa"/>
            <w:tcBorders>
              <w:top w:val="single" w:sz="4" w:space="0" w:color="BFBFBF"/>
              <w:bottom w:val="single" w:sz="4" w:space="0" w:color="BFBFBF"/>
            </w:tcBorders>
            <w:shd w:val="clear" w:color="auto" w:fill="auto"/>
            <w:noWrap/>
            <w:vAlign w:val="center"/>
            <w:hideMark/>
          </w:tcPr>
          <w:p w14:paraId="51406CEA"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12</w:t>
            </w:r>
          </w:p>
        </w:tc>
        <w:tc>
          <w:tcPr>
            <w:tcW w:w="746" w:type="dxa"/>
            <w:tcBorders>
              <w:top w:val="single" w:sz="4" w:space="0" w:color="BFBFBF"/>
              <w:bottom w:val="single" w:sz="4" w:space="0" w:color="BFBFBF"/>
            </w:tcBorders>
            <w:shd w:val="clear" w:color="auto" w:fill="auto"/>
            <w:noWrap/>
            <w:vAlign w:val="center"/>
            <w:hideMark/>
          </w:tcPr>
          <w:p w14:paraId="2F9F3310"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w:t>
            </w:r>
          </w:p>
        </w:tc>
      </w:tr>
      <w:tr w:rsidR="008109F6" w:rsidRPr="0022201D" w14:paraId="75809BF1"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2934AE6F"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from</w:t>
            </w:r>
            <w:proofErr w:type="gramEnd"/>
            <w:r w:rsidRPr="00100B72">
              <w:rPr>
                <w:rFonts w:ascii="Verdana" w:hAnsi="Verdana"/>
                <w:sz w:val="18"/>
                <w:szCs w:val="20"/>
                <w:lang w:val="en-GB"/>
              </w:rPr>
              <w:t xml:space="preserve"> rural or remote regions</w:t>
            </w:r>
          </w:p>
        </w:tc>
        <w:tc>
          <w:tcPr>
            <w:tcW w:w="886" w:type="dxa"/>
            <w:tcBorders>
              <w:top w:val="single" w:sz="4" w:space="0" w:color="BFBFBF"/>
              <w:bottom w:val="single" w:sz="4" w:space="0" w:color="BFBFBF"/>
            </w:tcBorders>
            <w:shd w:val="clear" w:color="auto" w:fill="auto"/>
            <w:noWrap/>
            <w:vAlign w:val="center"/>
            <w:hideMark/>
          </w:tcPr>
          <w:p w14:paraId="651496E3"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11</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61ED760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6DD4E1A6"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monitoring</w:t>
            </w:r>
            <w:proofErr w:type="gramEnd"/>
            <w:r w:rsidRPr="00100B72">
              <w:rPr>
                <w:rFonts w:ascii="Verdana" w:hAnsi="Verdana"/>
                <w:sz w:val="18"/>
                <w:szCs w:val="20"/>
                <w:lang w:val="en-GB"/>
              </w:rPr>
              <w:t xml:space="preserve"> and evaluation</w:t>
            </w:r>
          </w:p>
        </w:tc>
        <w:tc>
          <w:tcPr>
            <w:tcW w:w="886" w:type="dxa"/>
            <w:tcBorders>
              <w:top w:val="single" w:sz="4" w:space="0" w:color="BFBFBF"/>
              <w:bottom w:val="single" w:sz="4" w:space="0" w:color="BFBFBF"/>
            </w:tcBorders>
            <w:shd w:val="clear" w:color="auto" w:fill="auto"/>
            <w:noWrap/>
            <w:vAlign w:val="center"/>
            <w:hideMark/>
          </w:tcPr>
          <w:p w14:paraId="1AE17C9E"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28</w:t>
            </w:r>
          </w:p>
        </w:tc>
        <w:tc>
          <w:tcPr>
            <w:tcW w:w="746" w:type="dxa"/>
            <w:tcBorders>
              <w:top w:val="single" w:sz="4" w:space="0" w:color="BFBFBF"/>
              <w:bottom w:val="single" w:sz="4" w:space="0" w:color="BFBFBF"/>
            </w:tcBorders>
            <w:shd w:val="clear" w:color="auto" w:fill="auto"/>
            <w:noWrap/>
            <w:vAlign w:val="center"/>
            <w:hideMark/>
          </w:tcPr>
          <w:p w14:paraId="57766EAC"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10%</w:t>
            </w:r>
          </w:p>
        </w:tc>
      </w:tr>
      <w:tr w:rsidR="008109F6" w:rsidRPr="0022201D" w14:paraId="665E0B5A"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61EB561F"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international</w:t>
            </w:r>
            <w:proofErr w:type="gramEnd"/>
            <w:r w:rsidRPr="00100B72">
              <w:rPr>
                <w:rFonts w:ascii="Verdana" w:hAnsi="Verdana"/>
                <w:sz w:val="18"/>
                <w:szCs w:val="20"/>
                <w:lang w:val="en-GB"/>
              </w:rPr>
              <w:t xml:space="preserve"> students</w:t>
            </w:r>
          </w:p>
        </w:tc>
        <w:tc>
          <w:tcPr>
            <w:tcW w:w="886" w:type="dxa"/>
            <w:tcBorders>
              <w:top w:val="single" w:sz="4" w:space="0" w:color="BFBFBF"/>
              <w:bottom w:val="single" w:sz="4" w:space="0" w:color="BFBFBF"/>
            </w:tcBorders>
            <w:shd w:val="clear" w:color="auto" w:fill="auto"/>
            <w:noWrap/>
            <w:vAlign w:val="center"/>
            <w:hideMark/>
          </w:tcPr>
          <w:p w14:paraId="1C53E0E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23</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58E8624C"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8%</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660FF006"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student</w:t>
            </w:r>
            <w:proofErr w:type="gramEnd"/>
            <w:r w:rsidRPr="00100B72">
              <w:rPr>
                <w:rFonts w:ascii="Verdana" w:hAnsi="Verdana"/>
                <w:sz w:val="18"/>
                <w:szCs w:val="20"/>
                <w:lang w:val="en-GB"/>
              </w:rPr>
              <w:t xml:space="preserve"> support</w:t>
            </w:r>
          </w:p>
        </w:tc>
        <w:tc>
          <w:tcPr>
            <w:tcW w:w="886" w:type="dxa"/>
            <w:tcBorders>
              <w:top w:val="single" w:sz="4" w:space="0" w:color="BFBFBF"/>
              <w:bottom w:val="single" w:sz="4" w:space="0" w:color="BFBFBF"/>
            </w:tcBorders>
            <w:shd w:val="clear" w:color="auto" w:fill="auto"/>
            <w:noWrap/>
            <w:vAlign w:val="center"/>
            <w:hideMark/>
          </w:tcPr>
          <w:p w14:paraId="0C77FE09"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134</w:t>
            </w:r>
          </w:p>
        </w:tc>
        <w:tc>
          <w:tcPr>
            <w:tcW w:w="746" w:type="dxa"/>
            <w:tcBorders>
              <w:top w:val="single" w:sz="4" w:space="0" w:color="BFBFBF"/>
              <w:bottom w:val="single" w:sz="4" w:space="0" w:color="BFBFBF"/>
            </w:tcBorders>
            <w:shd w:val="clear" w:color="auto" w:fill="auto"/>
            <w:noWrap/>
            <w:vAlign w:val="center"/>
            <w:hideMark/>
          </w:tcPr>
          <w:p w14:paraId="7259494D"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46%</w:t>
            </w:r>
          </w:p>
        </w:tc>
      </w:tr>
      <w:tr w:rsidR="008109F6" w:rsidRPr="0022201D" w14:paraId="1DB9BBE4"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40E6699E"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mature</w:t>
            </w:r>
            <w:proofErr w:type="gramEnd"/>
            <w:r w:rsidRPr="00100B72">
              <w:rPr>
                <w:rFonts w:ascii="Verdana" w:hAnsi="Verdana"/>
                <w:sz w:val="18"/>
                <w:szCs w:val="20"/>
                <w:lang w:val="en-GB"/>
              </w:rPr>
              <w:t xml:space="preserve"> students</w:t>
            </w:r>
          </w:p>
        </w:tc>
        <w:tc>
          <w:tcPr>
            <w:tcW w:w="886" w:type="dxa"/>
            <w:tcBorders>
              <w:top w:val="single" w:sz="4" w:space="0" w:color="BFBFBF"/>
              <w:bottom w:val="single" w:sz="4" w:space="0" w:color="BFBFBF"/>
            </w:tcBorders>
            <w:shd w:val="clear" w:color="auto" w:fill="auto"/>
            <w:noWrap/>
            <w:vAlign w:val="center"/>
            <w:hideMark/>
          </w:tcPr>
          <w:p w14:paraId="626E97C8"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23</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47C1B523"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8%</w:t>
            </w:r>
          </w:p>
        </w:tc>
        <w:tc>
          <w:tcPr>
            <w:tcW w:w="2834" w:type="dxa"/>
            <w:tcBorders>
              <w:top w:val="single" w:sz="4" w:space="0" w:color="BFBFBF"/>
              <w:left w:val="single" w:sz="4" w:space="0" w:color="auto"/>
              <w:bottom w:val="single" w:sz="4" w:space="0" w:color="BFBFBF"/>
            </w:tcBorders>
            <w:shd w:val="clear" w:color="auto" w:fill="auto"/>
            <w:noWrap/>
            <w:vAlign w:val="center"/>
            <w:hideMark/>
          </w:tcPr>
          <w:p w14:paraId="6D4EE59D" w14:textId="77777777" w:rsidR="008109F6" w:rsidRPr="00100B72" w:rsidRDefault="008109F6" w:rsidP="008109F6">
            <w:pPr>
              <w:keepNext/>
              <w:keepLines/>
              <w:spacing w:beforeLines="20" w:before="48" w:afterLines="20" w:after="48"/>
              <w:rPr>
                <w:rFonts w:ascii="Verdana" w:hAnsi="Verdana"/>
                <w:sz w:val="18"/>
                <w:szCs w:val="20"/>
                <w:lang w:val="en-GB"/>
              </w:rPr>
            </w:pPr>
            <w:r w:rsidRPr="00100B72">
              <w:rPr>
                <w:rFonts w:ascii="Verdana" w:hAnsi="Verdana"/>
                <w:sz w:val="18"/>
                <w:szCs w:val="20"/>
                <w:lang w:val="en-GB"/>
              </w:rPr>
              <w:t>Other</w:t>
            </w:r>
          </w:p>
        </w:tc>
        <w:tc>
          <w:tcPr>
            <w:tcW w:w="886" w:type="dxa"/>
            <w:tcBorders>
              <w:top w:val="single" w:sz="4" w:space="0" w:color="BFBFBF"/>
              <w:bottom w:val="single" w:sz="4" w:space="0" w:color="BFBFBF"/>
            </w:tcBorders>
            <w:shd w:val="clear" w:color="auto" w:fill="auto"/>
            <w:noWrap/>
            <w:vAlign w:val="center"/>
            <w:hideMark/>
          </w:tcPr>
          <w:p w14:paraId="06CBB97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29</w:t>
            </w:r>
          </w:p>
        </w:tc>
        <w:tc>
          <w:tcPr>
            <w:tcW w:w="746" w:type="dxa"/>
            <w:tcBorders>
              <w:top w:val="single" w:sz="4" w:space="0" w:color="BFBFBF"/>
              <w:bottom w:val="single" w:sz="4" w:space="0" w:color="BFBFBF"/>
            </w:tcBorders>
            <w:shd w:val="clear" w:color="auto" w:fill="auto"/>
            <w:noWrap/>
            <w:vAlign w:val="center"/>
            <w:hideMark/>
          </w:tcPr>
          <w:p w14:paraId="5095CBD6"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10%</w:t>
            </w:r>
          </w:p>
        </w:tc>
      </w:tr>
      <w:tr w:rsidR="008109F6" w:rsidRPr="0022201D" w14:paraId="7BC08011"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7969E9EC"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orphans</w:t>
            </w:r>
            <w:proofErr w:type="gramEnd"/>
          </w:p>
        </w:tc>
        <w:tc>
          <w:tcPr>
            <w:tcW w:w="886" w:type="dxa"/>
            <w:tcBorders>
              <w:top w:val="single" w:sz="4" w:space="0" w:color="BFBFBF"/>
              <w:bottom w:val="single" w:sz="4" w:space="0" w:color="BFBFBF"/>
            </w:tcBorders>
            <w:shd w:val="clear" w:color="auto" w:fill="auto"/>
            <w:noWrap/>
            <w:vAlign w:val="center"/>
            <w:hideMark/>
          </w:tcPr>
          <w:p w14:paraId="6F40099A"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12</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06BD575A"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w:t>
            </w:r>
          </w:p>
        </w:tc>
        <w:tc>
          <w:tcPr>
            <w:tcW w:w="2834" w:type="dxa"/>
            <w:tcBorders>
              <w:top w:val="single" w:sz="4" w:space="0" w:color="BFBFBF"/>
              <w:left w:val="single" w:sz="4" w:space="0" w:color="auto"/>
              <w:bottom w:val="single" w:sz="4" w:space="0" w:color="auto"/>
            </w:tcBorders>
            <w:shd w:val="clear" w:color="auto" w:fill="auto"/>
            <w:noWrap/>
            <w:vAlign w:val="center"/>
            <w:hideMark/>
          </w:tcPr>
          <w:p w14:paraId="28CCDBA8" w14:textId="77777777" w:rsidR="008109F6" w:rsidRPr="00100B72" w:rsidRDefault="008109F6" w:rsidP="008109F6">
            <w:pPr>
              <w:keepNext/>
              <w:keepLines/>
              <w:spacing w:beforeLines="20" w:before="48" w:afterLines="20" w:after="48"/>
              <w:rPr>
                <w:rFonts w:ascii="Verdana" w:hAnsi="Verdana"/>
                <w:sz w:val="18"/>
                <w:szCs w:val="20"/>
                <w:lang w:val="en-GB"/>
              </w:rPr>
            </w:pPr>
          </w:p>
        </w:tc>
        <w:tc>
          <w:tcPr>
            <w:tcW w:w="886" w:type="dxa"/>
            <w:tcBorders>
              <w:top w:val="single" w:sz="4" w:space="0" w:color="BFBFBF"/>
              <w:bottom w:val="single" w:sz="4" w:space="0" w:color="auto"/>
            </w:tcBorders>
            <w:shd w:val="clear" w:color="auto" w:fill="auto"/>
            <w:noWrap/>
            <w:vAlign w:val="center"/>
            <w:hideMark/>
          </w:tcPr>
          <w:p w14:paraId="56138C34" w14:textId="77777777" w:rsidR="008109F6" w:rsidRPr="00100B72" w:rsidRDefault="008109F6" w:rsidP="008109F6">
            <w:pPr>
              <w:keepNext/>
              <w:keepLines/>
              <w:spacing w:beforeLines="20" w:before="48" w:afterLines="20" w:after="48"/>
              <w:jc w:val="center"/>
              <w:rPr>
                <w:rFonts w:ascii="Verdana" w:hAnsi="Verdana"/>
                <w:sz w:val="18"/>
                <w:szCs w:val="20"/>
                <w:lang w:val="en-GB"/>
              </w:rPr>
            </w:pPr>
          </w:p>
        </w:tc>
        <w:tc>
          <w:tcPr>
            <w:tcW w:w="746" w:type="dxa"/>
            <w:tcBorders>
              <w:top w:val="single" w:sz="4" w:space="0" w:color="BFBFBF"/>
              <w:bottom w:val="single" w:sz="4" w:space="0" w:color="auto"/>
            </w:tcBorders>
            <w:shd w:val="clear" w:color="auto" w:fill="auto"/>
            <w:noWrap/>
            <w:vAlign w:val="center"/>
            <w:hideMark/>
          </w:tcPr>
          <w:p w14:paraId="46F68E5E" w14:textId="77777777" w:rsidR="008109F6" w:rsidRPr="00100B72" w:rsidRDefault="008109F6" w:rsidP="008109F6">
            <w:pPr>
              <w:keepNext/>
              <w:keepLines/>
              <w:spacing w:beforeLines="20" w:before="48" w:afterLines="20" w:after="48"/>
              <w:jc w:val="center"/>
              <w:rPr>
                <w:rFonts w:ascii="Verdana" w:hAnsi="Verdana"/>
                <w:sz w:val="18"/>
                <w:szCs w:val="20"/>
                <w:lang w:val="en-GB"/>
              </w:rPr>
            </w:pPr>
          </w:p>
        </w:tc>
      </w:tr>
      <w:tr w:rsidR="008109F6" w:rsidRPr="0022201D" w14:paraId="7A6D6DE6"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22FDF6CD"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prospective</w:t>
            </w:r>
            <w:proofErr w:type="gramEnd"/>
            <w:r w:rsidRPr="00100B72">
              <w:rPr>
                <w:rFonts w:ascii="Verdana" w:hAnsi="Verdana"/>
                <w:sz w:val="18"/>
                <w:szCs w:val="20"/>
                <w:lang w:val="en-GB"/>
              </w:rPr>
              <w:t xml:space="preserve"> students</w:t>
            </w:r>
          </w:p>
        </w:tc>
        <w:tc>
          <w:tcPr>
            <w:tcW w:w="886" w:type="dxa"/>
            <w:tcBorders>
              <w:top w:val="single" w:sz="4" w:space="0" w:color="BFBFBF"/>
              <w:bottom w:val="single" w:sz="4" w:space="0" w:color="BFBFBF"/>
            </w:tcBorders>
            <w:shd w:val="clear" w:color="auto" w:fill="auto"/>
            <w:noWrap/>
            <w:vAlign w:val="center"/>
            <w:hideMark/>
          </w:tcPr>
          <w:p w14:paraId="03F1DC3C"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57</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709AA164"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20%</w:t>
            </w:r>
          </w:p>
        </w:tc>
        <w:tc>
          <w:tcPr>
            <w:tcW w:w="2834" w:type="dxa"/>
            <w:tcBorders>
              <w:top w:val="single" w:sz="4" w:space="0" w:color="auto"/>
              <w:left w:val="single" w:sz="4" w:space="0" w:color="auto"/>
              <w:bottom w:val="single" w:sz="4" w:space="0" w:color="auto"/>
            </w:tcBorders>
            <w:shd w:val="clear" w:color="auto" w:fill="auto"/>
            <w:noWrap/>
            <w:vAlign w:val="center"/>
            <w:hideMark/>
          </w:tcPr>
          <w:p w14:paraId="772E70FC" w14:textId="77777777" w:rsidR="008109F6" w:rsidRPr="00100B72" w:rsidRDefault="008109F6" w:rsidP="008109F6">
            <w:pPr>
              <w:keepNext/>
              <w:keepLines/>
              <w:spacing w:beforeLines="20" w:before="48" w:afterLines="20" w:after="48"/>
              <w:rPr>
                <w:rFonts w:ascii="Verdana" w:hAnsi="Verdana"/>
                <w:b/>
                <w:bCs/>
                <w:sz w:val="18"/>
                <w:szCs w:val="20"/>
                <w:lang w:val="en-GB"/>
              </w:rPr>
            </w:pPr>
            <w:r w:rsidRPr="00100B72">
              <w:rPr>
                <w:rFonts w:ascii="Verdana" w:hAnsi="Verdana"/>
                <w:b/>
                <w:bCs/>
                <w:sz w:val="18"/>
                <w:szCs w:val="20"/>
                <w:lang w:val="en-GB"/>
              </w:rPr>
              <w:t>TYPE OF MEASURE</w:t>
            </w:r>
          </w:p>
        </w:tc>
        <w:tc>
          <w:tcPr>
            <w:tcW w:w="886" w:type="dxa"/>
            <w:tcBorders>
              <w:top w:val="single" w:sz="4" w:space="0" w:color="auto"/>
              <w:bottom w:val="single" w:sz="4" w:space="0" w:color="auto"/>
            </w:tcBorders>
            <w:shd w:val="clear" w:color="auto" w:fill="auto"/>
            <w:noWrap/>
            <w:vAlign w:val="center"/>
            <w:hideMark/>
          </w:tcPr>
          <w:p w14:paraId="4BB176E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c>
          <w:tcPr>
            <w:tcW w:w="746" w:type="dxa"/>
            <w:tcBorders>
              <w:top w:val="single" w:sz="4" w:space="0" w:color="auto"/>
              <w:bottom w:val="single" w:sz="4" w:space="0" w:color="auto"/>
            </w:tcBorders>
            <w:shd w:val="clear" w:color="auto" w:fill="auto"/>
            <w:noWrap/>
            <w:vAlign w:val="center"/>
            <w:hideMark/>
          </w:tcPr>
          <w:p w14:paraId="722B1910"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r>
      <w:tr w:rsidR="008109F6" w:rsidRPr="0022201D" w14:paraId="4C908E19"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531E10C2"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with</w:t>
            </w:r>
            <w:proofErr w:type="gramEnd"/>
            <w:r w:rsidRPr="00100B72">
              <w:rPr>
                <w:rFonts w:ascii="Verdana" w:hAnsi="Verdana"/>
                <w:sz w:val="18"/>
                <w:szCs w:val="20"/>
                <w:lang w:val="en-GB"/>
              </w:rPr>
              <w:t xml:space="preserve"> children</w:t>
            </w:r>
          </w:p>
        </w:tc>
        <w:tc>
          <w:tcPr>
            <w:tcW w:w="886" w:type="dxa"/>
            <w:tcBorders>
              <w:top w:val="single" w:sz="4" w:space="0" w:color="BFBFBF"/>
              <w:bottom w:val="single" w:sz="4" w:space="0" w:color="BFBFBF"/>
            </w:tcBorders>
            <w:shd w:val="clear" w:color="auto" w:fill="auto"/>
            <w:noWrap/>
            <w:vAlign w:val="center"/>
            <w:hideMark/>
          </w:tcPr>
          <w:p w14:paraId="4375B439"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34</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158FCF1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12%</w:t>
            </w:r>
          </w:p>
        </w:tc>
        <w:tc>
          <w:tcPr>
            <w:tcW w:w="2834" w:type="dxa"/>
            <w:tcBorders>
              <w:top w:val="single" w:sz="4" w:space="0" w:color="auto"/>
              <w:left w:val="single" w:sz="4" w:space="0" w:color="auto"/>
              <w:bottom w:val="single" w:sz="4" w:space="0" w:color="BFBFBF"/>
            </w:tcBorders>
            <w:shd w:val="clear" w:color="auto" w:fill="auto"/>
            <w:noWrap/>
            <w:vAlign w:val="center"/>
          </w:tcPr>
          <w:p w14:paraId="49078948"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student</w:t>
            </w:r>
            <w:proofErr w:type="gramEnd"/>
            <w:r w:rsidRPr="00100B72">
              <w:rPr>
                <w:rFonts w:ascii="Verdana" w:hAnsi="Verdana"/>
                <w:sz w:val="18"/>
                <w:szCs w:val="20"/>
                <w:lang w:val="en-GB"/>
              </w:rPr>
              <w:t xml:space="preserve"> financial support</w:t>
            </w:r>
          </w:p>
        </w:tc>
        <w:tc>
          <w:tcPr>
            <w:tcW w:w="886" w:type="dxa"/>
            <w:tcBorders>
              <w:top w:val="single" w:sz="4" w:space="0" w:color="auto"/>
              <w:bottom w:val="single" w:sz="4" w:space="0" w:color="BFBFBF"/>
            </w:tcBorders>
            <w:shd w:val="clear" w:color="auto" w:fill="auto"/>
            <w:noWrap/>
            <w:vAlign w:val="center"/>
          </w:tcPr>
          <w:p w14:paraId="412A5B49"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87</w:t>
            </w:r>
          </w:p>
        </w:tc>
        <w:tc>
          <w:tcPr>
            <w:tcW w:w="746" w:type="dxa"/>
            <w:tcBorders>
              <w:top w:val="single" w:sz="4" w:space="0" w:color="auto"/>
              <w:bottom w:val="single" w:sz="4" w:space="0" w:color="BFBFBF"/>
            </w:tcBorders>
            <w:shd w:val="clear" w:color="auto" w:fill="auto"/>
            <w:noWrap/>
            <w:vAlign w:val="center"/>
          </w:tcPr>
          <w:p w14:paraId="10FCC7FA"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30%</w:t>
            </w:r>
          </w:p>
        </w:tc>
      </w:tr>
      <w:tr w:rsidR="008109F6" w:rsidRPr="0022201D" w14:paraId="1540D631"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60A82B79"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with</w:t>
            </w:r>
            <w:proofErr w:type="gramEnd"/>
            <w:r w:rsidRPr="00100B72">
              <w:rPr>
                <w:rFonts w:ascii="Verdana" w:hAnsi="Verdana"/>
                <w:sz w:val="18"/>
                <w:szCs w:val="20"/>
                <w:lang w:val="en-GB"/>
              </w:rPr>
              <w:t xml:space="preserve"> disabilities</w:t>
            </w:r>
          </w:p>
        </w:tc>
        <w:tc>
          <w:tcPr>
            <w:tcW w:w="886" w:type="dxa"/>
            <w:tcBorders>
              <w:top w:val="single" w:sz="4" w:space="0" w:color="BFBFBF"/>
              <w:bottom w:val="single" w:sz="4" w:space="0" w:color="BFBFBF"/>
            </w:tcBorders>
            <w:shd w:val="clear" w:color="auto" w:fill="auto"/>
            <w:noWrap/>
            <w:vAlign w:val="center"/>
            <w:hideMark/>
          </w:tcPr>
          <w:p w14:paraId="2E98AB5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69</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31F29934"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24%</w:t>
            </w:r>
          </w:p>
        </w:tc>
        <w:tc>
          <w:tcPr>
            <w:tcW w:w="2834" w:type="dxa"/>
            <w:tcBorders>
              <w:top w:val="single" w:sz="4" w:space="0" w:color="BFBFBF"/>
              <w:left w:val="single" w:sz="4" w:space="0" w:color="auto"/>
              <w:bottom w:val="single" w:sz="4" w:space="0" w:color="BFBFBF"/>
            </w:tcBorders>
            <w:shd w:val="clear" w:color="auto" w:fill="auto"/>
            <w:noWrap/>
            <w:vAlign w:val="center"/>
          </w:tcPr>
          <w:p w14:paraId="42EC1CE2"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funding</w:t>
            </w:r>
            <w:proofErr w:type="gramEnd"/>
            <w:r w:rsidRPr="00100B72">
              <w:rPr>
                <w:rFonts w:ascii="Verdana" w:hAnsi="Verdana"/>
                <w:sz w:val="18"/>
                <w:szCs w:val="20"/>
                <w:lang w:val="en-GB"/>
              </w:rPr>
              <w:t xml:space="preserve"> incentives for institutions</w:t>
            </w:r>
          </w:p>
        </w:tc>
        <w:tc>
          <w:tcPr>
            <w:tcW w:w="886" w:type="dxa"/>
            <w:tcBorders>
              <w:top w:val="single" w:sz="4" w:space="0" w:color="BFBFBF"/>
              <w:bottom w:val="single" w:sz="4" w:space="0" w:color="BFBFBF"/>
            </w:tcBorders>
            <w:shd w:val="clear" w:color="auto" w:fill="auto"/>
            <w:noWrap/>
            <w:vAlign w:val="center"/>
          </w:tcPr>
          <w:p w14:paraId="771CDE6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19</w:t>
            </w:r>
          </w:p>
        </w:tc>
        <w:tc>
          <w:tcPr>
            <w:tcW w:w="746" w:type="dxa"/>
            <w:tcBorders>
              <w:top w:val="single" w:sz="4" w:space="0" w:color="BFBFBF"/>
              <w:bottom w:val="single" w:sz="4" w:space="0" w:color="BFBFBF"/>
            </w:tcBorders>
            <w:shd w:val="clear" w:color="auto" w:fill="auto"/>
            <w:noWrap/>
            <w:vAlign w:val="center"/>
          </w:tcPr>
          <w:p w14:paraId="298CAFC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7%</w:t>
            </w:r>
          </w:p>
        </w:tc>
      </w:tr>
      <w:tr w:rsidR="008109F6" w:rsidRPr="0022201D" w14:paraId="10C3758B"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7365C84D"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with</w:t>
            </w:r>
            <w:proofErr w:type="gramEnd"/>
            <w:r w:rsidRPr="00100B72">
              <w:rPr>
                <w:rFonts w:ascii="Verdana" w:hAnsi="Verdana"/>
                <w:sz w:val="18"/>
                <w:szCs w:val="20"/>
                <w:lang w:val="en-GB"/>
              </w:rPr>
              <w:t xml:space="preserve"> siblings</w:t>
            </w:r>
          </w:p>
        </w:tc>
        <w:tc>
          <w:tcPr>
            <w:tcW w:w="886" w:type="dxa"/>
            <w:tcBorders>
              <w:top w:val="single" w:sz="4" w:space="0" w:color="BFBFBF"/>
              <w:bottom w:val="single" w:sz="4" w:space="0" w:color="BFBFBF"/>
            </w:tcBorders>
            <w:shd w:val="clear" w:color="auto" w:fill="auto"/>
            <w:noWrap/>
            <w:vAlign w:val="center"/>
            <w:hideMark/>
          </w:tcPr>
          <w:p w14:paraId="22C21C26"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5</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0BBEA01F"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w:t>
            </w:r>
          </w:p>
        </w:tc>
        <w:tc>
          <w:tcPr>
            <w:tcW w:w="2834" w:type="dxa"/>
            <w:tcBorders>
              <w:top w:val="single" w:sz="4" w:space="0" w:color="BFBFBF"/>
              <w:left w:val="single" w:sz="4" w:space="0" w:color="auto"/>
              <w:bottom w:val="single" w:sz="4" w:space="0" w:color="BFBFBF"/>
            </w:tcBorders>
            <w:shd w:val="clear" w:color="auto" w:fill="auto"/>
            <w:noWrap/>
            <w:vAlign w:val="center"/>
          </w:tcPr>
          <w:p w14:paraId="2B116F39"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counselling</w:t>
            </w:r>
            <w:proofErr w:type="gramEnd"/>
            <w:r w:rsidRPr="00100B72">
              <w:rPr>
                <w:rFonts w:ascii="Verdana" w:hAnsi="Verdana"/>
                <w:sz w:val="18"/>
                <w:szCs w:val="20"/>
                <w:lang w:val="en-GB"/>
              </w:rPr>
              <w:t xml:space="preserve"> and support services</w:t>
            </w:r>
          </w:p>
        </w:tc>
        <w:tc>
          <w:tcPr>
            <w:tcW w:w="886" w:type="dxa"/>
            <w:tcBorders>
              <w:top w:val="single" w:sz="4" w:space="0" w:color="BFBFBF"/>
              <w:bottom w:val="single" w:sz="4" w:space="0" w:color="BFBFBF"/>
            </w:tcBorders>
            <w:shd w:val="clear" w:color="auto" w:fill="auto"/>
            <w:noWrap/>
            <w:vAlign w:val="center"/>
          </w:tcPr>
          <w:p w14:paraId="56E4ACC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102</w:t>
            </w:r>
          </w:p>
        </w:tc>
        <w:tc>
          <w:tcPr>
            <w:tcW w:w="746" w:type="dxa"/>
            <w:tcBorders>
              <w:top w:val="single" w:sz="4" w:space="0" w:color="BFBFBF"/>
              <w:bottom w:val="single" w:sz="4" w:space="0" w:color="BFBFBF"/>
            </w:tcBorders>
            <w:shd w:val="clear" w:color="auto" w:fill="auto"/>
            <w:noWrap/>
            <w:vAlign w:val="center"/>
          </w:tcPr>
          <w:p w14:paraId="1DC45A28"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35%</w:t>
            </w:r>
          </w:p>
        </w:tc>
      </w:tr>
      <w:tr w:rsidR="008109F6" w:rsidRPr="0022201D" w14:paraId="75280F93" w14:textId="77777777" w:rsidTr="008109F6">
        <w:trPr>
          <w:trHeight w:val="600"/>
        </w:trPr>
        <w:tc>
          <w:tcPr>
            <w:tcW w:w="2834" w:type="dxa"/>
            <w:tcBorders>
              <w:top w:val="single" w:sz="4" w:space="0" w:color="BFBFBF"/>
              <w:bottom w:val="single" w:sz="4" w:space="0" w:color="BFBFBF"/>
            </w:tcBorders>
            <w:shd w:val="clear" w:color="auto" w:fill="auto"/>
            <w:vAlign w:val="center"/>
            <w:hideMark/>
          </w:tcPr>
          <w:p w14:paraId="35811423"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without</w:t>
            </w:r>
            <w:proofErr w:type="gramEnd"/>
            <w:r w:rsidRPr="00100B72">
              <w:rPr>
                <w:rFonts w:ascii="Verdana" w:hAnsi="Verdana"/>
                <w:sz w:val="18"/>
                <w:szCs w:val="20"/>
                <w:lang w:val="en-GB"/>
              </w:rPr>
              <w:t xml:space="preserve"> the normally required entrance qualifications</w:t>
            </w:r>
          </w:p>
        </w:tc>
        <w:tc>
          <w:tcPr>
            <w:tcW w:w="886" w:type="dxa"/>
            <w:tcBorders>
              <w:top w:val="single" w:sz="4" w:space="0" w:color="BFBFBF"/>
              <w:bottom w:val="single" w:sz="4" w:space="0" w:color="BFBFBF"/>
            </w:tcBorders>
            <w:shd w:val="clear" w:color="auto" w:fill="auto"/>
            <w:noWrap/>
            <w:vAlign w:val="center"/>
            <w:hideMark/>
          </w:tcPr>
          <w:p w14:paraId="33EE56DC"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21</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59870F16"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7%</w:t>
            </w:r>
          </w:p>
        </w:tc>
        <w:tc>
          <w:tcPr>
            <w:tcW w:w="2834" w:type="dxa"/>
            <w:tcBorders>
              <w:top w:val="single" w:sz="4" w:space="0" w:color="BFBFBF"/>
              <w:left w:val="single" w:sz="4" w:space="0" w:color="auto"/>
              <w:bottom w:val="single" w:sz="4" w:space="0" w:color="BFBFBF"/>
            </w:tcBorders>
            <w:shd w:val="clear" w:color="auto" w:fill="auto"/>
            <w:noWrap/>
            <w:vAlign w:val="center"/>
          </w:tcPr>
          <w:p w14:paraId="2D5A9EAD"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teaching</w:t>
            </w:r>
            <w:proofErr w:type="gramEnd"/>
            <w:r w:rsidRPr="00100B72">
              <w:rPr>
                <w:rFonts w:ascii="Verdana" w:hAnsi="Verdana"/>
                <w:sz w:val="18"/>
                <w:szCs w:val="20"/>
                <w:lang w:val="en-GB"/>
              </w:rPr>
              <w:t xml:space="preserve"> and learning</w:t>
            </w:r>
          </w:p>
        </w:tc>
        <w:tc>
          <w:tcPr>
            <w:tcW w:w="886" w:type="dxa"/>
            <w:tcBorders>
              <w:top w:val="single" w:sz="4" w:space="0" w:color="BFBFBF"/>
              <w:bottom w:val="single" w:sz="4" w:space="0" w:color="BFBFBF"/>
            </w:tcBorders>
            <w:shd w:val="clear" w:color="auto" w:fill="auto"/>
            <w:noWrap/>
            <w:vAlign w:val="center"/>
          </w:tcPr>
          <w:p w14:paraId="08862AF8"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28</w:t>
            </w:r>
          </w:p>
        </w:tc>
        <w:tc>
          <w:tcPr>
            <w:tcW w:w="746" w:type="dxa"/>
            <w:tcBorders>
              <w:top w:val="single" w:sz="4" w:space="0" w:color="BFBFBF"/>
              <w:bottom w:val="single" w:sz="4" w:space="0" w:color="BFBFBF"/>
            </w:tcBorders>
            <w:shd w:val="clear" w:color="auto" w:fill="auto"/>
            <w:noWrap/>
            <w:vAlign w:val="center"/>
          </w:tcPr>
          <w:p w14:paraId="1E2B1096"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10%</w:t>
            </w:r>
          </w:p>
        </w:tc>
      </w:tr>
      <w:tr w:rsidR="008109F6" w:rsidRPr="0022201D" w14:paraId="31618A96"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1CEA6660"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working</w:t>
            </w:r>
            <w:proofErr w:type="gramEnd"/>
            <w:r w:rsidRPr="00100B72">
              <w:rPr>
                <w:rFonts w:ascii="Verdana" w:hAnsi="Verdana"/>
                <w:sz w:val="18"/>
                <w:szCs w:val="20"/>
                <w:lang w:val="en-GB"/>
              </w:rPr>
              <w:t xml:space="preserve"> students</w:t>
            </w:r>
          </w:p>
        </w:tc>
        <w:tc>
          <w:tcPr>
            <w:tcW w:w="886" w:type="dxa"/>
            <w:tcBorders>
              <w:top w:val="single" w:sz="4" w:space="0" w:color="BFBFBF"/>
              <w:bottom w:val="single" w:sz="4" w:space="0" w:color="BFBFBF"/>
            </w:tcBorders>
            <w:shd w:val="clear" w:color="auto" w:fill="auto"/>
            <w:noWrap/>
            <w:vAlign w:val="center"/>
            <w:hideMark/>
          </w:tcPr>
          <w:p w14:paraId="676640F9"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33</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58D770F7"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11%</w:t>
            </w:r>
          </w:p>
        </w:tc>
        <w:tc>
          <w:tcPr>
            <w:tcW w:w="2834" w:type="dxa"/>
            <w:tcBorders>
              <w:top w:val="single" w:sz="4" w:space="0" w:color="BFBFBF"/>
              <w:left w:val="single" w:sz="4" w:space="0" w:color="auto"/>
              <w:bottom w:val="single" w:sz="4" w:space="0" w:color="BFBFBF"/>
            </w:tcBorders>
            <w:shd w:val="clear" w:color="auto" w:fill="auto"/>
            <w:noWrap/>
            <w:vAlign w:val="center"/>
          </w:tcPr>
          <w:p w14:paraId="5C158BC5"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information</w:t>
            </w:r>
            <w:proofErr w:type="gramEnd"/>
            <w:r w:rsidRPr="00100B72">
              <w:rPr>
                <w:rFonts w:ascii="Verdana" w:hAnsi="Verdana"/>
                <w:sz w:val="18"/>
                <w:szCs w:val="20"/>
                <w:lang w:val="en-GB"/>
              </w:rPr>
              <w:t xml:space="preserve"> campaigns</w:t>
            </w:r>
          </w:p>
        </w:tc>
        <w:tc>
          <w:tcPr>
            <w:tcW w:w="886" w:type="dxa"/>
            <w:tcBorders>
              <w:top w:val="single" w:sz="4" w:space="0" w:color="BFBFBF"/>
              <w:bottom w:val="single" w:sz="4" w:space="0" w:color="BFBFBF"/>
            </w:tcBorders>
            <w:shd w:val="clear" w:color="auto" w:fill="auto"/>
            <w:noWrap/>
            <w:vAlign w:val="center"/>
          </w:tcPr>
          <w:p w14:paraId="419FEED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40</w:t>
            </w:r>
          </w:p>
        </w:tc>
        <w:tc>
          <w:tcPr>
            <w:tcW w:w="746" w:type="dxa"/>
            <w:tcBorders>
              <w:top w:val="single" w:sz="4" w:space="0" w:color="BFBFBF"/>
              <w:bottom w:val="single" w:sz="4" w:space="0" w:color="BFBFBF"/>
            </w:tcBorders>
            <w:shd w:val="clear" w:color="auto" w:fill="auto"/>
            <w:noWrap/>
            <w:vAlign w:val="center"/>
          </w:tcPr>
          <w:p w14:paraId="2F999122"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14%</w:t>
            </w:r>
          </w:p>
        </w:tc>
      </w:tr>
      <w:tr w:rsidR="008109F6" w:rsidRPr="0022201D" w14:paraId="5A07E9C6"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060E700B"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other</w:t>
            </w:r>
            <w:proofErr w:type="gramEnd"/>
          </w:p>
        </w:tc>
        <w:tc>
          <w:tcPr>
            <w:tcW w:w="886" w:type="dxa"/>
            <w:tcBorders>
              <w:top w:val="single" w:sz="4" w:space="0" w:color="BFBFBF"/>
              <w:bottom w:val="single" w:sz="4" w:space="0" w:color="BFBFBF"/>
            </w:tcBorders>
            <w:shd w:val="clear" w:color="auto" w:fill="auto"/>
            <w:noWrap/>
            <w:vAlign w:val="center"/>
            <w:hideMark/>
          </w:tcPr>
          <w:p w14:paraId="72ECF769"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15</w:t>
            </w: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07DC77CD"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5%</w:t>
            </w:r>
          </w:p>
        </w:tc>
        <w:tc>
          <w:tcPr>
            <w:tcW w:w="2834" w:type="dxa"/>
            <w:tcBorders>
              <w:top w:val="single" w:sz="4" w:space="0" w:color="BFBFBF"/>
              <w:left w:val="single" w:sz="4" w:space="0" w:color="auto"/>
              <w:bottom w:val="single" w:sz="4" w:space="0" w:color="BFBFBF"/>
            </w:tcBorders>
            <w:shd w:val="clear" w:color="auto" w:fill="auto"/>
            <w:noWrap/>
            <w:vAlign w:val="center"/>
          </w:tcPr>
          <w:p w14:paraId="2FECA24E"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enrolment</w:t>
            </w:r>
            <w:proofErr w:type="gramEnd"/>
            <w:r w:rsidRPr="00100B72">
              <w:rPr>
                <w:rFonts w:ascii="Verdana" w:hAnsi="Verdana"/>
                <w:sz w:val="18"/>
                <w:szCs w:val="20"/>
                <w:lang w:val="en-GB"/>
              </w:rPr>
              <w:t xml:space="preserve"> policies</w:t>
            </w:r>
          </w:p>
        </w:tc>
        <w:tc>
          <w:tcPr>
            <w:tcW w:w="886" w:type="dxa"/>
            <w:tcBorders>
              <w:top w:val="single" w:sz="4" w:space="0" w:color="BFBFBF"/>
              <w:bottom w:val="single" w:sz="4" w:space="0" w:color="BFBFBF"/>
            </w:tcBorders>
            <w:shd w:val="clear" w:color="auto" w:fill="auto"/>
            <w:noWrap/>
            <w:vAlign w:val="center"/>
          </w:tcPr>
          <w:p w14:paraId="241B51F8"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19</w:t>
            </w:r>
          </w:p>
        </w:tc>
        <w:tc>
          <w:tcPr>
            <w:tcW w:w="746" w:type="dxa"/>
            <w:tcBorders>
              <w:top w:val="single" w:sz="4" w:space="0" w:color="BFBFBF"/>
              <w:bottom w:val="single" w:sz="4" w:space="0" w:color="BFBFBF"/>
            </w:tcBorders>
            <w:shd w:val="clear" w:color="auto" w:fill="auto"/>
            <w:noWrap/>
            <w:vAlign w:val="center"/>
          </w:tcPr>
          <w:p w14:paraId="47246372"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7%</w:t>
            </w:r>
          </w:p>
        </w:tc>
      </w:tr>
      <w:tr w:rsidR="008109F6" w:rsidRPr="0022201D" w14:paraId="7E04DF1F" w14:textId="77777777" w:rsidTr="008109F6">
        <w:trPr>
          <w:trHeight w:val="300"/>
        </w:trPr>
        <w:tc>
          <w:tcPr>
            <w:tcW w:w="2834" w:type="dxa"/>
            <w:tcBorders>
              <w:top w:val="single" w:sz="4" w:space="0" w:color="BFBFBF"/>
              <w:bottom w:val="single" w:sz="4" w:space="0" w:color="BFBFBF"/>
            </w:tcBorders>
            <w:shd w:val="clear" w:color="auto" w:fill="auto"/>
            <w:noWrap/>
            <w:vAlign w:val="center"/>
            <w:hideMark/>
          </w:tcPr>
          <w:p w14:paraId="7CA03734" w14:textId="77777777" w:rsidR="008109F6" w:rsidRPr="00100B72" w:rsidRDefault="008109F6" w:rsidP="008109F6">
            <w:pPr>
              <w:keepNext/>
              <w:keepLines/>
              <w:spacing w:beforeLines="20" w:before="48" w:afterLines="20" w:after="48"/>
              <w:rPr>
                <w:rFonts w:ascii="Verdana" w:hAnsi="Verdana"/>
                <w:sz w:val="18"/>
                <w:szCs w:val="20"/>
                <w:lang w:val="en-GB"/>
              </w:rPr>
            </w:pPr>
          </w:p>
        </w:tc>
        <w:tc>
          <w:tcPr>
            <w:tcW w:w="886" w:type="dxa"/>
            <w:tcBorders>
              <w:top w:val="single" w:sz="4" w:space="0" w:color="BFBFBF"/>
              <w:bottom w:val="single" w:sz="4" w:space="0" w:color="BFBFBF"/>
            </w:tcBorders>
            <w:shd w:val="clear" w:color="auto" w:fill="auto"/>
            <w:noWrap/>
            <w:vAlign w:val="center"/>
            <w:hideMark/>
          </w:tcPr>
          <w:p w14:paraId="2972C3C6" w14:textId="77777777" w:rsidR="008109F6" w:rsidRPr="00100B72" w:rsidRDefault="008109F6" w:rsidP="008109F6">
            <w:pPr>
              <w:keepNext/>
              <w:keepLines/>
              <w:spacing w:beforeLines="20" w:before="48" w:afterLines="20" w:after="48"/>
              <w:jc w:val="center"/>
              <w:rPr>
                <w:rFonts w:ascii="Verdana" w:hAnsi="Verdana"/>
                <w:sz w:val="18"/>
                <w:szCs w:val="20"/>
                <w:lang w:val="en-GB"/>
              </w:rPr>
            </w:pPr>
          </w:p>
        </w:tc>
        <w:tc>
          <w:tcPr>
            <w:tcW w:w="886" w:type="dxa"/>
            <w:tcBorders>
              <w:top w:val="single" w:sz="4" w:space="0" w:color="BFBFBF"/>
              <w:bottom w:val="single" w:sz="4" w:space="0" w:color="BFBFBF"/>
              <w:right w:val="single" w:sz="4" w:space="0" w:color="auto"/>
            </w:tcBorders>
            <w:shd w:val="clear" w:color="auto" w:fill="auto"/>
            <w:noWrap/>
            <w:vAlign w:val="center"/>
            <w:hideMark/>
          </w:tcPr>
          <w:p w14:paraId="32CD3C67" w14:textId="77777777" w:rsidR="008109F6" w:rsidRPr="00100B72" w:rsidRDefault="008109F6" w:rsidP="008109F6">
            <w:pPr>
              <w:keepNext/>
              <w:keepLines/>
              <w:spacing w:beforeLines="20" w:before="48" w:afterLines="20" w:after="48"/>
              <w:jc w:val="center"/>
              <w:rPr>
                <w:rFonts w:ascii="Verdana" w:hAnsi="Verdana"/>
                <w:sz w:val="18"/>
                <w:szCs w:val="20"/>
                <w:lang w:val="en-GB"/>
              </w:rPr>
            </w:pPr>
          </w:p>
        </w:tc>
        <w:tc>
          <w:tcPr>
            <w:tcW w:w="2834" w:type="dxa"/>
            <w:tcBorders>
              <w:top w:val="single" w:sz="4" w:space="0" w:color="BFBFBF"/>
              <w:left w:val="single" w:sz="4" w:space="0" w:color="auto"/>
              <w:bottom w:val="single" w:sz="4" w:space="0" w:color="BFBFBF"/>
            </w:tcBorders>
            <w:shd w:val="clear" w:color="auto" w:fill="auto"/>
            <w:noWrap/>
            <w:vAlign w:val="center"/>
          </w:tcPr>
          <w:p w14:paraId="0692FB1C"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alternative</w:t>
            </w:r>
            <w:proofErr w:type="gramEnd"/>
            <w:r w:rsidRPr="00100B72">
              <w:rPr>
                <w:rFonts w:ascii="Verdana" w:hAnsi="Verdana"/>
                <w:sz w:val="18"/>
                <w:szCs w:val="20"/>
                <w:lang w:val="en-GB"/>
              </w:rPr>
              <w:t xml:space="preserve"> entry routes</w:t>
            </w:r>
          </w:p>
        </w:tc>
        <w:tc>
          <w:tcPr>
            <w:tcW w:w="886" w:type="dxa"/>
            <w:tcBorders>
              <w:top w:val="single" w:sz="4" w:space="0" w:color="BFBFBF"/>
              <w:bottom w:val="single" w:sz="4" w:space="0" w:color="BFBFBF"/>
            </w:tcBorders>
            <w:shd w:val="clear" w:color="auto" w:fill="auto"/>
            <w:noWrap/>
            <w:vAlign w:val="center"/>
          </w:tcPr>
          <w:p w14:paraId="4FB823C8"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15</w:t>
            </w:r>
          </w:p>
        </w:tc>
        <w:tc>
          <w:tcPr>
            <w:tcW w:w="746" w:type="dxa"/>
            <w:tcBorders>
              <w:top w:val="single" w:sz="4" w:space="0" w:color="BFBFBF"/>
              <w:bottom w:val="single" w:sz="4" w:space="0" w:color="BFBFBF"/>
            </w:tcBorders>
            <w:shd w:val="clear" w:color="auto" w:fill="auto"/>
            <w:noWrap/>
            <w:vAlign w:val="center"/>
          </w:tcPr>
          <w:p w14:paraId="66419BDA"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5%</w:t>
            </w:r>
          </w:p>
        </w:tc>
      </w:tr>
      <w:tr w:rsidR="008109F6" w:rsidRPr="0022201D" w14:paraId="1FB98EFD" w14:textId="77777777" w:rsidTr="008109F6">
        <w:trPr>
          <w:trHeight w:val="300"/>
        </w:trPr>
        <w:tc>
          <w:tcPr>
            <w:tcW w:w="2834" w:type="dxa"/>
            <w:tcBorders>
              <w:top w:val="single" w:sz="4" w:space="0" w:color="BFBFBF"/>
              <w:bottom w:val="single" w:sz="4" w:space="0" w:color="auto"/>
            </w:tcBorders>
            <w:shd w:val="clear" w:color="auto" w:fill="auto"/>
            <w:noWrap/>
            <w:vAlign w:val="center"/>
            <w:hideMark/>
          </w:tcPr>
          <w:p w14:paraId="1BF09BCE" w14:textId="77777777" w:rsidR="008109F6" w:rsidRPr="00100B72" w:rsidRDefault="008109F6" w:rsidP="008109F6">
            <w:pPr>
              <w:keepNext/>
              <w:keepLines/>
              <w:spacing w:beforeLines="20" w:before="48" w:afterLines="20" w:after="48"/>
              <w:rPr>
                <w:rFonts w:ascii="Verdana" w:hAnsi="Verdana"/>
                <w:sz w:val="18"/>
                <w:szCs w:val="20"/>
                <w:lang w:val="en-GB"/>
              </w:rPr>
            </w:pPr>
          </w:p>
        </w:tc>
        <w:tc>
          <w:tcPr>
            <w:tcW w:w="886" w:type="dxa"/>
            <w:tcBorders>
              <w:top w:val="single" w:sz="4" w:space="0" w:color="BFBFBF"/>
              <w:bottom w:val="single" w:sz="4" w:space="0" w:color="auto"/>
            </w:tcBorders>
            <w:shd w:val="clear" w:color="auto" w:fill="auto"/>
            <w:noWrap/>
            <w:vAlign w:val="center"/>
            <w:hideMark/>
          </w:tcPr>
          <w:p w14:paraId="7895E4E8" w14:textId="77777777" w:rsidR="008109F6" w:rsidRPr="00100B72" w:rsidRDefault="008109F6" w:rsidP="008109F6">
            <w:pPr>
              <w:keepNext/>
              <w:keepLines/>
              <w:spacing w:beforeLines="20" w:before="48" w:afterLines="20" w:after="48"/>
              <w:jc w:val="center"/>
              <w:rPr>
                <w:rFonts w:ascii="Verdana" w:hAnsi="Verdana"/>
                <w:sz w:val="18"/>
                <w:szCs w:val="20"/>
                <w:lang w:val="en-GB"/>
              </w:rPr>
            </w:pPr>
          </w:p>
        </w:tc>
        <w:tc>
          <w:tcPr>
            <w:tcW w:w="886" w:type="dxa"/>
            <w:tcBorders>
              <w:top w:val="single" w:sz="4" w:space="0" w:color="BFBFBF"/>
              <w:bottom w:val="single" w:sz="4" w:space="0" w:color="auto"/>
              <w:right w:val="single" w:sz="4" w:space="0" w:color="auto"/>
            </w:tcBorders>
            <w:shd w:val="clear" w:color="auto" w:fill="auto"/>
            <w:noWrap/>
            <w:vAlign w:val="center"/>
            <w:hideMark/>
          </w:tcPr>
          <w:p w14:paraId="297B8587" w14:textId="77777777" w:rsidR="008109F6" w:rsidRPr="00100B72" w:rsidRDefault="008109F6" w:rsidP="008109F6">
            <w:pPr>
              <w:keepNext/>
              <w:keepLines/>
              <w:spacing w:beforeLines="20" w:before="48" w:afterLines="20" w:after="48"/>
              <w:jc w:val="center"/>
              <w:rPr>
                <w:rFonts w:ascii="Verdana" w:hAnsi="Verdana"/>
                <w:sz w:val="18"/>
                <w:szCs w:val="20"/>
                <w:lang w:val="en-GB"/>
              </w:rPr>
            </w:pPr>
          </w:p>
        </w:tc>
        <w:tc>
          <w:tcPr>
            <w:tcW w:w="2834" w:type="dxa"/>
            <w:tcBorders>
              <w:top w:val="single" w:sz="4" w:space="0" w:color="BFBFBF"/>
              <w:left w:val="single" w:sz="4" w:space="0" w:color="auto"/>
              <w:bottom w:val="single" w:sz="4" w:space="0" w:color="BFBFBF"/>
            </w:tcBorders>
            <w:shd w:val="clear" w:color="auto" w:fill="auto"/>
            <w:noWrap/>
            <w:vAlign w:val="center"/>
          </w:tcPr>
          <w:p w14:paraId="02BE5F98"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flexible</w:t>
            </w:r>
            <w:proofErr w:type="gramEnd"/>
            <w:r w:rsidRPr="00100B72">
              <w:rPr>
                <w:rFonts w:ascii="Verdana" w:hAnsi="Verdana"/>
                <w:sz w:val="18"/>
                <w:szCs w:val="20"/>
                <w:lang w:val="en-GB"/>
              </w:rPr>
              <w:t xml:space="preserve"> learning paths</w:t>
            </w:r>
          </w:p>
        </w:tc>
        <w:tc>
          <w:tcPr>
            <w:tcW w:w="886" w:type="dxa"/>
            <w:tcBorders>
              <w:top w:val="single" w:sz="4" w:space="0" w:color="BFBFBF"/>
              <w:bottom w:val="single" w:sz="4" w:space="0" w:color="BFBFBF"/>
            </w:tcBorders>
            <w:shd w:val="clear" w:color="auto" w:fill="auto"/>
            <w:noWrap/>
            <w:vAlign w:val="center"/>
          </w:tcPr>
          <w:p w14:paraId="5C65EBA3"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17</w:t>
            </w:r>
          </w:p>
        </w:tc>
        <w:tc>
          <w:tcPr>
            <w:tcW w:w="746" w:type="dxa"/>
            <w:tcBorders>
              <w:top w:val="single" w:sz="4" w:space="0" w:color="BFBFBF"/>
              <w:bottom w:val="single" w:sz="4" w:space="0" w:color="BFBFBF"/>
            </w:tcBorders>
            <w:shd w:val="clear" w:color="auto" w:fill="auto"/>
            <w:noWrap/>
            <w:vAlign w:val="center"/>
          </w:tcPr>
          <w:p w14:paraId="4D0DA68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6%</w:t>
            </w:r>
          </w:p>
        </w:tc>
      </w:tr>
      <w:tr w:rsidR="008109F6" w:rsidRPr="0022201D" w14:paraId="6A93C57B" w14:textId="77777777" w:rsidTr="008109F6">
        <w:trPr>
          <w:trHeight w:val="300"/>
        </w:trPr>
        <w:tc>
          <w:tcPr>
            <w:tcW w:w="2834" w:type="dxa"/>
            <w:tcBorders>
              <w:top w:val="single" w:sz="4" w:space="0" w:color="auto"/>
              <w:bottom w:val="single" w:sz="4" w:space="0" w:color="auto"/>
            </w:tcBorders>
            <w:shd w:val="clear" w:color="auto" w:fill="auto"/>
            <w:noWrap/>
            <w:vAlign w:val="center"/>
            <w:hideMark/>
          </w:tcPr>
          <w:p w14:paraId="2CAF3782" w14:textId="77777777" w:rsidR="008109F6" w:rsidRPr="00100B72" w:rsidRDefault="008109F6" w:rsidP="008109F6">
            <w:pPr>
              <w:keepNext/>
              <w:keepLines/>
              <w:spacing w:beforeLines="20" w:before="48" w:afterLines="20" w:after="48"/>
              <w:rPr>
                <w:rFonts w:ascii="Verdana" w:hAnsi="Verdana"/>
                <w:b/>
                <w:bCs/>
                <w:sz w:val="18"/>
                <w:szCs w:val="20"/>
                <w:lang w:val="en-GB"/>
              </w:rPr>
            </w:pPr>
            <w:r w:rsidRPr="00100B72">
              <w:rPr>
                <w:rFonts w:ascii="Verdana" w:hAnsi="Verdana"/>
                <w:b/>
                <w:bCs/>
                <w:sz w:val="18"/>
                <w:szCs w:val="20"/>
                <w:lang w:val="en-GB"/>
              </w:rPr>
              <w:t>REGION</w:t>
            </w:r>
          </w:p>
        </w:tc>
        <w:tc>
          <w:tcPr>
            <w:tcW w:w="886" w:type="dxa"/>
            <w:tcBorders>
              <w:top w:val="single" w:sz="4" w:space="0" w:color="auto"/>
              <w:bottom w:val="single" w:sz="4" w:space="0" w:color="auto"/>
            </w:tcBorders>
            <w:shd w:val="clear" w:color="auto" w:fill="auto"/>
            <w:noWrap/>
            <w:vAlign w:val="center"/>
            <w:hideMark/>
          </w:tcPr>
          <w:p w14:paraId="58F14786"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c>
          <w:tcPr>
            <w:tcW w:w="886" w:type="dxa"/>
            <w:tcBorders>
              <w:top w:val="single" w:sz="4" w:space="0" w:color="auto"/>
              <w:bottom w:val="single" w:sz="4" w:space="0" w:color="auto"/>
              <w:right w:val="single" w:sz="4" w:space="0" w:color="auto"/>
            </w:tcBorders>
            <w:shd w:val="clear" w:color="auto" w:fill="auto"/>
            <w:noWrap/>
            <w:vAlign w:val="center"/>
            <w:hideMark/>
          </w:tcPr>
          <w:p w14:paraId="3B51BC97"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w:t>
            </w:r>
          </w:p>
        </w:tc>
        <w:tc>
          <w:tcPr>
            <w:tcW w:w="2834" w:type="dxa"/>
            <w:tcBorders>
              <w:top w:val="single" w:sz="4" w:space="0" w:color="BFBFBF"/>
              <w:left w:val="single" w:sz="4" w:space="0" w:color="auto"/>
              <w:bottom w:val="single" w:sz="4" w:space="0" w:color="BFBFBF"/>
            </w:tcBorders>
            <w:shd w:val="clear" w:color="auto" w:fill="auto"/>
            <w:noWrap/>
            <w:vAlign w:val="center"/>
          </w:tcPr>
          <w:p w14:paraId="49BCCFB0"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cooperation</w:t>
            </w:r>
            <w:proofErr w:type="gramEnd"/>
            <w:r w:rsidRPr="00100B72">
              <w:rPr>
                <w:rFonts w:ascii="Verdana" w:hAnsi="Verdana"/>
                <w:sz w:val="18"/>
                <w:szCs w:val="20"/>
                <w:lang w:val="en-GB"/>
              </w:rPr>
              <w:t xml:space="preserve"> with schools</w:t>
            </w:r>
          </w:p>
        </w:tc>
        <w:tc>
          <w:tcPr>
            <w:tcW w:w="886" w:type="dxa"/>
            <w:tcBorders>
              <w:top w:val="single" w:sz="4" w:space="0" w:color="BFBFBF"/>
              <w:bottom w:val="single" w:sz="4" w:space="0" w:color="BFBFBF"/>
            </w:tcBorders>
            <w:shd w:val="clear" w:color="auto" w:fill="auto"/>
            <w:noWrap/>
            <w:vAlign w:val="center"/>
          </w:tcPr>
          <w:p w14:paraId="6B785CD1"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23</w:t>
            </w:r>
          </w:p>
        </w:tc>
        <w:tc>
          <w:tcPr>
            <w:tcW w:w="746" w:type="dxa"/>
            <w:tcBorders>
              <w:top w:val="single" w:sz="4" w:space="0" w:color="BFBFBF"/>
              <w:bottom w:val="single" w:sz="4" w:space="0" w:color="BFBFBF"/>
            </w:tcBorders>
            <w:shd w:val="clear" w:color="auto" w:fill="auto"/>
            <w:noWrap/>
            <w:vAlign w:val="center"/>
          </w:tcPr>
          <w:p w14:paraId="038D9B84"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8%</w:t>
            </w:r>
          </w:p>
        </w:tc>
      </w:tr>
      <w:tr w:rsidR="008109F6" w:rsidRPr="0022201D" w14:paraId="2E7D2595" w14:textId="77777777" w:rsidTr="008109F6">
        <w:trPr>
          <w:trHeight w:val="300"/>
        </w:trPr>
        <w:tc>
          <w:tcPr>
            <w:tcW w:w="2834" w:type="dxa"/>
            <w:tcBorders>
              <w:top w:val="single" w:sz="4" w:space="0" w:color="auto"/>
              <w:bottom w:val="single" w:sz="4" w:space="0" w:color="BFBFBF"/>
            </w:tcBorders>
            <w:shd w:val="clear" w:color="auto" w:fill="auto"/>
            <w:noWrap/>
            <w:vAlign w:val="center"/>
            <w:hideMark/>
          </w:tcPr>
          <w:p w14:paraId="420BF82B" w14:textId="77777777" w:rsidR="008109F6" w:rsidRPr="00100B72" w:rsidRDefault="008109F6" w:rsidP="008109F6">
            <w:pPr>
              <w:keepNext/>
              <w:keepLines/>
              <w:spacing w:beforeLines="20" w:before="48" w:afterLines="20" w:after="48"/>
              <w:rPr>
                <w:rFonts w:ascii="Verdana" w:hAnsi="Verdana"/>
                <w:sz w:val="18"/>
                <w:szCs w:val="20"/>
                <w:lang w:val="en-GB"/>
              </w:rPr>
            </w:pPr>
            <w:r w:rsidRPr="00100B72">
              <w:rPr>
                <w:rFonts w:ascii="Verdana" w:hAnsi="Verdana"/>
                <w:sz w:val="18"/>
                <w:szCs w:val="20"/>
                <w:lang w:val="en-GB"/>
              </w:rPr>
              <w:t>EU countries</w:t>
            </w:r>
          </w:p>
        </w:tc>
        <w:tc>
          <w:tcPr>
            <w:tcW w:w="886" w:type="dxa"/>
            <w:tcBorders>
              <w:top w:val="single" w:sz="4" w:space="0" w:color="auto"/>
              <w:bottom w:val="single" w:sz="4" w:space="0" w:color="BFBFBF"/>
            </w:tcBorders>
            <w:shd w:val="clear" w:color="auto" w:fill="auto"/>
            <w:noWrap/>
            <w:vAlign w:val="center"/>
            <w:hideMark/>
          </w:tcPr>
          <w:p w14:paraId="603C6675"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257</w:t>
            </w:r>
          </w:p>
        </w:tc>
        <w:tc>
          <w:tcPr>
            <w:tcW w:w="886" w:type="dxa"/>
            <w:tcBorders>
              <w:top w:val="single" w:sz="4" w:space="0" w:color="auto"/>
              <w:bottom w:val="single" w:sz="4" w:space="0" w:color="BFBFBF"/>
              <w:right w:val="single" w:sz="4" w:space="0" w:color="auto"/>
            </w:tcBorders>
            <w:shd w:val="clear" w:color="auto" w:fill="auto"/>
            <w:noWrap/>
            <w:vAlign w:val="center"/>
            <w:hideMark/>
          </w:tcPr>
          <w:p w14:paraId="0833725F"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88%</w:t>
            </w:r>
          </w:p>
        </w:tc>
        <w:tc>
          <w:tcPr>
            <w:tcW w:w="2834" w:type="dxa"/>
            <w:tcBorders>
              <w:top w:val="single" w:sz="4" w:space="0" w:color="BFBFBF"/>
              <w:left w:val="single" w:sz="4" w:space="0" w:color="auto"/>
            </w:tcBorders>
            <w:shd w:val="clear" w:color="auto" w:fill="auto"/>
            <w:noWrap/>
            <w:vAlign w:val="center"/>
          </w:tcPr>
          <w:p w14:paraId="38B74E26" w14:textId="77777777" w:rsidR="008109F6" w:rsidRPr="00100B72" w:rsidRDefault="008109F6" w:rsidP="008109F6">
            <w:pPr>
              <w:keepNext/>
              <w:keepLines/>
              <w:spacing w:beforeLines="20" w:before="48" w:afterLines="20" w:after="48"/>
              <w:rPr>
                <w:rFonts w:ascii="Verdana" w:hAnsi="Verdana"/>
                <w:sz w:val="18"/>
                <w:szCs w:val="20"/>
                <w:lang w:val="en-GB"/>
              </w:rPr>
            </w:pPr>
            <w:proofErr w:type="gramStart"/>
            <w:r w:rsidRPr="00100B72">
              <w:rPr>
                <w:rFonts w:ascii="Verdana" w:hAnsi="Verdana"/>
                <w:sz w:val="18"/>
                <w:szCs w:val="20"/>
                <w:lang w:val="en-GB"/>
              </w:rPr>
              <w:t>data</w:t>
            </w:r>
            <w:proofErr w:type="gramEnd"/>
            <w:r w:rsidRPr="00100B72">
              <w:rPr>
                <w:rFonts w:ascii="Verdana" w:hAnsi="Verdana"/>
                <w:sz w:val="18"/>
                <w:szCs w:val="20"/>
                <w:lang w:val="en-GB"/>
              </w:rPr>
              <w:t xml:space="preserve"> collection and research</w:t>
            </w:r>
          </w:p>
        </w:tc>
        <w:tc>
          <w:tcPr>
            <w:tcW w:w="886" w:type="dxa"/>
            <w:tcBorders>
              <w:top w:val="single" w:sz="4" w:space="0" w:color="BFBFBF"/>
            </w:tcBorders>
            <w:shd w:val="clear" w:color="auto" w:fill="auto"/>
            <w:noWrap/>
            <w:vAlign w:val="center"/>
          </w:tcPr>
          <w:p w14:paraId="6B3DE503"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30</w:t>
            </w:r>
          </w:p>
        </w:tc>
        <w:tc>
          <w:tcPr>
            <w:tcW w:w="746" w:type="dxa"/>
            <w:tcBorders>
              <w:top w:val="single" w:sz="4" w:space="0" w:color="BFBFBF"/>
            </w:tcBorders>
            <w:shd w:val="clear" w:color="auto" w:fill="auto"/>
            <w:noWrap/>
            <w:vAlign w:val="center"/>
          </w:tcPr>
          <w:p w14:paraId="4087A2CB" w14:textId="77777777" w:rsidR="008109F6" w:rsidRPr="00100B72" w:rsidRDefault="008109F6" w:rsidP="008109F6">
            <w:pPr>
              <w:keepNext/>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10%</w:t>
            </w:r>
          </w:p>
        </w:tc>
      </w:tr>
      <w:tr w:rsidR="008109F6" w:rsidRPr="0022201D" w14:paraId="0CD918A3" w14:textId="77777777" w:rsidTr="008109F6">
        <w:trPr>
          <w:trHeight w:val="300"/>
        </w:trPr>
        <w:tc>
          <w:tcPr>
            <w:tcW w:w="2834" w:type="dxa"/>
            <w:tcBorders>
              <w:top w:val="single" w:sz="4" w:space="0" w:color="BFBFBF"/>
              <w:bottom w:val="single" w:sz="4" w:space="0" w:color="auto"/>
            </w:tcBorders>
            <w:shd w:val="clear" w:color="auto" w:fill="auto"/>
            <w:noWrap/>
            <w:vAlign w:val="center"/>
            <w:hideMark/>
          </w:tcPr>
          <w:p w14:paraId="121784D2" w14:textId="77777777" w:rsidR="008109F6" w:rsidRPr="00100B72" w:rsidRDefault="008109F6" w:rsidP="008109F6">
            <w:pPr>
              <w:keepLines/>
              <w:spacing w:beforeLines="20" w:before="48" w:afterLines="20" w:after="48"/>
              <w:rPr>
                <w:rFonts w:ascii="Verdana" w:hAnsi="Verdana"/>
                <w:sz w:val="18"/>
                <w:szCs w:val="20"/>
                <w:lang w:val="en-GB"/>
              </w:rPr>
            </w:pPr>
            <w:r w:rsidRPr="00100B72">
              <w:rPr>
                <w:rFonts w:ascii="Verdana" w:hAnsi="Verdana"/>
                <w:sz w:val="18"/>
                <w:szCs w:val="20"/>
                <w:lang w:val="en-GB"/>
              </w:rPr>
              <w:t>Non-EU-countries</w:t>
            </w:r>
          </w:p>
        </w:tc>
        <w:tc>
          <w:tcPr>
            <w:tcW w:w="886" w:type="dxa"/>
            <w:tcBorders>
              <w:top w:val="single" w:sz="4" w:space="0" w:color="BFBFBF"/>
              <w:bottom w:val="single" w:sz="4" w:space="0" w:color="auto"/>
            </w:tcBorders>
            <w:shd w:val="clear" w:color="auto" w:fill="auto"/>
            <w:noWrap/>
            <w:vAlign w:val="center"/>
            <w:hideMark/>
          </w:tcPr>
          <w:p w14:paraId="2B4F2EE7" w14:textId="77777777" w:rsidR="008109F6" w:rsidRPr="00100B72" w:rsidRDefault="008109F6" w:rsidP="008109F6">
            <w:pPr>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35</w:t>
            </w:r>
          </w:p>
        </w:tc>
        <w:tc>
          <w:tcPr>
            <w:tcW w:w="886" w:type="dxa"/>
            <w:tcBorders>
              <w:top w:val="single" w:sz="4" w:space="0" w:color="BFBFBF"/>
              <w:bottom w:val="single" w:sz="4" w:space="0" w:color="auto"/>
              <w:right w:val="single" w:sz="4" w:space="0" w:color="auto"/>
            </w:tcBorders>
            <w:shd w:val="clear" w:color="auto" w:fill="auto"/>
            <w:noWrap/>
            <w:vAlign w:val="center"/>
            <w:hideMark/>
          </w:tcPr>
          <w:p w14:paraId="17C719C1" w14:textId="77777777" w:rsidR="008109F6" w:rsidRPr="00100B72" w:rsidRDefault="008109F6" w:rsidP="008109F6">
            <w:pPr>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12%</w:t>
            </w:r>
          </w:p>
        </w:tc>
        <w:tc>
          <w:tcPr>
            <w:tcW w:w="2834" w:type="dxa"/>
            <w:tcBorders>
              <w:left w:val="single" w:sz="4" w:space="0" w:color="auto"/>
              <w:bottom w:val="single" w:sz="4" w:space="0" w:color="auto"/>
            </w:tcBorders>
            <w:shd w:val="clear" w:color="auto" w:fill="auto"/>
            <w:noWrap/>
            <w:vAlign w:val="center"/>
          </w:tcPr>
          <w:p w14:paraId="4C33BFAE" w14:textId="77777777" w:rsidR="008109F6" w:rsidRPr="00100B72" w:rsidRDefault="008109F6" w:rsidP="008109F6">
            <w:pPr>
              <w:keepLines/>
              <w:spacing w:beforeLines="20" w:before="48" w:afterLines="20" w:after="48"/>
              <w:rPr>
                <w:rFonts w:ascii="Verdana" w:hAnsi="Verdana"/>
                <w:sz w:val="18"/>
                <w:szCs w:val="20"/>
                <w:lang w:val="en-GB"/>
              </w:rPr>
            </w:pPr>
            <w:r w:rsidRPr="00100B72">
              <w:rPr>
                <w:rFonts w:ascii="Verdana" w:hAnsi="Verdana"/>
                <w:sz w:val="18"/>
                <w:szCs w:val="20"/>
                <w:lang w:val="en-GB"/>
              </w:rPr>
              <w:t>Other</w:t>
            </w:r>
          </w:p>
        </w:tc>
        <w:tc>
          <w:tcPr>
            <w:tcW w:w="886" w:type="dxa"/>
            <w:tcBorders>
              <w:bottom w:val="single" w:sz="4" w:space="0" w:color="auto"/>
            </w:tcBorders>
            <w:shd w:val="clear" w:color="auto" w:fill="auto"/>
            <w:noWrap/>
            <w:vAlign w:val="center"/>
          </w:tcPr>
          <w:p w14:paraId="784D4362" w14:textId="77777777" w:rsidR="008109F6" w:rsidRPr="00100B72" w:rsidRDefault="008109F6" w:rsidP="008109F6">
            <w:pPr>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23</w:t>
            </w:r>
          </w:p>
        </w:tc>
        <w:tc>
          <w:tcPr>
            <w:tcW w:w="746" w:type="dxa"/>
            <w:tcBorders>
              <w:bottom w:val="single" w:sz="4" w:space="0" w:color="auto"/>
            </w:tcBorders>
            <w:shd w:val="clear" w:color="auto" w:fill="auto"/>
            <w:noWrap/>
            <w:vAlign w:val="center"/>
          </w:tcPr>
          <w:p w14:paraId="471F0A40" w14:textId="77777777" w:rsidR="008109F6" w:rsidRPr="00100B72" w:rsidRDefault="008109F6" w:rsidP="008109F6">
            <w:pPr>
              <w:keepLines/>
              <w:spacing w:beforeLines="20" w:before="48" w:afterLines="20" w:after="48"/>
              <w:jc w:val="center"/>
              <w:rPr>
                <w:rFonts w:ascii="Verdana" w:hAnsi="Verdana"/>
                <w:sz w:val="18"/>
                <w:szCs w:val="20"/>
                <w:lang w:val="en-GB"/>
              </w:rPr>
            </w:pPr>
            <w:r w:rsidRPr="00100B72">
              <w:rPr>
                <w:rFonts w:ascii="Verdana" w:hAnsi="Verdana"/>
                <w:sz w:val="18"/>
                <w:szCs w:val="20"/>
                <w:lang w:val="en-GB"/>
              </w:rPr>
              <w:t>8%</w:t>
            </w:r>
          </w:p>
        </w:tc>
      </w:tr>
    </w:tbl>
    <w:p w14:paraId="00A986B0" w14:textId="77777777" w:rsidR="008109F6" w:rsidRDefault="008109F6" w:rsidP="008109F6">
      <w:pPr>
        <w:spacing w:after="120" w:line="288" w:lineRule="auto"/>
        <w:ind w:right="-772" w:hanging="567"/>
        <w:jc w:val="both"/>
        <w:rPr>
          <w:rFonts w:ascii="Verdana" w:hAnsi="Verdana"/>
          <w:sz w:val="20"/>
          <w:szCs w:val="20"/>
        </w:rPr>
      </w:pPr>
      <w:r>
        <w:rPr>
          <w:rFonts w:ascii="Verdana" w:hAnsi="Verdana"/>
          <w:sz w:val="20"/>
          <w:szCs w:val="20"/>
        </w:rPr>
        <w:t>Note: A measure can be allocated to more than one category.</w:t>
      </w:r>
    </w:p>
    <w:p w14:paraId="0AC64782" w14:textId="6B93E41D" w:rsidR="008109F6" w:rsidRDefault="008109F6" w:rsidP="008109F6">
      <w:pPr>
        <w:pBdr>
          <w:top w:val="none" w:sz="0" w:space="0" w:color="auto"/>
          <w:left w:val="none" w:sz="0" w:space="0" w:color="auto"/>
          <w:bottom w:val="none" w:sz="0" w:space="0" w:color="auto"/>
          <w:right w:val="none" w:sz="0" w:space="0" w:color="auto"/>
          <w:between w:val="none" w:sz="0" w:space="0" w:color="auto"/>
          <w:bar w:val="none" w:sz="0" w:color="auto"/>
        </w:pBdr>
        <w:ind w:hanging="567"/>
      </w:pPr>
      <w:r>
        <w:br w:type="page"/>
      </w:r>
    </w:p>
    <w:p w14:paraId="32108639" w14:textId="450E46B9" w:rsidR="00162EE2" w:rsidRPr="00FF42AE" w:rsidRDefault="00162EE2" w:rsidP="007F66F9">
      <w:pPr>
        <w:pStyle w:val="Heading1"/>
        <w:spacing w:after="120" w:line="288" w:lineRule="auto"/>
      </w:pPr>
      <w:bookmarkStart w:id="54" w:name="_Toc283387986"/>
      <w:r w:rsidRPr="00FF42AE">
        <w:lastRenderedPageBreak/>
        <w:t>Appendices</w:t>
      </w:r>
      <w:bookmarkEnd w:id="51"/>
      <w:bookmarkEnd w:id="54"/>
      <w:r w:rsidRPr="00FF42AE">
        <w:t xml:space="preserve"> </w:t>
      </w:r>
    </w:p>
    <w:p w14:paraId="3EFA0ECD" w14:textId="77777777" w:rsidR="00162EE2" w:rsidRDefault="00162EE2" w:rsidP="00162EE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772"/>
        <w:jc w:val="both"/>
        <w:rPr>
          <w:rFonts w:ascii="Verdana" w:hAnsi="Verdana"/>
          <w:sz w:val="20"/>
          <w:szCs w:val="20"/>
        </w:rPr>
      </w:pPr>
      <w:r w:rsidRPr="00CA0FD1">
        <w:rPr>
          <w:rFonts w:ascii="Verdana" w:hAnsi="Verdana"/>
          <w:sz w:val="20"/>
          <w:szCs w:val="20"/>
        </w:rPr>
        <w:t>Terms of Reference</w:t>
      </w:r>
      <w:r>
        <w:rPr>
          <w:rFonts w:ascii="Verdana" w:hAnsi="Verdana"/>
          <w:sz w:val="20"/>
          <w:szCs w:val="20"/>
        </w:rPr>
        <w:t xml:space="preserve"> </w:t>
      </w:r>
      <w:r w:rsidRPr="00CA0FD1">
        <w:rPr>
          <w:rFonts w:ascii="Verdana" w:hAnsi="Verdana"/>
          <w:sz w:val="20"/>
          <w:szCs w:val="20"/>
        </w:rPr>
        <w:t>of the Social Dimension and Lifelong Learning Working Group</w:t>
      </w:r>
    </w:p>
    <w:p w14:paraId="1A169D00" w14:textId="77777777" w:rsidR="00162EE2" w:rsidRPr="003E2342" w:rsidRDefault="00162EE2" w:rsidP="00162EE2">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772"/>
        <w:jc w:val="both"/>
        <w:rPr>
          <w:rFonts w:ascii="Verdana" w:hAnsi="Verdana"/>
          <w:sz w:val="20"/>
          <w:szCs w:val="20"/>
        </w:rPr>
      </w:pPr>
      <w:r>
        <w:rPr>
          <w:rFonts w:ascii="Verdana" w:hAnsi="Verdana"/>
          <w:sz w:val="20"/>
          <w:szCs w:val="20"/>
        </w:rPr>
        <w:t xml:space="preserve">Action Plan </w:t>
      </w:r>
      <w:r w:rsidRPr="00CA0FD1">
        <w:rPr>
          <w:rFonts w:ascii="Verdana" w:hAnsi="Verdana"/>
          <w:sz w:val="20"/>
          <w:szCs w:val="20"/>
        </w:rPr>
        <w:t>of the Social Dimension and Lifelong Learning Working Group</w:t>
      </w:r>
    </w:p>
    <w:p w14:paraId="7091CA43" w14:textId="77777777" w:rsidR="00E05321" w:rsidRDefault="00162EE2" w:rsidP="00E0532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772"/>
        <w:jc w:val="both"/>
        <w:rPr>
          <w:rFonts w:ascii="Verdana" w:hAnsi="Verdana"/>
          <w:sz w:val="20"/>
          <w:szCs w:val="20"/>
        </w:rPr>
      </w:pPr>
      <w:r w:rsidRPr="00CA0FD1">
        <w:rPr>
          <w:rFonts w:ascii="Verdana" w:hAnsi="Verdana"/>
          <w:sz w:val="20"/>
          <w:szCs w:val="20"/>
        </w:rPr>
        <w:t>List of members of the SD&amp;LLL WG</w:t>
      </w:r>
    </w:p>
    <w:p w14:paraId="49B7DD1F" w14:textId="77777777" w:rsidR="00423CBC" w:rsidRPr="00E05321" w:rsidRDefault="00423CBC" w:rsidP="00423CBC">
      <w:p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928" w:right="-772"/>
        <w:jc w:val="both"/>
        <w:rPr>
          <w:rFonts w:ascii="Verdana" w:hAnsi="Verdana"/>
          <w:sz w:val="20"/>
          <w:szCs w:val="20"/>
        </w:rPr>
      </w:pPr>
    </w:p>
    <w:p w14:paraId="24094E33" w14:textId="77777777" w:rsidR="00162EE2" w:rsidRPr="00FF42AE" w:rsidRDefault="00162EE2" w:rsidP="00162EE2">
      <w:pPr>
        <w:pStyle w:val="Heading2"/>
        <w:rPr>
          <w:rFonts w:ascii="Verdana" w:hAnsi="Verdana"/>
          <w:i w:val="0"/>
          <w:sz w:val="24"/>
          <w:szCs w:val="24"/>
        </w:rPr>
      </w:pPr>
      <w:bookmarkStart w:id="55" w:name="_Toc278625909"/>
      <w:bookmarkStart w:id="56" w:name="Appendix_1"/>
      <w:bookmarkStart w:id="57" w:name="_Toc283387987"/>
      <w:r w:rsidRPr="00FF42AE">
        <w:rPr>
          <w:rFonts w:ascii="Verdana" w:hAnsi="Verdana"/>
          <w:i w:val="0"/>
          <w:sz w:val="24"/>
          <w:szCs w:val="24"/>
        </w:rPr>
        <w:t>Appendix 1</w:t>
      </w:r>
      <w:bookmarkEnd w:id="55"/>
      <w:bookmarkEnd w:id="57"/>
    </w:p>
    <w:bookmarkEnd w:id="56"/>
    <w:p w14:paraId="1409B6B3" w14:textId="77777777" w:rsidR="00162EE2" w:rsidRPr="000B2B10" w:rsidRDefault="00162EE2" w:rsidP="00162EE2">
      <w:pPr>
        <w:jc w:val="center"/>
        <w:rPr>
          <w:rFonts w:ascii="Verdana" w:hAnsi="Verdana"/>
          <w:sz w:val="20"/>
        </w:rPr>
      </w:pPr>
      <w:r w:rsidRPr="003E2342">
        <w:rPr>
          <w:rFonts w:ascii="Verdana" w:hAnsi="Verdana"/>
          <w:b/>
          <w:sz w:val="20"/>
          <w:szCs w:val="20"/>
        </w:rPr>
        <w:t>Terms of Reference of the Social Dimension and Lifelong Learning Working Group</w:t>
      </w:r>
    </w:p>
    <w:p w14:paraId="53B29F08" w14:textId="77777777" w:rsidR="00162EE2" w:rsidRPr="00C24C78" w:rsidRDefault="00162EE2" w:rsidP="00162EE2">
      <w:pPr>
        <w:spacing w:line="288" w:lineRule="auto"/>
        <w:rPr>
          <w:rFonts w:ascii="Verdana" w:hAnsi="Verdana"/>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408"/>
      </w:tblGrid>
      <w:tr w:rsidR="00162EE2" w:rsidRPr="00C24C78" w14:paraId="3ABF5B52" w14:textId="77777777" w:rsidTr="007F66F9">
        <w:trPr>
          <w:trHeight w:val="888"/>
        </w:trPr>
        <w:tc>
          <w:tcPr>
            <w:tcW w:w="9180" w:type="dxa"/>
            <w:shd w:val="clear" w:color="auto" w:fill="auto"/>
          </w:tcPr>
          <w:p w14:paraId="068BE3FB"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t xml:space="preserve">Name of the working group </w:t>
            </w:r>
          </w:p>
          <w:p w14:paraId="3FB5C124" w14:textId="77777777" w:rsidR="00162EE2" w:rsidRPr="008B0478" w:rsidRDefault="00162EE2" w:rsidP="007F66F9">
            <w:pPr>
              <w:pStyle w:val="Sombreadovistoso-nfasis3"/>
              <w:spacing w:line="288" w:lineRule="auto"/>
              <w:ind w:left="0"/>
              <w:contextualSpacing/>
              <w:rPr>
                <w:rFonts w:ascii="Verdana" w:hAnsi="Verdana" w:cs="Arial"/>
                <w:b/>
                <w:sz w:val="20"/>
                <w:szCs w:val="20"/>
                <w:lang w:val="en-GB" w:eastAsia="nl-NL"/>
              </w:rPr>
            </w:pPr>
            <w:r w:rsidRPr="00C24C78">
              <w:rPr>
                <w:rFonts w:ascii="Verdana" w:hAnsi="Verdana" w:cs="Arial"/>
                <w:b/>
                <w:sz w:val="20"/>
                <w:szCs w:val="20"/>
                <w:lang w:val="en-GB" w:eastAsia="nl-NL"/>
              </w:rPr>
              <w:t>Working Group on the Social Dimension and Lifelong Learning</w:t>
            </w:r>
          </w:p>
        </w:tc>
      </w:tr>
      <w:tr w:rsidR="00162EE2" w:rsidRPr="00C24C78" w14:paraId="5A632B9A" w14:textId="77777777" w:rsidTr="007F66F9">
        <w:trPr>
          <w:trHeight w:val="844"/>
        </w:trPr>
        <w:tc>
          <w:tcPr>
            <w:tcW w:w="9180" w:type="dxa"/>
            <w:shd w:val="clear" w:color="auto" w:fill="auto"/>
          </w:tcPr>
          <w:p w14:paraId="5A1F1914"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t>Contact person (Co-Chairs)</w:t>
            </w:r>
          </w:p>
          <w:p w14:paraId="7611E842" w14:textId="77777777" w:rsidR="00162EE2" w:rsidRPr="00C24C78" w:rsidRDefault="00162EE2" w:rsidP="007F66F9">
            <w:pPr>
              <w:spacing w:after="120" w:line="288" w:lineRule="auto"/>
              <w:rPr>
                <w:rFonts w:ascii="Verdana" w:hAnsi="Verdana" w:cs="Arial"/>
                <w:sz w:val="20"/>
              </w:rPr>
            </w:pPr>
            <w:r>
              <w:rPr>
                <w:rFonts w:ascii="Verdana" w:hAnsi="Verdana"/>
                <w:sz w:val="20"/>
              </w:rPr>
              <w:t xml:space="preserve">Elisabeth </w:t>
            </w:r>
            <w:proofErr w:type="spellStart"/>
            <w:r>
              <w:rPr>
                <w:rFonts w:ascii="Verdana" w:hAnsi="Verdana"/>
                <w:sz w:val="20"/>
              </w:rPr>
              <w:t>Gehrke</w:t>
            </w:r>
            <w:proofErr w:type="spellEnd"/>
            <w:r w:rsidRPr="00C24C78">
              <w:rPr>
                <w:rFonts w:ascii="Verdana" w:hAnsi="Verdana"/>
                <w:sz w:val="20"/>
              </w:rPr>
              <w:t xml:space="preserve"> – ESU (</w:t>
            </w:r>
            <w:hyperlink r:id="rId16" w:history="1">
              <w:r w:rsidRPr="00C64766">
                <w:rPr>
                  <w:rStyle w:val="Hyperlink"/>
                  <w:rFonts w:ascii="Verdana" w:hAnsi="Verdana" w:cs="Arial"/>
                  <w:sz w:val="20"/>
                </w:rPr>
                <w:t>elisabeth@esu-online.org</w:t>
              </w:r>
            </w:hyperlink>
            <w:r w:rsidRPr="00C24C78">
              <w:rPr>
                <w:rFonts w:ascii="Verdana" w:hAnsi="Verdana" w:cs="Arial"/>
                <w:sz w:val="20"/>
              </w:rPr>
              <w:t>)</w:t>
            </w:r>
          </w:p>
          <w:p w14:paraId="28081D92" w14:textId="77777777" w:rsidR="00162EE2" w:rsidRPr="00861A69" w:rsidRDefault="00162EE2" w:rsidP="007F66F9">
            <w:pPr>
              <w:spacing w:line="288" w:lineRule="auto"/>
              <w:rPr>
                <w:rFonts w:ascii="Verdana" w:hAnsi="Verdana" w:cs="Arial"/>
                <w:sz w:val="20"/>
              </w:rPr>
            </w:pPr>
            <w:r w:rsidRPr="00C24C78">
              <w:rPr>
                <w:rFonts w:ascii="Verdana" w:hAnsi="Verdana"/>
                <w:sz w:val="20"/>
              </w:rPr>
              <w:t>Brian Power – Ireland (</w:t>
            </w:r>
            <w:hyperlink r:id="rId17" w:history="1">
              <w:r w:rsidRPr="00C24C78">
                <w:rPr>
                  <w:rStyle w:val="Hyperlink"/>
                  <w:rFonts w:ascii="Verdana" w:hAnsi="Verdana" w:cs="Arial"/>
                  <w:sz w:val="20"/>
                </w:rPr>
                <w:t>brian_power@education.gov.ie</w:t>
              </w:r>
            </w:hyperlink>
            <w:r w:rsidRPr="00C24C78">
              <w:rPr>
                <w:rFonts w:ascii="Verdana" w:hAnsi="Verdana" w:cs="Arial"/>
                <w:sz w:val="20"/>
              </w:rPr>
              <w:t>)</w:t>
            </w:r>
          </w:p>
        </w:tc>
      </w:tr>
      <w:tr w:rsidR="00162EE2" w:rsidRPr="00C24C78" w14:paraId="7902D54C" w14:textId="77777777" w:rsidTr="007F66F9">
        <w:trPr>
          <w:trHeight w:val="1359"/>
        </w:trPr>
        <w:tc>
          <w:tcPr>
            <w:tcW w:w="9180" w:type="dxa"/>
            <w:shd w:val="clear" w:color="auto" w:fill="auto"/>
          </w:tcPr>
          <w:p w14:paraId="298C8A50"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t xml:space="preserve">Composition </w:t>
            </w:r>
          </w:p>
          <w:p w14:paraId="0FA2F0F6" w14:textId="77777777" w:rsidR="00162EE2" w:rsidRPr="00C24C78" w:rsidRDefault="00162EE2" w:rsidP="007F66F9">
            <w:pPr>
              <w:spacing w:line="288" w:lineRule="auto"/>
              <w:rPr>
                <w:rFonts w:ascii="Verdana" w:hAnsi="Verdana"/>
                <w:sz w:val="20"/>
              </w:rPr>
            </w:pPr>
            <w:r w:rsidRPr="00C24C78">
              <w:rPr>
                <w:rFonts w:ascii="Verdana" w:hAnsi="Verdana" w:cs="Arial"/>
                <w:color w:val="000000"/>
                <w:sz w:val="20"/>
              </w:rPr>
              <w:t xml:space="preserve">Armenia, Austria, Belgium/Flemish Community, Croatia, Cyprus, Denmark, Finland, France, Germany, Hungary, Kazakhstan, Latvia, </w:t>
            </w:r>
            <w:r w:rsidRPr="00C24C78">
              <w:rPr>
                <w:rFonts w:ascii="Verdana" w:hAnsi="Verdana"/>
                <w:sz w:val="20"/>
                <w:shd w:val="clear" w:color="auto" w:fill="FFFFFF"/>
              </w:rPr>
              <w:t>Lithuania</w:t>
            </w:r>
            <w:r w:rsidRPr="00C24C78">
              <w:rPr>
                <w:rFonts w:ascii="Verdana" w:hAnsi="Verdana" w:cs="Arial"/>
                <w:color w:val="000000"/>
                <w:sz w:val="20"/>
              </w:rPr>
              <w:t>, Norway, Romania, United Kingdom, Ukraine, EC, EI, EUA, EURASHE</w:t>
            </w:r>
            <w:r>
              <w:rPr>
                <w:rFonts w:ascii="Verdana" w:hAnsi="Verdana" w:cs="Arial"/>
                <w:color w:val="000000"/>
                <w:sz w:val="20"/>
              </w:rPr>
              <w:t>, PL4SD</w:t>
            </w:r>
            <w:r w:rsidRPr="00C24C78">
              <w:rPr>
                <w:rFonts w:ascii="Verdana" w:hAnsi="Verdana" w:cs="Arial"/>
                <w:color w:val="000000"/>
                <w:sz w:val="20"/>
              </w:rPr>
              <w:t>.</w:t>
            </w:r>
          </w:p>
        </w:tc>
      </w:tr>
      <w:tr w:rsidR="00162EE2" w:rsidRPr="00C24C78" w14:paraId="5796BB87" w14:textId="77777777" w:rsidTr="007F66F9">
        <w:trPr>
          <w:trHeight w:val="844"/>
        </w:trPr>
        <w:tc>
          <w:tcPr>
            <w:tcW w:w="9180" w:type="dxa"/>
            <w:shd w:val="clear" w:color="auto" w:fill="auto"/>
          </w:tcPr>
          <w:p w14:paraId="7CBDACD5"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t xml:space="preserve">Reference to the Bucharest Communiqué </w:t>
            </w:r>
          </w:p>
          <w:p w14:paraId="139C5AB2" w14:textId="77777777" w:rsidR="00162EE2" w:rsidRPr="00C24C78" w:rsidRDefault="00162EE2" w:rsidP="007F66F9">
            <w:pPr>
              <w:pStyle w:val="Default"/>
              <w:spacing w:after="120" w:line="288" w:lineRule="auto"/>
              <w:rPr>
                <w:rFonts w:ascii="Verdana" w:hAnsi="Verdana"/>
                <w:bCs/>
                <w:sz w:val="20"/>
                <w:szCs w:val="20"/>
              </w:rPr>
            </w:pPr>
            <w:r w:rsidRPr="00C24C78">
              <w:rPr>
                <w:rFonts w:ascii="Verdana" w:hAnsi="Verdana"/>
                <w:bCs/>
                <w:sz w:val="20"/>
                <w:szCs w:val="20"/>
              </w:rPr>
              <w:t>(With reference to the sections of the Communiqué on “Providing quality higher education for all”, “Enhancing employability to serve Europe’s needs” and “Setting out priorities for 2012-2015”)</w:t>
            </w:r>
          </w:p>
          <w:p w14:paraId="7050271E" w14:textId="77777777" w:rsidR="00162EE2" w:rsidRPr="00C24C78" w:rsidRDefault="00162EE2" w:rsidP="007F66F9">
            <w:pPr>
              <w:pStyle w:val="Sombreadovistoso-nfasis3"/>
              <w:spacing w:after="120" w:line="288" w:lineRule="auto"/>
              <w:ind w:left="0"/>
              <w:contextualSpacing/>
              <w:jc w:val="both"/>
              <w:rPr>
                <w:rFonts w:ascii="Verdana" w:hAnsi="Verdana"/>
                <w:sz w:val="20"/>
                <w:szCs w:val="20"/>
                <w:lang w:val="en-GB"/>
              </w:rPr>
            </w:pPr>
            <w:r w:rsidRPr="00C24C78">
              <w:rPr>
                <w:rFonts w:ascii="Verdana" w:hAnsi="Verdana"/>
                <w:sz w:val="20"/>
                <w:szCs w:val="20"/>
                <w:lang w:val="en-GB"/>
              </w:rPr>
              <w:t>In the Bucharest Communiqué, in undertaking to p</w:t>
            </w:r>
            <w:r w:rsidRPr="00C24C78">
              <w:rPr>
                <w:rFonts w:ascii="Verdana" w:hAnsi="Verdana" w:cs="Times New Roman"/>
                <w:bCs/>
                <w:sz w:val="20"/>
                <w:szCs w:val="20"/>
                <w:lang w:val="en-GB"/>
              </w:rPr>
              <w:t>rovide quality higher education for all, EHEA Ministers observed, “…</w:t>
            </w:r>
            <w:r w:rsidRPr="00C24C78">
              <w:rPr>
                <w:rFonts w:ascii="Verdana" w:hAnsi="Verdana" w:cs="Times New Roman"/>
                <w:bCs/>
                <w:i/>
                <w:sz w:val="20"/>
                <w:szCs w:val="20"/>
                <w:lang w:val="en-GB"/>
              </w:rPr>
              <w:t xml:space="preserve">widening access </w:t>
            </w:r>
            <w:r w:rsidRPr="00C24C78">
              <w:rPr>
                <w:rFonts w:ascii="Verdana" w:hAnsi="Verdana"/>
                <w:i/>
                <w:sz w:val="20"/>
                <w:szCs w:val="20"/>
                <w:lang w:val="en-GB"/>
              </w:rPr>
              <w:t>to higher education is a precondition for societal progress and economic development. We agree to adopt national measures for widening overall access to quality higher education. We will work to raise completion rates and ensure timely progression in higher education in all EHEA countries</w:t>
            </w:r>
            <w:r w:rsidRPr="00C24C78">
              <w:rPr>
                <w:rFonts w:ascii="Verdana" w:hAnsi="Verdana"/>
                <w:sz w:val="20"/>
                <w:szCs w:val="20"/>
                <w:lang w:val="en-GB"/>
              </w:rPr>
              <w:t>…”</w:t>
            </w:r>
          </w:p>
          <w:p w14:paraId="4DF99C8A" w14:textId="77777777" w:rsidR="00162EE2" w:rsidRPr="00C24C78" w:rsidRDefault="00162EE2" w:rsidP="007F66F9">
            <w:pPr>
              <w:pStyle w:val="Sombreadovistoso-nfasis3"/>
              <w:spacing w:after="120" w:line="288" w:lineRule="auto"/>
              <w:ind w:left="0"/>
              <w:contextualSpacing/>
              <w:jc w:val="both"/>
              <w:rPr>
                <w:rFonts w:ascii="Verdana" w:hAnsi="Verdana"/>
                <w:sz w:val="20"/>
                <w:szCs w:val="20"/>
                <w:lang w:val="en-GB"/>
              </w:rPr>
            </w:pPr>
          </w:p>
          <w:p w14:paraId="7BF730AC" w14:textId="77777777" w:rsidR="00162EE2" w:rsidRPr="00C24C78" w:rsidRDefault="00162EE2" w:rsidP="007F66F9">
            <w:pPr>
              <w:pStyle w:val="Sombreadovistoso-nfasis3"/>
              <w:spacing w:after="120" w:line="288" w:lineRule="auto"/>
              <w:ind w:left="0"/>
              <w:contextualSpacing/>
              <w:jc w:val="both"/>
              <w:rPr>
                <w:rFonts w:ascii="Verdana" w:hAnsi="Verdana"/>
                <w:sz w:val="20"/>
                <w:szCs w:val="20"/>
                <w:lang w:val="en-GB"/>
              </w:rPr>
            </w:pPr>
            <w:r w:rsidRPr="00C24C78">
              <w:rPr>
                <w:rFonts w:ascii="Verdana" w:hAnsi="Verdana"/>
                <w:sz w:val="20"/>
                <w:szCs w:val="20"/>
                <w:lang w:val="en-GB"/>
              </w:rPr>
              <w:t>Ministers also re-confirmed the declared objective of the social dimension as already outlined at the London and Leuven/</w:t>
            </w:r>
            <w:proofErr w:type="spellStart"/>
            <w:r w:rsidRPr="00C24C78">
              <w:rPr>
                <w:rFonts w:ascii="Verdana" w:hAnsi="Verdana"/>
                <w:sz w:val="20"/>
                <w:szCs w:val="20"/>
                <w:lang w:val="en-GB"/>
              </w:rPr>
              <w:t>Lovain</w:t>
            </w:r>
            <w:proofErr w:type="spellEnd"/>
            <w:r w:rsidRPr="00C24C78">
              <w:rPr>
                <w:rFonts w:ascii="Verdana" w:hAnsi="Verdana"/>
                <w:sz w:val="20"/>
                <w:szCs w:val="20"/>
                <w:lang w:val="en-GB"/>
              </w:rPr>
              <w:t>-la-</w:t>
            </w:r>
            <w:proofErr w:type="spellStart"/>
            <w:r w:rsidRPr="00C24C78">
              <w:rPr>
                <w:rFonts w:ascii="Verdana" w:hAnsi="Verdana"/>
                <w:sz w:val="20"/>
                <w:szCs w:val="20"/>
                <w:lang w:val="en-GB"/>
              </w:rPr>
              <w:t>Neuve</w:t>
            </w:r>
            <w:proofErr w:type="spellEnd"/>
            <w:r w:rsidRPr="00C24C78">
              <w:rPr>
                <w:rFonts w:ascii="Verdana" w:hAnsi="Verdana"/>
                <w:sz w:val="20"/>
                <w:szCs w:val="20"/>
                <w:lang w:val="en-GB"/>
              </w:rPr>
              <w:t xml:space="preserve"> Ministerial Communiqués – that the student body entering and graduating from higher education institutions should reflect the diversity of Europe’s populations. </w:t>
            </w:r>
          </w:p>
          <w:p w14:paraId="55132ED1" w14:textId="77777777" w:rsidR="00162EE2" w:rsidRPr="00C24C78" w:rsidRDefault="00162EE2" w:rsidP="007F66F9">
            <w:pPr>
              <w:pStyle w:val="Sombreadovistoso-nfasis3"/>
              <w:spacing w:after="120" w:line="288" w:lineRule="auto"/>
              <w:ind w:left="0"/>
              <w:contextualSpacing/>
              <w:jc w:val="both"/>
              <w:rPr>
                <w:rFonts w:ascii="Verdana" w:hAnsi="Verdana"/>
                <w:sz w:val="20"/>
                <w:szCs w:val="20"/>
                <w:lang w:val="en-GB"/>
              </w:rPr>
            </w:pPr>
            <w:r w:rsidRPr="00C24C78">
              <w:rPr>
                <w:rFonts w:ascii="Verdana" w:hAnsi="Verdana"/>
                <w:sz w:val="20"/>
                <w:szCs w:val="20"/>
                <w:lang w:val="en-GB"/>
              </w:rPr>
              <w:t xml:space="preserve">Ministers also agreed to step up their efforts towards underrepresented groups to develop the </w:t>
            </w:r>
            <w:r w:rsidRPr="00C24C78">
              <w:rPr>
                <w:rFonts w:ascii="Verdana" w:hAnsi="Verdana"/>
                <w:bCs/>
                <w:sz w:val="20"/>
                <w:szCs w:val="20"/>
                <w:lang w:val="en-GB"/>
              </w:rPr>
              <w:t>social dimension</w:t>
            </w:r>
            <w:r w:rsidRPr="00C24C78">
              <w:rPr>
                <w:rFonts w:ascii="Verdana" w:hAnsi="Verdana"/>
                <w:b/>
                <w:bCs/>
                <w:sz w:val="20"/>
                <w:szCs w:val="20"/>
                <w:lang w:val="en-GB"/>
              </w:rPr>
              <w:t xml:space="preserve"> </w:t>
            </w:r>
            <w:r w:rsidRPr="00C24C78">
              <w:rPr>
                <w:rFonts w:ascii="Verdana" w:hAnsi="Verdana"/>
                <w:sz w:val="20"/>
                <w:szCs w:val="20"/>
                <w:lang w:val="en-GB"/>
              </w:rPr>
              <w:t xml:space="preserve">of higher education, reduce inequalities and provide adequate student support services, counselling and guidance, flexible learning paths and alternative access routes, including recognition of prior </w:t>
            </w:r>
            <w:r w:rsidRPr="00C24C78">
              <w:rPr>
                <w:rFonts w:ascii="Verdana" w:hAnsi="Verdana"/>
                <w:sz w:val="20"/>
                <w:szCs w:val="20"/>
                <w:lang w:val="en-GB"/>
              </w:rPr>
              <w:lastRenderedPageBreak/>
              <w:t xml:space="preserve">learning. </w:t>
            </w:r>
          </w:p>
          <w:p w14:paraId="5BF7FD56" w14:textId="77777777" w:rsidR="00162EE2" w:rsidRPr="00861A69" w:rsidRDefault="00162EE2" w:rsidP="007F66F9">
            <w:pPr>
              <w:pStyle w:val="Default"/>
              <w:spacing w:after="120" w:line="288" w:lineRule="auto"/>
              <w:jc w:val="both"/>
              <w:rPr>
                <w:rFonts w:ascii="Verdana" w:hAnsi="Verdana" w:cs="Times New Roman"/>
                <w:color w:val="auto"/>
                <w:sz w:val="20"/>
                <w:szCs w:val="20"/>
              </w:rPr>
            </w:pPr>
            <w:r w:rsidRPr="00C24C78">
              <w:rPr>
                <w:rFonts w:ascii="Verdana" w:hAnsi="Verdana"/>
                <w:sz w:val="20"/>
                <w:szCs w:val="20"/>
              </w:rPr>
              <w:t xml:space="preserve">In setting out the specific </w:t>
            </w:r>
            <w:r w:rsidRPr="00C24C78">
              <w:rPr>
                <w:rFonts w:ascii="Verdana" w:hAnsi="Verdana" w:cs="Times New Roman"/>
                <w:bCs/>
                <w:color w:val="auto"/>
                <w:sz w:val="20"/>
                <w:szCs w:val="20"/>
              </w:rPr>
              <w:t>priorities for 2012-2015, the Ministers committed to s</w:t>
            </w:r>
            <w:r w:rsidRPr="00C24C78">
              <w:rPr>
                <w:rFonts w:ascii="Verdana" w:hAnsi="Verdana" w:cs="Times New Roman"/>
                <w:color w:val="auto"/>
                <w:sz w:val="20"/>
                <w:szCs w:val="20"/>
              </w:rPr>
              <w:t>trengthening policies of widening overall access and raising completion rates, including measures targeting the increased participation of underrepresented groups. The Ministers also undertook to develop a system of voluntary peer learning and reviewing by 2013 in countries which request it and initiate a pilot project to promote peer learning on the social dimension of higher education.</w:t>
            </w:r>
          </w:p>
          <w:p w14:paraId="53BEBE48" w14:textId="77777777" w:rsidR="00162EE2" w:rsidRPr="00C24C78" w:rsidRDefault="00162EE2" w:rsidP="007F66F9">
            <w:pPr>
              <w:pStyle w:val="Sombreadovistoso-nfasis3"/>
              <w:spacing w:after="120" w:line="288" w:lineRule="auto"/>
              <w:ind w:left="0"/>
              <w:contextualSpacing/>
              <w:jc w:val="both"/>
              <w:rPr>
                <w:rFonts w:ascii="Verdana" w:hAnsi="Verdana"/>
                <w:sz w:val="20"/>
                <w:szCs w:val="20"/>
                <w:lang w:val="en-GB"/>
              </w:rPr>
            </w:pPr>
            <w:r w:rsidRPr="00C24C78">
              <w:rPr>
                <w:rFonts w:ascii="Verdana" w:hAnsi="Verdana" w:cs="Times New Roman"/>
                <w:sz w:val="20"/>
                <w:szCs w:val="20"/>
                <w:lang w:val="en-GB"/>
              </w:rPr>
              <w:t xml:space="preserve">The Ministers further committed to enhance the </w:t>
            </w:r>
            <w:r w:rsidRPr="00C24C78">
              <w:rPr>
                <w:rFonts w:ascii="Verdana" w:hAnsi="Verdana"/>
                <w:bCs/>
                <w:sz w:val="20"/>
                <w:szCs w:val="20"/>
                <w:lang w:val="en-GB"/>
              </w:rPr>
              <w:t>employability</w:t>
            </w:r>
            <w:r w:rsidRPr="00C24C78">
              <w:rPr>
                <w:rFonts w:ascii="Verdana" w:hAnsi="Verdana"/>
                <w:b/>
                <w:bCs/>
                <w:sz w:val="20"/>
                <w:szCs w:val="20"/>
                <w:lang w:val="en-GB"/>
              </w:rPr>
              <w:t xml:space="preserve"> </w:t>
            </w:r>
            <w:r w:rsidRPr="00C24C78">
              <w:rPr>
                <w:rFonts w:ascii="Verdana" w:hAnsi="Verdana"/>
                <w:sz w:val="20"/>
                <w:szCs w:val="20"/>
                <w:lang w:val="en-GB"/>
              </w:rPr>
              <w:t>and personal and professional development of graduates throughout their careers.  In that regard, they asserted that lifelong learning (LLL) is one of the important factors in meeting the needs of a changing labour market, and acknowledged</w:t>
            </w:r>
            <w:r w:rsidRPr="00C24C78" w:rsidDel="003573F1">
              <w:rPr>
                <w:rFonts w:ascii="Verdana" w:hAnsi="Verdana"/>
                <w:sz w:val="20"/>
                <w:szCs w:val="20"/>
                <w:lang w:val="en-GB"/>
              </w:rPr>
              <w:t xml:space="preserve"> </w:t>
            </w:r>
            <w:r w:rsidRPr="00C24C78">
              <w:rPr>
                <w:rFonts w:ascii="Verdana" w:hAnsi="Verdana"/>
                <w:sz w:val="20"/>
                <w:szCs w:val="20"/>
                <w:lang w:val="en-GB"/>
              </w:rPr>
              <w:t>that higher education institutions play a central role in transferring knowledge and strengthening regional development, including by the continuous development of competences and reinforcement of knowledge alliances.</w:t>
            </w:r>
          </w:p>
        </w:tc>
      </w:tr>
      <w:tr w:rsidR="00162EE2" w:rsidRPr="00C24C78" w14:paraId="107F81EE" w14:textId="77777777" w:rsidTr="007F66F9">
        <w:trPr>
          <w:trHeight w:val="844"/>
        </w:trPr>
        <w:tc>
          <w:tcPr>
            <w:tcW w:w="9180" w:type="dxa"/>
            <w:shd w:val="clear" w:color="auto" w:fill="auto"/>
          </w:tcPr>
          <w:p w14:paraId="4CA50F0C"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lastRenderedPageBreak/>
              <w:t>Overarching aims of the working group</w:t>
            </w:r>
          </w:p>
          <w:p w14:paraId="733F1380" w14:textId="77777777" w:rsidR="00162EE2" w:rsidRPr="00C24C78" w:rsidRDefault="00162EE2" w:rsidP="00162EE2">
            <w:pPr>
              <w:pStyle w:val="Default"/>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88" w:lineRule="auto"/>
              <w:rPr>
                <w:rFonts w:ascii="Verdana" w:eastAsia="MS Mincho" w:hAnsi="Verdana"/>
                <w:sz w:val="20"/>
              </w:rPr>
            </w:pPr>
            <w:r w:rsidRPr="00C24C78">
              <w:rPr>
                <w:rFonts w:ascii="Verdana" w:eastAsia="MS Mincho" w:hAnsi="Verdana"/>
                <w:sz w:val="20"/>
              </w:rPr>
              <w:t>To further support the development of the social dimension of higher education at national and</w:t>
            </w:r>
            <w:r>
              <w:rPr>
                <w:rFonts w:ascii="Verdana" w:eastAsia="MS Mincho" w:hAnsi="Verdana"/>
                <w:sz w:val="20"/>
              </w:rPr>
              <w:t xml:space="preserve"> the</w:t>
            </w:r>
            <w:r w:rsidRPr="00C24C78">
              <w:rPr>
                <w:rFonts w:ascii="Verdana" w:eastAsia="MS Mincho" w:hAnsi="Verdana"/>
                <w:sz w:val="20"/>
              </w:rPr>
              <w:t xml:space="preserve"> EHEA level through</w:t>
            </w:r>
            <w:r w:rsidRPr="00C24C78">
              <w:rPr>
                <w:rFonts w:ascii="Verdana" w:hAnsi="Verdana"/>
                <w:sz w:val="20"/>
              </w:rPr>
              <w:t xml:space="preserve"> </w:t>
            </w:r>
            <w:r w:rsidRPr="00C24C78">
              <w:rPr>
                <w:rFonts w:ascii="Verdana" w:hAnsi="Verdana" w:cs="Times New Roman"/>
                <w:color w:val="auto"/>
                <w:sz w:val="20"/>
                <w:szCs w:val="20"/>
              </w:rPr>
              <w:t>strengthening policies to</w:t>
            </w:r>
            <w:r w:rsidRPr="00C24C78">
              <w:rPr>
                <w:rFonts w:ascii="Verdana" w:hAnsi="Verdana"/>
                <w:sz w:val="20"/>
                <w:szCs w:val="20"/>
              </w:rPr>
              <w:t xml:space="preserve"> widen overall access, </w:t>
            </w:r>
            <w:r w:rsidRPr="00C24C78">
              <w:rPr>
                <w:rFonts w:ascii="Verdana" w:hAnsi="Verdana" w:cs="Times New Roman"/>
                <w:color w:val="auto"/>
                <w:sz w:val="20"/>
                <w:szCs w:val="20"/>
              </w:rPr>
              <w:t>raising completion rates</w:t>
            </w:r>
            <w:r w:rsidRPr="00C24C78">
              <w:rPr>
                <w:rFonts w:ascii="Verdana" w:hAnsi="Verdana"/>
                <w:sz w:val="20"/>
                <w:szCs w:val="20"/>
              </w:rPr>
              <w:t xml:space="preserve"> and targeting</w:t>
            </w:r>
            <w:r w:rsidRPr="00C24C78">
              <w:rPr>
                <w:rFonts w:ascii="Verdana" w:hAnsi="Verdana" w:cs="Times New Roman"/>
                <w:color w:val="auto"/>
                <w:sz w:val="20"/>
                <w:szCs w:val="20"/>
              </w:rPr>
              <w:t xml:space="preserve"> the increased participation of underrepresented groups;</w:t>
            </w:r>
          </w:p>
          <w:p w14:paraId="55DC1507" w14:textId="77777777" w:rsidR="00162EE2" w:rsidRPr="00C24C78" w:rsidRDefault="00162EE2" w:rsidP="00162EE2">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Verdana" w:hAnsi="Verdana"/>
                <w:sz w:val="20"/>
              </w:rPr>
            </w:pPr>
            <w:r w:rsidRPr="00C24C78">
              <w:rPr>
                <w:rFonts w:ascii="Verdana" w:hAnsi="Verdana"/>
                <w:sz w:val="20"/>
              </w:rPr>
              <w:t xml:space="preserve">To assist </w:t>
            </w:r>
            <w:r>
              <w:rPr>
                <w:rFonts w:ascii="Verdana" w:hAnsi="Verdana"/>
                <w:sz w:val="20"/>
              </w:rPr>
              <w:t xml:space="preserve">the </w:t>
            </w:r>
            <w:r w:rsidRPr="00C24C78">
              <w:rPr>
                <w:rFonts w:ascii="Verdana" w:hAnsi="Verdana"/>
                <w:sz w:val="20"/>
              </w:rPr>
              <w:t xml:space="preserve">EHEA countries in their work to enhance employability and lifelong learning through improved cooperation with relevant stakeholders; </w:t>
            </w:r>
          </w:p>
          <w:p w14:paraId="771F8D60" w14:textId="77777777" w:rsidR="00162EE2" w:rsidRPr="00C24C78" w:rsidRDefault="00162EE2" w:rsidP="00162EE2">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Verdana" w:hAnsi="Verdana"/>
                <w:b/>
                <w:sz w:val="20"/>
              </w:rPr>
            </w:pPr>
            <w:r w:rsidRPr="00C24C78">
              <w:rPr>
                <w:rFonts w:ascii="Verdana" w:hAnsi="Verdana" w:cs="Arial"/>
                <w:sz w:val="20"/>
              </w:rPr>
              <w:t>To work closely with the sponsoring consortium on the development of the pilot project on peer learning for the social dimension of higher education (PL4SD), with a general oversight mandate to further BFUG social dimension goals.</w:t>
            </w:r>
          </w:p>
        </w:tc>
      </w:tr>
      <w:tr w:rsidR="00162EE2" w:rsidRPr="00C24C78" w14:paraId="226717C6" w14:textId="77777777" w:rsidTr="007F66F9">
        <w:trPr>
          <w:trHeight w:val="1374"/>
        </w:trPr>
        <w:tc>
          <w:tcPr>
            <w:tcW w:w="9180" w:type="dxa"/>
            <w:shd w:val="clear" w:color="auto" w:fill="auto"/>
          </w:tcPr>
          <w:p w14:paraId="06A84A3A" w14:textId="77777777" w:rsidR="00162EE2" w:rsidRPr="008B0478" w:rsidRDefault="00162EE2" w:rsidP="007F66F9">
            <w:pPr>
              <w:spacing w:after="60" w:line="288" w:lineRule="auto"/>
              <w:rPr>
                <w:rFonts w:ascii="Verdana" w:hAnsi="Verdana"/>
                <w:b/>
                <w:sz w:val="20"/>
              </w:rPr>
            </w:pPr>
            <w:r w:rsidRPr="00C24C78">
              <w:rPr>
                <w:rFonts w:ascii="Verdana" w:hAnsi="Verdana"/>
                <w:b/>
                <w:sz w:val="20"/>
              </w:rPr>
              <w:t>Objectives of the working group</w:t>
            </w:r>
          </w:p>
          <w:p w14:paraId="0134407B" w14:textId="77777777" w:rsidR="00162EE2" w:rsidRPr="00F83546"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517"/>
                <w:tab w:val="num" w:pos="743"/>
              </w:tabs>
              <w:spacing w:after="60" w:line="288" w:lineRule="auto"/>
              <w:jc w:val="both"/>
              <w:rPr>
                <w:rFonts w:ascii="Verdana" w:hAnsi="Verdana" w:cs="Arial"/>
                <w:sz w:val="20"/>
              </w:rPr>
            </w:pPr>
            <w:r w:rsidRPr="00C24C78">
              <w:rPr>
                <w:rFonts w:ascii="Verdana" w:hAnsi="Verdana" w:cs="Quadraat-Regular"/>
                <w:b/>
                <w:sz w:val="20"/>
              </w:rPr>
              <w:t xml:space="preserve">To </w:t>
            </w:r>
            <w:proofErr w:type="spellStart"/>
            <w:r w:rsidRPr="00C24C78">
              <w:rPr>
                <w:rFonts w:ascii="Verdana" w:hAnsi="Verdana" w:cs="Quadraat-Regular"/>
                <w:b/>
                <w:sz w:val="20"/>
              </w:rPr>
              <w:t>mobilise</w:t>
            </w:r>
            <w:proofErr w:type="spellEnd"/>
            <w:r w:rsidRPr="00C24C78">
              <w:rPr>
                <w:rFonts w:ascii="Verdana" w:hAnsi="Verdana" w:cs="Quadraat-Regular"/>
                <w:b/>
                <w:sz w:val="20"/>
              </w:rPr>
              <w:t xml:space="preserve"> </w:t>
            </w:r>
            <w:r w:rsidRPr="00C24C78">
              <w:rPr>
                <w:rFonts w:ascii="Verdana" w:hAnsi="Verdana"/>
                <w:b/>
                <w:sz w:val="20"/>
              </w:rPr>
              <w:t>the cooperation of all relevant actors</w:t>
            </w:r>
            <w:r w:rsidRPr="00C24C78">
              <w:rPr>
                <w:rFonts w:ascii="Verdana" w:hAnsi="Verdana"/>
                <w:sz w:val="20"/>
              </w:rPr>
              <w:t xml:space="preserve"> in pursuing efforts to promote greater access, participation and completion rates in higher education for all students.</w:t>
            </w:r>
          </w:p>
          <w:p w14:paraId="4C9A6502" w14:textId="77777777" w:rsidR="00162EE2" w:rsidRPr="00F83546"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517"/>
                <w:tab w:val="num" w:pos="743"/>
              </w:tabs>
              <w:spacing w:after="60" w:line="288" w:lineRule="auto"/>
              <w:jc w:val="both"/>
              <w:rPr>
                <w:rFonts w:ascii="Verdana" w:hAnsi="Verdana" w:cs="Arial"/>
                <w:sz w:val="20"/>
              </w:rPr>
            </w:pPr>
            <w:r w:rsidRPr="00F83546">
              <w:rPr>
                <w:rFonts w:ascii="Verdana" w:hAnsi="Verdana" w:cs="Arial"/>
                <w:sz w:val="20"/>
                <w:szCs w:val="20"/>
                <w:lang w:eastAsia="nl-NL"/>
              </w:rPr>
              <w:t xml:space="preserve">To </w:t>
            </w:r>
            <w:proofErr w:type="spellStart"/>
            <w:r w:rsidRPr="00F83546">
              <w:rPr>
                <w:rFonts w:ascii="Verdana" w:hAnsi="Verdana" w:cs="Arial"/>
                <w:sz w:val="20"/>
                <w:szCs w:val="20"/>
                <w:lang w:eastAsia="nl-NL"/>
              </w:rPr>
              <w:t>fulfil</w:t>
            </w:r>
            <w:proofErr w:type="spellEnd"/>
            <w:r w:rsidRPr="00F83546">
              <w:rPr>
                <w:rFonts w:ascii="Verdana" w:hAnsi="Verdana" w:cs="Arial"/>
                <w:sz w:val="20"/>
                <w:szCs w:val="20"/>
                <w:lang w:eastAsia="nl-NL"/>
              </w:rPr>
              <w:t xml:space="preserve"> the Ministerial commitment to </w:t>
            </w:r>
            <w:r w:rsidRPr="00F83546">
              <w:rPr>
                <w:rFonts w:ascii="Verdana" w:hAnsi="Verdana"/>
                <w:sz w:val="20"/>
                <w:szCs w:val="20"/>
              </w:rPr>
              <w:t xml:space="preserve">adopt national measures for widening overall access to quality higher education </w:t>
            </w:r>
            <w:r w:rsidRPr="00F83546">
              <w:rPr>
                <w:rFonts w:ascii="Verdana" w:hAnsi="Verdana"/>
                <w:b/>
                <w:sz w:val="20"/>
                <w:szCs w:val="20"/>
              </w:rPr>
              <w:t xml:space="preserve">by supporting EHEA countries in their work to develop and implement </w:t>
            </w:r>
            <w:r w:rsidRPr="00F83546">
              <w:rPr>
                <w:rFonts w:ascii="Verdana" w:hAnsi="Verdana"/>
                <w:sz w:val="20"/>
                <w:szCs w:val="20"/>
              </w:rPr>
              <w:t xml:space="preserve">national access plans or strategies. </w:t>
            </w:r>
          </w:p>
          <w:p w14:paraId="5A21CBA7" w14:textId="77777777" w:rsidR="00162EE2" w:rsidRPr="00861A69" w:rsidRDefault="00162EE2" w:rsidP="00162EE2">
            <w:pPr>
              <w:pStyle w:val="Sombreadovistoso-nfasis3"/>
              <w:keepNext/>
              <w:numPr>
                <w:ilvl w:val="0"/>
                <w:numId w:val="34"/>
              </w:numPr>
              <w:tabs>
                <w:tab w:val="clear" w:pos="517"/>
                <w:tab w:val="num" w:pos="743"/>
              </w:tabs>
              <w:spacing w:after="60" w:line="288" w:lineRule="auto"/>
              <w:contextualSpacing/>
              <w:jc w:val="both"/>
              <w:rPr>
                <w:rFonts w:ascii="Verdana" w:hAnsi="Verdana"/>
                <w:sz w:val="20"/>
                <w:szCs w:val="20"/>
                <w:lang w:val="en-GB"/>
              </w:rPr>
            </w:pPr>
            <w:r w:rsidRPr="00C24C78">
              <w:rPr>
                <w:rFonts w:ascii="Verdana" w:hAnsi="Verdana"/>
                <w:sz w:val="20"/>
                <w:szCs w:val="20"/>
                <w:lang w:val="en-GB"/>
              </w:rPr>
              <w:t xml:space="preserve">To support the development of common approaches in monitoring the implementation of national access plans </w:t>
            </w:r>
            <w:r w:rsidRPr="00C24C78">
              <w:rPr>
                <w:rFonts w:ascii="Verdana" w:hAnsi="Verdana"/>
                <w:b/>
                <w:sz w:val="20"/>
                <w:szCs w:val="20"/>
                <w:lang w:val="en-GB"/>
              </w:rPr>
              <w:t xml:space="preserve">by </w:t>
            </w:r>
            <w:r w:rsidRPr="00C24C78">
              <w:rPr>
                <w:rFonts w:ascii="Verdana" w:eastAsia="Times New Roman" w:hAnsi="Verdana"/>
                <w:b/>
                <w:sz w:val="20"/>
                <w:szCs w:val="20"/>
                <w:lang w:val="en-GB"/>
              </w:rPr>
              <w:t>elaborating core indicators</w:t>
            </w:r>
            <w:r w:rsidRPr="00C24C78">
              <w:rPr>
                <w:rFonts w:ascii="Verdana" w:eastAsia="Times New Roman" w:hAnsi="Verdana"/>
                <w:sz w:val="20"/>
                <w:szCs w:val="20"/>
                <w:lang w:val="en-GB"/>
              </w:rPr>
              <w:t xml:space="preserve"> that may be used for measuring and monitoring the relevant aspects of the social dimension in higher education.</w:t>
            </w:r>
          </w:p>
          <w:p w14:paraId="5D8EA75F" w14:textId="77777777" w:rsidR="00162EE2" w:rsidRPr="00861A69" w:rsidRDefault="00162EE2" w:rsidP="00162EE2">
            <w:pPr>
              <w:pStyle w:val="Sombreadovistoso-nfasis3"/>
              <w:numPr>
                <w:ilvl w:val="0"/>
                <w:numId w:val="34"/>
              </w:numPr>
              <w:tabs>
                <w:tab w:val="clear" w:pos="517"/>
                <w:tab w:val="num" w:pos="743"/>
              </w:tabs>
              <w:spacing w:after="60" w:line="288" w:lineRule="auto"/>
              <w:contextualSpacing/>
              <w:jc w:val="both"/>
              <w:rPr>
                <w:rFonts w:ascii="Verdana" w:eastAsia="Times New Roman" w:hAnsi="Verdana"/>
                <w:sz w:val="20"/>
                <w:szCs w:val="20"/>
                <w:lang w:val="en-GB"/>
              </w:rPr>
            </w:pPr>
            <w:r w:rsidRPr="00C24C78">
              <w:rPr>
                <w:rFonts w:ascii="Verdana" w:eastAsia="Times New Roman" w:hAnsi="Verdana"/>
                <w:b/>
                <w:sz w:val="20"/>
                <w:szCs w:val="20"/>
                <w:lang w:val="en-GB"/>
              </w:rPr>
              <w:t>To promote the development and implementation of institution-level strategies</w:t>
            </w:r>
            <w:r w:rsidRPr="00C24C78">
              <w:rPr>
                <w:rFonts w:ascii="Verdana" w:eastAsia="Times New Roman" w:hAnsi="Verdana"/>
                <w:sz w:val="20"/>
                <w:szCs w:val="20"/>
                <w:lang w:val="en-GB"/>
              </w:rPr>
              <w:t xml:space="preserve"> for </w:t>
            </w:r>
            <w:r w:rsidRPr="00C24C78">
              <w:rPr>
                <w:rFonts w:ascii="Verdana" w:hAnsi="Verdana" w:cs="Times New Roman"/>
                <w:sz w:val="20"/>
                <w:szCs w:val="20"/>
                <w:lang w:val="en-GB"/>
              </w:rPr>
              <w:t xml:space="preserve">widening access, targeting the increased participation </w:t>
            </w:r>
            <w:r w:rsidRPr="00C24C78">
              <w:rPr>
                <w:rFonts w:ascii="Verdana" w:hAnsi="Verdana" w:cs="Times New Roman"/>
                <w:sz w:val="20"/>
                <w:szCs w:val="20"/>
                <w:lang w:val="en-GB"/>
              </w:rPr>
              <w:lastRenderedPageBreak/>
              <w:t>of underrepresented groups and raising completion rates.</w:t>
            </w:r>
          </w:p>
          <w:p w14:paraId="44B7E252" w14:textId="77777777" w:rsidR="00162EE2" w:rsidRPr="00861A69"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517"/>
                <w:tab w:val="num" w:pos="743"/>
              </w:tabs>
              <w:spacing w:after="60" w:line="288" w:lineRule="auto"/>
              <w:jc w:val="both"/>
              <w:rPr>
                <w:rFonts w:ascii="Verdana" w:hAnsi="Verdana" w:cs="Arial"/>
                <w:sz w:val="20"/>
              </w:rPr>
            </w:pPr>
            <w:r w:rsidRPr="00C24C78">
              <w:rPr>
                <w:rFonts w:ascii="Verdana" w:hAnsi="Verdana"/>
                <w:sz w:val="20"/>
              </w:rPr>
              <w:t xml:space="preserve">To support and guide the implementation of a pilot </w:t>
            </w:r>
            <w:r w:rsidRPr="00C24C78">
              <w:rPr>
                <w:rFonts w:ascii="Verdana" w:hAnsi="Verdana" w:cs="Arial"/>
                <w:sz w:val="20"/>
              </w:rPr>
              <w:t xml:space="preserve">project (PL4SD) </w:t>
            </w:r>
            <w:r w:rsidRPr="00C24C78">
              <w:rPr>
                <w:rFonts w:ascii="Verdana" w:hAnsi="Verdana" w:cs="Arial"/>
                <w:b/>
                <w:sz w:val="20"/>
              </w:rPr>
              <w:t xml:space="preserve">to facilitate peer learning </w:t>
            </w:r>
            <w:r w:rsidRPr="00C24C78">
              <w:rPr>
                <w:rFonts w:ascii="Verdana" w:hAnsi="Verdana" w:cs="Arial"/>
                <w:sz w:val="20"/>
              </w:rPr>
              <w:t>on the social dimension of higher education</w:t>
            </w:r>
            <w:r w:rsidRPr="00C24C78">
              <w:rPr>
                <w:rFonts w:ascii="Verdana" w:hAnsi="Verdana"/>
                <w:sz w:val="20"/>
              </w:rPr>
              <w:t xml:space="preserve"> which will assist EHEA countries in developing, implementing and monitoring social dimension policies.</w:t>
            </w:r>
          </w:p>
          <w:p w14:paraId="5D723276" w14:textId="77777777" w:rsidR="00162EE2" w:rsidRPr="00861A69"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Verdana" w:hAnsi="Verdana" w:cs="Arial"/>
                <w:sz w:val="20"/>
              </w:rPr>
            </w:pPr>
            <w:r w:rsidRPr="00C24C78">
              <w:rPr>
                <w:rFonts w:ascii="Verdana" w:hAnsi="Verdana"/>
                <w:sz w:val="20"/>
              </w:rPr>
              <w:t xml:space="preserve">To </w:t>
            </w:r>
            <w:r w:rsidRPr="003E7B4D">
              <w:rPr>
                <w:rFonts w:ascii="Verdana" w:hAnsi="Verdana"/>
                <w:b/>
                <w:sz w:val="20"/>
              </w:rPr>
              <w:t>con</w:t>
            </w:r>
            <w:r w:rsidRPr="00C24C78">
              <w:rPr>
                <w:rFonts w:ascii="Verdana" w:hAnsi="Verdana"/>
                <w:b/>
                <w:sz w:val="20"/>
              </w:rPr>
              <w:t>tribute to the development of structured peer review processes</w:t>
            </w:r>
            <w:r w:rsidRPr="00C24C78">
              <w:rPr>
                <w:rFonts w:ascii="Verdana" w:hAnsi="Verdana"/>
                <w:sz w:val="20"/>
              </w:rPr>
              <w:t xml:space="preserve"> across EHEA countries and institutions </w:t>
            </w:r>
          </w:p>
          <w:p w14:paraId="0106CE6F" w14:textId="77777777" w:rsidR="00162EE2" w:rsidRPr="00861A69"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Verdana" w:hAnsi="Verdana"/>
                <w:sz w:val="20"/>
              </w:rPr>
            </w:pPr>
            <w:r w:rsidRPr="00C24C78">
              <w:rPr>
                <w:rFonts w:ascii="Verdana" w:hAnsi="Verdana" w:cs="Calibri Bold Italic"/>
                <w:iCs/>
                <w:sz w:val="20"/>
              </w:rPr>
              <w:t xml:space="preserve">To address the </w:t>
            </w:r>
            <w:r>
              <w:rPr>
                <w:rFonts w:ascii="Verdana" w:hAnsi="Verdana" w:cs="Calibri Bold Italic"/>
                <w:iCs/>
                <w:sz w:val="20"/>
              </w:rPr>
              <w:t xml:space="preserve">need for a more supportive environment for teachers, with specific emphasis on </w:t>
            </w:r>
            <w:r w:rsidRPr="00C24C78">
              <w:rPr>
                <w:rFonts w:ascii="Verdana" w:hAnsi="Verdana" w:cs="Calibri Bold Italic"/>
                <w:iCs/>
                <w:sz w:val="20"/>
              </w:rPr>
              <w:t xml:space="preserve">emerging pedagogical and didactical requirements to support the needs of a more diverse student population and improve their completion rates, through </w:t>
            </w:r>
            <w:r w:rsidRPr="00C24C78">
              <w:rPr>
                <w:rFonts w:ascii="Verdana" w:hAnsi="Verdana" w:cs="Calibri Bold Italic"/>
                <w:b/>
                <w:iCs/>
                <w:sz w:val="20"/>
              </w:rPr>
              <w:t>practical recommendations on implementing student-</w:t>
            </w:r>
            <w:proofErr w:type="spellStart"/>
            <w:r w:rsidRPr="00C24C78">
              <w:rPr>
                <w:rFonts w:ascii="Verdana" w:hAnsi="Verdana" w:cs="Calibri Bold Italic"/>
                <w:b/>
                <w:iCs/>
                <w:sz w:val="20"/>
              </w:rPr>
              <w:t>centred</w:t>
            </w:r>
            <w:proofErr w:type="spellEnd"/>
            <w:r w:rsidRPr="00C24C78">
              <w:rPr>
                <w:rFonts w:ascii="Verdana" w:hAnsi="Verdana" w:cs="Calibri Bold Italic"/>
                <w:b/>
                <w:iCs/>
                <w:sz w:val="20"/>
              </w:rPr>
              <w:t xml:space="preserve"> learning (SCL)</w:t>
            </w:r>
            <w:r w:rsidRPr="00C24C78">
              <w:rPr>
                <w:rFonts w:ascii="Verdana" w:hAnsi="Verdana" w:cs="Calibri Bold Italic"/>
                <w:iCs/>
                <w:sz w:val="20"/>
              </w:rPr>
              <w:t xml:space="preserve">. </w:t>
            </w:r>
          </w:p>
          <w:p w14:paraId="7D2A2B92" w14:textId="77777777" w:rsidR="00162EE2" w:rsidRPr="00861A69"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Verdana" w:hAnsi="Verdana"/>
                <w:sz w:val="20"/>
              </w:rPr>
            </w:pPr>
            <w:r w:rsidRPr="00C24C78">
              <w:rPr>
                <w:rFonts w:ascii="Verdana" w:hAnsi="Verdana" w:cs="Calibri Bold Italic"/>
                <w:iCs/>
                <w:sz w:val="20"/>
              </w:rPr>
              <w:t xml:space="preserve">To address aspect of employability by </w:t>
            </w:r>
            <w:r w:rsidRPr="00C24C78">
              <w:rPr>
                <w:rFonts w:ascii="Verdana" w:hAnsi="Verdana" w:cs="Calibri Bold Italic"/>
                <w:b/>
                <w:iCs/>
                <w:sz w:val="20"/>
              </w:rPr>
              <w:t>advancing implementation of Bologna reforms and raising awareness on the purpose of those among stakeholders</w:t>
            </w:r>
            <w:r w:rsidRPr="00C24C78">
              <w:rPr>
                <w:rFonts w:ascii="Verdana" w:hAnsi="Verdana" w:cs="Calibri Bold Italic"/>
                <w:iCs/>
                <w:sz w:val="20"/>
              </w:rPr>
              <w:t xml:space="preserve"> (including employers).</w:t>
            </w:r>
          </w:p>
          <w:p w14:paraId="55D68988" w14:textId="77777777" w:rsidR="00162EE2" w:rsidRPr="00C24C78" w:rsidRDefault="00162EE2" w:rsidP="00162EE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Verdana" w:hAnsi="Verdana"/>
                <w:sz w:val="20"/>
              </w:rPr>
            </w:pPr>
            <w:r>
              <w:rPr>
                <w:rFonts w:ascii="Verdana" w:hAnsi="Verdana"/>
                <w:sz w:val="20"/>
              </w:rPr>
              <w:t xml:space="preserve">To help to </w:t>
            </w:r>
            <w:r w:rsidRPr="00C24C78">
              <w:rPr>
                <w:rFonts w:ascii="Verdana" w:hAnsi="Verdana"/>
                <w:b/>
                <w:sz w:val="20"/>
              </w:rPr>
              <w:t>identify and set priorities for peer learning and peer review activities</w:t>
            </w:r>
            <w:r>
              <w:rPr>
                <w:rFonts w:ascii="Verdana" w:hAnsi="Verdana"/>
                <w:sz w:val="20"/>
              </w:rPr>
              <w:t xml:space="preserve"> concerning the areas of the social dimension and lifelong learning.</w:t>
            </w:r>
          </w:p>
        </w:tc>
      </w:tr>
      <w:tr w:rsidR="00162EE2" w:rsidRPr="00C24C78" w14:paraId="522583F3" w14:textId="77777777" w:rsidTr="007F66F9">
        <w:trPr>
          <w:trHeight w:val="914"/>
        </w:trPr>
        <w:tc>
          <w:tcPr>
            <w:tcW w:w="9180" w:type="dxa"/>
            <w:shd w:val="clear" w:color="auto" w:fill="auto"/>
          </w:tcPr>
          <w:p w14:paraId="6807D9F3" w14:textId="77777777" w:rsidR="00162EE2" w:rsidRPr="00C24C78" w:rsidRDefault="00162EE2" w:rsidP="007F66F9">
            <w:pPr>
              <w:spacing w:after="60" w:line="288" w:lineRule="auto"/>
              <w:rPr>
                <w:rFonts w:ascii="Verdana" w:hAnsi="Verdana"/>
                <w:b/>
                <w:sz w:val="20"/>
              </w:rPr>
            </w:pPr>
            <w:r w:rsidRPr="00C24C78">
              <w:rPr>
                <w:rFonts w:ascii="Verdana" w:hAnsi="Verdana"/>
                <w:b/>
                <w:sz w:val="20"/>
              </w:rPr>
              <w:lastRenderedPageBreak/>
              <w:t xml:space="preserve">Reporting </w:t>
            </w:r>
          </w:p>
          <w:p w14:paraId="10412303" w14:textId="77777777" w:rsidR="00162EE2" w:rsidRPr="00C24C78" w:rsidRDefault="00162EE2" w:rsidP="007F66F9">
            <w:pPr>
              <w:spacing w:line="288" w:lineRule="auto"/>
              <w:rPr>
                <w:rFonts w:ascii="Verdana" w:hAnsi="Verdana"/>
                <w:sz w:val="20"/>
              </w:rPr>
            </w:pPr>
            <w:r w:rsidRPr="00C24C78">
              <w:rPr>
                <w:rFonts w:ascii="Verdana" w:hAnsi="Verdana"/>
                <w:sz w:val="20"/>
                <w:u w:val="single"/>
              </w:rPr>
              <w:t>Minutes</w:t>
            </w:r>
            <w:r w:rsidRPr="00C24C78">
              <w:rPr>
                <w:rFonts w:ascii="Verdana" w:hAnsi="Verdana"/>
                <w:sz w:val="20"/>
              </w:rPr>
              <w:t xml:space="preserve"> of working group meetings will be made available to the BFUG on the protected part of the website (by the Bologna Secretariat). Bologna Secretariat, at the request of the WG Chairs, may circulate relevant updates to the WG members by email.  </w:t>
            </w:r>
          </w:p>
          <w:p w14:paraId="2DE8D480" w14:textId="77777777" w:rsidR="00162EE2" w:rsidRPr="00C24C78" w:rsidRDefault="00162EE2" w:rsidP="007F66F9">
            <w:pPr>
              <w:spacing w:line="288" w:lineRule="auto"/>
              <w:rPr>
                <w:rFonts w:ascii="Verdana" w:hAnsi="Verdana"/>
                <w:sz w:val="20"/>
              </w:rPr>
            </w:pPr>
            <w:r w:rsidRPr="00C24C78">
              <w:rPr>
                <w:rFonts w:ascii="Verdana" w:hAnsi="Verdana"/>
                <w:sz w:val="20"/>
                <w:u w:val="single"/>
              </w:rPr>
              <w:t>The BFUG should also receive regular reports and updates</w:t>
            </w:r>
            <w:r w:rsidRPr="00C24C78">
              <w:rPr>
                <w:rFonts w:ascii="Verdana" w:hAnsi="Verdana"/>
                <w:sz w:val="20"/>
              </w:rPr>
              <w:t xml:space="preserve"> from the working group. </w:t>
            </w:r>
          </w:p>
          <w:p w14:paraId="582D04FF" w14:textId="77777777" w:rsidR="00162EE2" w:rsidRPr="00C24C78" w:rsidRDefault="00162EE2" w:rsidP="007F66F9">
            <w:pPr>
              <w:spacing w:line="288" w:lineRule="auto"/>
              <w:rPr>
                <w:rFonts w:ascii="Verdana" w:hAnsi="Verdana"/>
                <w:sz w:val="20"/>
              </w:rPr>
            </w:pPr>
            <w:r w:rsidRPr="00C24C78">
              <w:rPr>
                <w:rFonts w:ascii="Verdana" w:hAnsi="Verdana"/>
                <w:sz w:val="20"/>
              </w:rPr>
              <w:t xml:space="preserve">To ensure good communication with the BFUG as a whole and for the necessary consultations, progress reports should be submitted at least two </w:t>
            </w:r>
            <w:r>
              <w:rPr>
                <w:rFonts w:ascii="Verdana" w:hAnsi="Verdana"/>
                <w:sz w:val="20"/>
              </w:rPr>
              <w:t>weeks before each BFUG meeting.</w:t>
            </w:r>
          </w:p>
        </w:tc>
      </w:tr>
      <w:tr w:rsidR="00162EE2" w:rsidRPr="00C24C78" w14:paraId="6477F6F4" w14:textId="77777777" w:rsidTr="007F66F9">
        <w:trPr>
          <w:trHeight w:val="784"/>
        </w:trPr>
        <w:tc>
          <w:tcPr>
            <w:tcW w:w="9180" w:type="dxa"/>
            <w:shd w:val="clear" w:color="auto" w:fill="FFFFFF"/>
          </w:tcPr>
          <w:p w14:paraId="0443EEE7" w14:textId="77777777" w:rsidR="00162EE2" w:rsidRPr="00C24C78" w:rsidRDefault="00162EE2" w:rsidP="007F66F9">
            <w:pPr>
              <w:spacing w:line="288" w:lineRule="auto"/>
              <w:rPr>
                <w:rFonts w:ascii="Verdana" w:hAnsi="Verdana"/>
                <w:b/>
                <w:sz w:val="20"/>
              </w:rPr>
            </w:pPr>
            <w:r w:rsidRPr="00C24C78">
              <w:rPr>
                <w:rFonts w:ascii="Verdana" w:hAnsi="Verdana"/>
                <w:b/>
                <w:sz w:val="20"/>
              </w:rPr>
              <w:t>Meeting Schedule</w:t>
            </w:r>
          </w:p>
          <w:p w14:paraId="3D30BD6E" w14:textId="77777777" w:rsidR="00162EE2" w:rsidRPr="00C24C78" w:rsidRDefault="00162EE2" w:rsidP="007F66F9">
            <w:pPr>
              <w:spacing w:line="288" w:lineRule="auto"/>
              <w:rPr>
                <w:rFonts w:ascii="Verdana" w:hAnsi="Verdana"/>
                <w:sz w:val="20"/>
              </w:rPr>
            </w:pPr>
            <w:r w:rsidRPr="00C24C78">
              <w:rPr>
                <w:rFonts w:ascii="Verdana" w:hAnsi="Verdana"/>
                <w:sz w:val="20"/>
              </w:rPr>
              <w:t>First meeting Brussels, 13 December 2012</w:t>
            </w:r>
          </w:p>
          <w:p w14:paraId="11DFF091" w14:textId="77777777" w:rsidR="00162EE2" w:rsidRDefault="00162EE2" w:rsidP="007F66F9">
            <w:pPr>
              <w:spacing w:line="288" w:lineRule="auto"/>
              <w:rPr>
                <w:rFonts w:ascii="Verdana" w:hAnsi="Verdana"/>
                <w:sz w:val="20"/>
              </w:rPr>
            </w:pPr>
            <w:r w:rsidRPr="00C24C78">
              <w:rPr>
                <w:rFonts w:ascii="Verdana" w:hAnsi="Verdana"/>
                <w:sz w:val="20"/>
              </w:rPr>
              <w:t>Second meeting Dublin, 17 April 2013</w:t>
            </w:r>
            <w:r w:rsidRPr="00C24C78">
              <w:rPr>
                <w:rFonts w:ascii="Verdana" w:hAnsi="Verdana"/>
                <w:sz w:val="20"/>
              </w:rPr>
              <w:tab/>
            </w:r>
          </w:p>
          <w:p w14:paraId="571CA8B7" w14:textId="77777777" w:rsidR="00162EE2" w:rsidRDefault="00162EE2" w:rsidP="007F66F9">
            <w:pPr>
              <w:spacing w:line="288" w:lineRule="auto"/>
              <w:rPr>
                <w:rFonts w:ascii="Verdana" w:hAnsi="Verdana"/>
                <w:sz w:val="20"/>
              </w:rPr>
            </w:pPr>
            <w:r>
              <w:rPr>
                <w:rFonts w:ascii="Verdana" w:hAnsi="Verdana"/>
                <w:sz w:val="20"/>
              </w:rPr>
              <w:t>Third meeting Ghent, 13-14 November 2013</w:t>
            </w:r>
          </w:p>
          <w:p w14:paraId="01815D9C" w14:textId="77777777" w:rsidR="00162EE2" w:rsidRDefault="00162EE2" w:rsidP="007F66F9">
            <w:pPr>
              <w:spacing w:line="288" w:lineRule="auto"/>
              <w:rPr>
                <w:rFonts w:ascii="Verdana" w:hAnsi="Verdana"/>
                <w:sz w:val="20"/>
              </w:rPr>
            </w:pPr>
            <w:r>
              <w:rPr>
                <w:rFonts w:ascii="Verdana" w:hAnsi="Verdana"/>
                <w:sz w:val="20"/>
              </w:rPr>
              <w:t>Fourth meeting Vienna, 3-4 April 2014</w:t>
            </w:r>
          </w:p>
          <w:p w14:paraId="5AF0D714" w14:textId="77777777" w:rsidR="00162EE2" w:rsidRPr="004E46B5" w:rsidRDefault="00162EE2" w:rsidP="007F66F9">
            <w:pPr>
              <w:spacing w:line="288" w:lineRule="auto"/>
              <w:rPr>
                <w:rFonts w:ascii="Verdana" w:hAnsi="Verdana"/>
                <w:sz w:val="20"/>
              </w:rPr>
            </w:pPr>
            <w:r>
              <w:rPr>
                <w:rFonts w:ascii="Verdana" w:hAnsi="Verdana"/>
                <w:sz w:val="20"/>
              </w:rPr>
              <w:t>Fifth meeting Brussels, 23-24 September 2014</w:t>
            </w:r>
          </w:p>
        </w:tc>
      </w:tr>
      <w:tr w:rsidR="00162EE2" w:rsidRPr="00C24C78" w14:paraId="52195183" w14:textId="77777777" w:rsidTr="007F66F9">
        <w:trPr>
          <w:trHeight w:val="1084"/>
        </w:trPr>
        <w:tc>
          <w:tcPr>
            <w:tcW w:w="9180" w:type="dxa"/>
            <w:shd w:val="clear" w:color="auto" w:fill="auto"/>
          </w:tcPr>
          <w:p w14:paraId="6949C807"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t>Liaison with other WGs and networks</w:t>
            </w:r>
          </w:p>
          <w:p w14:paraId="4E8BA921" w14:textId="77777777" w:rsidR="00162EE2" w:rsidRPr="00C24C78" w:rsidRDefault="00162EE2" w:rsidP="007F66F9">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rPr>
                <w:rFonts w:ascii="Verdana" w:hAnsi="Verdana"/>
                <w:b/>
                <w:sz w:val="20"/>
              </w:rPr>
            </w:pPr>
            <w:r w:rsidRPr="00C24C78">
              <w:rPr>
                <w:rFonts w:ascii="Verdana" w:hAnsi="Verdana"/>
                <w:sz w:val="20"/>
              </w:rPr>
              <w:t>Reporting on the Implementation of the Bologna Process WG</w:t>
            </w:r>
          </w:p>
          <w:p w14:paraId="5EE4491A" w14:textId="77777777" w:rsidR="00162EE2" w:rsidRPr="00C24C78" w:rsidRDefault="00162EE2" w:rsidP="007F66F9">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rPr>
                <w:rFonts w:ascii="Verdana" w:hAnsi="Verdana"/>
                <w:b/>
                <w:sz w:val="20"/>
              </w:rPr>
            </w:pPr>
            <w:r w:rsidRPr="00C24C78">
              <w:rPr>
                <w:rFonts w:ascii="Verdana" w:hAnsi="Verdana"/>
                <w:sz w:val="20"/>
              </w:rPr>
              <w:t xml:space="preserve"> ‘Structural Reforms’ WG</w:t>
            </w:r>
          </w:p>
          <w:p w14:paraId="76D55CC8" w14:textId="77777777" w:rsidR="00162EE2" w:rsidRPr="00C24C78" w:rsidRDefault="00162EE2" w:rsidP="007F66F9">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rPr>
                <w:rFonts w:ascii="Verdana" w:hAnsi="Verdana"/>
                <w:b/>
                <w:sz w:val="20"/>
              </w:rPr>
            </w:pPr>
            <w:r w:rsidRPr="00C24C78">
              <w:rPr>
                <w:rFonts w:ascii="Verdana" w:hAnsi="Verdana"/>
                <w:sz w:val="20"/>
              </w:rPr>
              <w:t>NESSIE</w:t>
            </w:r>
          </w:p>
          <w:p w14:paraId="72556BE6" w14:textId="77777777" w:rsidR="00162EE2" w:rsidRPr="00C24C78" w:rsidRDefault="00162EE2" w:rsidP="007F66F9">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rPr>
                <w:rFonts w:ascii="Verdana" w:hAnsi="Verdana"/>
                <w:b/>
                <w:sz w:val="20"/>
              </w:rPr>
            </w:pPr>
            <w:r w:rsidRPr="00C24C78">
              <w:rPr>
                <w:rFonts w:ascii="Verdana" w:hAnsi="Verdana"/>
                <w:sz w:val="20"/>
              </w:rPr>
              <w:t>RPL Network</w:t>
            </w:r>
          </w:p>
        </w:tc>
      </w:tr>
      <w:tr w:rsidR="00162EE2" w:rsidRPr="00C24C78" w14:paraId="5DC1F916" w14:textId="77777777" w:rsidTr="007F66F9">
        <w:trPr>
          <w:trHeight w:val="844"/>
        </w:trPr>
        <w:tc>
          <w:tcPr>
            <w:tcW w:w="9180" w:type="dxa"/>
            <w:shd w:val="clear" w:color="auto" w:fill="auto"/>
          </w:tcPr>
          <w:p w14:paraId="3058EB47" w14:textId="77777777" w:rsidR="00162EE2" w:rsidRPr="00C24C78" w:rsidRDefault="00162EE2" w:rsidP="007F66F9">
            <w:pPr>
              <w:spacing w:after="120" w:line="288" w:lineRule="auto"/>
              <w:rPr>
                <w:rFonts w:ascii="Verdana" w:hAnsi="Verdana"/>
                <w:b/>
                <w:sz w:val="20"/>
              </w:rPr>
            </w:pPr>
            <w:r w:rsidRPr="00C24C78">
              <w:rPr>
                <w:rFonts w:ascii="Verdana" w:hAnsi="Verdana"/>
                <w:b/>
                <w:sz w:val="20"/>
              </w:rPr>
              <w:lastRenderedPageBreak/>
              <w:t xml:space="preserve">Additional remarks </w:t>
            </w:r>
          </w:p>
          <w:p w14:paraId="5E46D0B8" w14:textId="77777777" w:rsidR="00162EE2" w:rsidRPr="00526FAB" w:rsidRDefault="00162EE2" w:rsidP="007F66F9">
            <w:pPr>
              <w:spacing w:line="288" w:lineRule="auto"/>
              <w:rPr>
                <w:rFonts w:ascii="Verdana" w:hAnsi="Verdana"/>
                <w:b/>
                <w:bCs/>
                <w:sz w:val="20"/>
              </w:rPr>
            </w:pPr>
            <w:r w:rsidRPr="00C24C78">
              <w:rPr>
                <w:rFonts w:ascii="Verdana" w:hAnsi="Verdana"/>
                <w:sz w:val="20"/>
              </w:rPr>
              <w:t xml:space="preserve">In addition to the objectives above, the working group will also set out a number of explicit tasks, which will contribute to accomplishing its mandate. These will be specific activities designed to </w:t>
            </w:r>
            <w:proofErr w:type="spellStart"/>
            <w:r w:rsidRPr="00C24C78">
              <w:rPr>
                <w:rFonts w:ascii="Verdana" w:hAnsi="Verdana"/>
                <w:sz w:val="20"/>
              </w:rPr>
              <w:t>realise</w:t>
            </w:r>
            <w:proofErr w:type="spellEnd"/>
            <w:r w:rsidRPr="00C24C78">
              <w:rPr>
                <w:rFonts w:ascii="Verdana" w:hAnsi="Verdana"/>
                <w:sz w:val="20"/>
              </w:rPr>
              <w:t xml:space="preserve"> the objectives set out above in the context of the overarching aims identified by EHEA Ministers in the Bucharest Communiqué. They will also take into consideration the recommendations of the 2012 report of the social dimension working group and the social dimension chapter</w:t>
            </w:r>
            <w:r w:rsidRPr="00C24C78">
              <w:rPr>
                <w:rFonts w:ascii="Verdana" w:hAnsi="Verdana" w:cs="Calibri"/>
                <w:sz w:val="20"/>
              </w:rPr>
              <w:t xml:space="preserve"> of the 2012 r</w:t>
            </w:r>
            <w:r w:rsidRPr="00C24C78">
              <w:rPr>
                <w:rFonts w:ascii="Verdana" w:hAnsi="Verdana"/>
                <w:bCs/>
                <w:sz w:val="20"/>
              </w:rPr>
              <w:t>eport on the Implementation of the Bologna Process</w:t>
            </w:r>
            <w:r w:rsidRPr="00C24C78">
              <w:rPr>
                <w:rFonts w:ascii="Verdana" w:hAnsi="Verdana"/>
                <w:b/>
                <w:bCs/>
                <w:sz w:val="20"/>
              </w:rPr>
              <w:t>.</w:t>
            </w:r>
          </w:p>
        </w:tc>
      </w:tr>
    </w:tbl>
    <w:p w14:paraId="757D9D73" w14:textId="77777777" w:rsidR="00162EE2" w:rsidRDefault="00162EE2" w:rsidP="00162EE2"/>
    <w:p w14:paraId="6F0E4A86" w14:textId="77777777" w:rsidR="00162EE2" w:rsidRDefault="00162EE2" w:rsidP="00162EE2">
      <w:pPr>
        <w:sectPr w:rsidR="00162EE2">
          <w:footerReference w:type="even" r:id="rId18"/>
          <w:footerReference w:type="default" r:id="rId19"/>
          <w:headerReference w:type="first" r:id="rId20"/>
          <w:pgSz w:w="11900" w:h="16840"/>
          <w:pgMar w:top="2041" w:right="1800" w:bottom="1440" w:left="1800" w:header="680" w:footer="708" w:gutter="0"/>
          <w:cols w:space="708"/>
          <w:titlePg/>
          <w:docGrid w:linePitch="360"/>
        </w:sectPr>
      </w:pPr>
    </w:p>
    <w:p w14:paraId="124DD95D" w14:textId="77777777" w:rsidR="00162EE2" w:rsidRDefault="00162EE2" w:rsidP="00162EE2">
      <w:pPr>
        <w:rPr>
          <w:rFonts w:ascii="Verdana" w:hAnsi="Verdana"/>
          <w:sz w:val="20"/>
        </w:rPr>
      </w:pPr>
    </w:p>
    <w:p w14:paraId="4F9880CD" w14:textId="77777777" w:rsidR="00162EE2" w:rsidRPr="00FF42AE" w:rsidRDefault="00162EE2" w:rsidP="00162EE2">
      <w:pPr>
        <w:pStyle w:val="Heading2"/>
        <w:rPr>
          <w:rFonts w:ascii="Verdana" w:hAnsi="Verdana"/>
          <w:i w:val="0"/>
          <w:sz w:val="24"/>
          <w:szCs w:val="24"/>
        </w:rPr>
      </w:pPr>
      <w:bookmarkStart w:id="58" w:name="_Toc278625910"/>
      <w:bookmarkStart w:id="59" w:name="Appendix_2"/>
      <w:bookmarkStart w:id="60" w:name="_Toc283387988"/>
      <w:r w:rsidRPr="00FF42AE">
        <w:rPr>
          <w:rFonts w:ascii="Verdana" w:hAnsi="Verdana"/>
          <w:i w:val="0"/>
          <w:sz w:val="24"/>
          <w:szCs w:val="24"/>
        </w:rPr>
        <w:t>Appendix 2</w:t>
      </w:r>
      <w:bookmarkEnd w:id="58"/>
      <w:bookmarkEnd w:id="60"/>
    </w:p>
    <w:bookmarkEnd w:id="59"/>
    <w:p w14:paraId="28922545" w14:textId="77777777" w:rsidR="00162EE2" w:rsidRDefault="00162EE2" w:rsidP="00162EE2"/>
    <w:p w14:paraId="09AC9805" w14:textId="77777777" w:rsidR="00162EE2" w:rsidRDefault="00162EE2" w:rsidP="00162EE2">
      <w:pPr>
        <w:spacing w:after="120" w:line="288" w:lineRule="auto"/>
        <w:ind w:left="928"/>
        <w:jc w:val="center"/>
        <w:rPr>
          <w:rFonts w:ascii="Verdana" w:hAnsi="Verdana"/>
          <w:b/>
          <w:sz w:val="20"/>
          <w:szCs w:val="20"/>
        </w:rPr>
      </w:pPr>
      <w:r w:rsidRPr="000B2B10">
        <w:rPr>
          <w:rFonts w:ascii="Verdana" w:hAnsi="Verdana"/>
          <w:b/>
          <w:sz w:val="20"/>
          <w:szCs w:val="20"/>
        </w:rPr>
        <w:t>Action Plan of the Social Dimension and Lifelong Learning Working Group</w:t>
      </w:r>
    </w:p>
    <w:p w14:paraId="3D50A406" w14:textId="77777777" w:rsidR="00162EE2" w:rsidRPr="000B2B10" w:rsidRDefault="00162EE2" w:rsidP="00162EE2">
      <w:pPr>
        <w:spacing w:after="120" w:line="288" w:lineRule="auto"/>
        <w:ind w:left="928"/>
        <w:jc w:val="center"/>
        <w:rPr>
          <w:rFonts w:ascii="Verdana" w:hAnsi="Verdana"/>
          <w:b/>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4253"/>
        <w:gridCol w:w="4825"/>
        <w:gridCol w:w="3396"/>
      </w:tblGrid>
      <w:tr w:rsidR="00162EE2" w:rsidRPr="00C24C78" w14:paraId="68104383" w14:textId="77777777" w:rsidTr="007F66F9">
        <w:trPr>
          <w:trHeight w:val="341"/>
        </w:trPr>
        <w:tc>
          <w:tcPr>
            <w:tcW w:w="1843" w:type="dxa"/>
            <w:shd w:val="clear" w:color="auto" w:fill="auto"/>
          </w:tcPr>
          <w:p w14:paraId="59B15A76" w14:textId="77777777" w:rsidR="00162EE2" w:rsidRPr="00C24C78" w:rsidRDefault="00162EE2" w:rsidP="007F66F9">
            <w:pPr>
              <w:pStyle w:val="ColorfulList-Accent11"/>
              <w:spacing w:line="288" w:lineRule="auto"/>
              <w:ind w:left="0"/>
              <w:jc w:val="both"/>
              <w:rPr>
                <w:rFonts w:ascii="Verdana" w:hAnsi="Verdana"/>
                <w:b/>
                <w:sz w:val="20"/>
                <w:szCs w:val="20"/>
                <w:lang w:val="en-GB"/>
              </w:rPr>
            </w:pPr>
            <w:r w:rsidRPr="00C24C78">
              <w:rPr>
                <w:rFonts w:ascii="Verdana" w:hAnsi="Verdana"/>
                <w:b/>
                <w:sz w:val="20"/>
                <w:szCs w:val="20"/>
                <w:lang w:val="en-GB"/>
              </w:rPr>
              <w:t xml:space="preserve">Timeframe </w:t>
            </w:r>
          </w:p>
        </w:tc>
        <w:tc>
          <w:tcPr>
            <w:tcW w:w="4253" w:type="dxa"/>
            <w:shd w:val="clear" w:color="auto" w:fill="auto"/>
          </w:tcPr>
          <w:p w14:paraId="03E84A5F" w14:textId="77777777" w:rsidR="00162EE2" w:rsidRPr="00C24C78" w:rsidRDefault="00162EE2" w:rsidP="007F66F9">
            <w:pPr>
              <w:pStyle w:val="ColorfulList-Accent11"/>
              <w:spacing w:line="288" w:lineRule="auto"/>
              <w:ind w:left="0"/>
              <w:jc w:val="both"/>
              <w:rPr>
                <w:rFonts w:ascii="Verdana" w:hAnsi="Verdana"/>
                <w:b/>
                <w:sz w:val="20"/>
                <w:szCs w:val="20"/>
                <w:lang w:val="en-GB"/>
              </w:rPr>
            </w:pPr>
            <w:r w:rsidRPr="00C24C78">
              <w:rPr>
                <w:rFonts w:ascii="Verdana" w:hAnsi="Verdana"/>
                <w:b/>
                <w:sz w:val="20"/>
                <w:szCs w:val="20"/>
                <w:lang w:val="en-GB"/>
              </w:rPr>
              <w:t xml:space="preserve">Theme of the meeting </w:t>
            </w:r>
          </w:p>
        </w:tc>
        <w:tc>
          <w:tcPr>
            <w:tcW w:w="4825" w:type="dxa"/>
            <w:shd w:val="clear" w:color="auto" w:fill="auto"/>
          </w:tcPr>
          <w:p w14:paraId="0179C867" w14:textId="77777777" w:rsidR="00162EE2" w:rsidRPr="00C24C78" w:rsidRDefault="00162EE2" w:rsidP="007F66F9">
            <w:pPr>
              <w:pStyle w:val="ColorfulList-Accent11"/>
              <w:spacing w:line="288" w:lineRule="auto"/>
              <w:ind w:left="0"/>
              <w:jc w:val="both"/>
              <w:rPr>
                <w:rFonts w:ascii="Verdana" w:hAnsi="Verdana"/>
                <w:b/>
                <w:sz w:val="20"/>
                <w:szCs w:val="20"/>
                <w:lang w:val="en-GB"/>
              </w:rPr>
            </w:pPr>
            <w:r w:rsidRPr="00C24C78">
              <w:rPr>
                <w:rFonts w:ascii="Verdana" w:hAnsi="Verdana"/>
                <w:b/>
                <w:sz w:val="20"/>
                <w:szCs w:val="20"/>
                <w:lang w:val="en-GB"/>
              </w:rPr>
              <w:t xml:space="preserve">Expected outcomes </w:t>
            </w:r>
          </w:p>
        </w:tc>
        <w:tc>
          <w:tcPr>
            <w:tcW w:w="3396" w:type="dxa"/>
            <w:shd w:val="clear" w:color="auto" w:fill="auto"/>
          </w:tcPr>
          <w:p w14:paraId="3809B923" w14:textId="77777777" w:rsidR="00162EE2" w:rsidRPr="00C24C78" w:rsidRDefault="00162EE2" w:rsidP="007F66F9">
            <w:pPr>
              <w:pStyle w:val="ColorfulList-Accent11"/>
              <w:spacing w:line="288" w:lineRule="auto"/>
              <w:ind w:left="0"/>
              <w:jc w:val="both"/>
              <w:rPr>
                <w:rFonts w:ascii="Verdana" w:hAnsi="Verdana"/>
                <w:b/>
                <w:sz w:val="20"/>
                <w:szCs w:val="20"/>
                <w:lang w:val="en-GB"/>
              </w:rPr>
            </w:pPr>
            <w:r w:rsidRPr="00C24C78">
              <w:rPr>
                <w:rFonts w:ascii="Verdana" w:hAnsi="Verdana"/>
                <w:b/>
                <w:sz w:val="20"/>
                <w:szCs w:val="20"/>
                <w:lang w:val="en-GB"/>
              </w:rPr>
              <w:t xml:space="preserve">Expert organisations to be invited </w:t>
            </w:r>
          </w:p>
        </w:tc>
      </w:tr>
      <w:tr w:rsidR="00162EE2" w:rsidRPr="00C24C78" w14:paraId="10F2C5A5" w14:textId="77777777" w:rsidTr="007F66F9">
        <w:trPr>
          <w:trHeight w:val="830"/>
        </w:trPr>
        <w:tc>
          <w:tcPr>
            <w:tcW w:w="1843" w:type="dxa"/>
            <w:shd w:val="clear" w:color="auto" w:fill="auto"/>
          </w:tcPr>
          <w:p w14:paraId="52FAEF0D" w14:textId="77777777" w:rsidR="00162EE2" w:rsidRPr="00C24C78" w:rsidRDefault="00162EE2" w:rsidP="007F66F9">
            <w:pPr>
              <w:pStyle w:val="ColorfulList-Accent11"/>
              <w:spacing w:line="288" w:lineRule="auto"/>
              <w:ind w:left="0"/>
              <w:jc w:val="both"/>
              <w:rPr>
                <w:rFonts w:ascii="Verdana" w:hAnsi="Verdana"/>
                <w:sz w:val="20"/>
                <w:szCs w:val="20"/>
                <w:lang w:val="en-GB"/>
              </w:rPr>
            </w:pPr>
            <w:r w:rsidRPr="00C24C78">
              <w:rPr>
                <w:rFonts w:ascii="Verdana" w:hAnsi="Verdana"/>
                <w:sz w:val="20"/>
                <w:szCs w:val="20"/>
                <w:lang w:val="en-GB"/>
              </w:rPr>
              <w:t xml:space="preserve">2013 I half </w:t>
            </w:r>
          </w:p>
          <w:p w14:paraId="7FB1A63A" w14:textId="77777777" w:rsidR="00162EE2" w:rsidRPr="00C24C78" w:rsidRDefault="00162EE2" w:rsidP="007F66F9">
            <w:pPr>
              <w:pStyle w:val="ColorfulList-Accent11"/>
              <w:spacing w:line="288" w:lineRule="auto"/>
              <w:ind w:left="0"/>
              <w:jc w:val="both"/>
              <w:rPr>
                <w:rFonts w:ascii="Verdana" w:hAnsi="Verdana"/>
                <w:sz w:val="20"/>
                <w:szCs w:val="20"/>
                <w:lang w:val="en-GB"/>
              </w:rPr>
            </w:pPr>
          </w:p>
          <w:p w14:paraId="5D42FD79" w14:textId="77777777" w:rsidR="00162EE2" w:rsidRDefault="00162EE2" w:rsidP="007F66F9">
            <w:pPr>
              <w:pStyle w:val="ColorfulList-Accent11"/>
              <w:spacing w:line="288" w:lineRule="auto"/>
              <w:ind w:left="0"/>
              <w:jc w:val="both"/>
              <w:rPr>
                <w:rFonts w:ascii="Verdana" w:hAnsi="Verdana"/>
                <w:sz w:val="20"/>
                <w:szCs w:val="20"/>
                <w:lang w:val="en-GB"/>
              </w:rPr>
            </w:pPr>
            <w:r w:rsidRPr="00C24C78">
              <w:rPr>
                <w:rFonts w:ascii="Verdana" w:hAnsi="Verdana"/>
                <w:sz w:val="20"/>
                <w:szCs w:val="20"/>
                <w:lang w:val="en-GB"/>
              </w:rPr>
              <w:t xml:space="preserve">17 April </w:t>
            </w:r>
          </w:p>
          <w:p w14:paraId="6E02F547" w14:textId="77777777" w:rsidR="00162EE2" w:rsidRPr="00C24C78" w:rsidRDefault="00162EE2" w:rsidP="007F66F9">
            <w:pPr>
              <w:pStyle w:val="ColorfulList-Accent11"/>
              <w:spacing w:line="288" w:lineRule="auto"/>
              <w:ind w:left="0"/>
              <w:jc w:val="both"/>
              <w:rPr>
                <w:rFonts w:ascii="Verdana" w:hAnsi="Verdana"/>
                <w:sz w:val="20"/>
                <w:szCs w:val="20"/>
                <w:lang w:val="en-GB"/>
              </w:rPr>
            </w:pPr>
            <w:r w:rsidRPr="00C24C78">
              <w:rPr>
                <w:rFonts w:ascii="Verdana" w:hAnsi="Verdana"/>
                <w:sz w:val="20"/>
                <w:szCs w:val="20"/>
                <w:lang w:val="en-GB"/>
              </w:rPr>
              <w:t xml:space="preserve">WG meeting in Dublin </w:t>
            </w:r>
          </w:p>
        </w:tc>
        <w:tc>
          <w:tcPr>
            <w:tcW w:w="4253" w:type="dxa"/>
            <w:shd w:val="clear" w:color="auto" w:fill="auto"/>
          </w:tcPr>
          <w:p w14:paraId="02889B55" w14:textId="77777777" w:rsidR="00162EE2" w:rsidRPr="00C24C78" w:rsidRDefault="00162EE2" w:rsidP="007F66F9">
            <w:pPr>
              <w:pStyle w:val="ColorfulList-Accent11"/>
              <w:spacing w:line="288" w:lineRule="auto"/>
              <w:ind w:left="0"/>
              <w:rPr>
                <w:rFonts w:ascii="Verdana" w:hAnsi="Verdana"/>
                <w:b/>
                <w:sz w:val="20"/>
                <w:szCs w:val="20"/>
                <w:lang w:val="en-GB"/>
              </w:rPr>
            </w:pPr>
            <w:r w:rsidRPr="00C24C78">
              <w:rPr>
                <w:rFonts w:ascii="Verdana" w:hAnsi="Verdana"/>
                <w:sz w:val="20"/>
                <w:szCs w:val="20"/>
                <w:lang w:val="en-GB"/>
              </w:rPr>
              <w:t xml:space="preserve">Theme of the meeting: </w:t>
            </w:r>
            <w:r w:rsidRPr="00C24C78">
              <w:rPr>
                <w:rFonts w:ascii="Verdana" w:hAnsi="Verdana"/>
                <w:b/>
                <w:sz w:val="20"/>
                <w:szCs w:val="20"/>
                <w:lang w:val="en-GB"/>
              </w:rPr>
              <w:t xml:space="preserve">Lifelong learning and its role in supporting the social dimension and better skills policies. </w:t>
            </w:r>
          </w:p>
          <w:p w14:paraId="4DBBCD24" w14:textId="77777777" w:rsidR="00162EE2" w:rsidRPr="00C24C78" w:rsidRDefault="00162EE2" w:rsidP="007F66F9">
            <w:pPr>
              <w:pStyle w:val="ColorfulList-Accent11"/>
              <w:spacing w:line="288" w:lineRule="auto"/>
              <w:rPr>
                <w:rFonts w:ascii="Verdana" w:hAnsi="Verdana"/>
                <w:sz w:val="20"/>
                <w:szCs w:val="20"/>
                <w:lang w:val="en-GB"/>
              </w:rPr>
            </w:pPr>
          </w:p>
        </w:tc>
        <w:tc>
          <w:tcPr>
            <w:tcW w:w="4825" w:type="dxa"/>
            <w:shd w:val="clear" w:color="auto" w:fill="auto"/>
          </w:tcPr>
          <w:p w14:paraId="38B9BFF0" w14:textId="77777777" w:rsidR="00162EE2" w:rsidRPr="00C24C78" w:rsidRDefault="00162EE2" w:rsidP="00162EE2">
            <w:pPr>
              <w:pStyle w:val="ColorfulList-Accent11"/>
              <w:numPr>
                <w:ilvl w:val="0"/>
                <w:numId w:val="43"/>
              </w:numPr>
              <w:spacing w:line="288" w:lineRule="auto"/>
              <w:rPr>
                <w:rFonts w:ascii="Verdana" w:hAnsi="Verdana"/>
                <w:sz w:val="20"/>
                <w:szCs w:val="20"/>
                <w:lang w:val="en-GB"/>
              </w:rPr>
            </w:pPr>
            <w:r w:rsidRPr="00C24C78">
              <w:rPr>
                <w:rFonts w:ascii="Verdana" w:hAnsi="Verdana"/>
                <w:sz w:val="20"/>
                <w:szCs w:val="20"/>
                <w:lang w:val="en-GB"/>
              </w:rPr>
              <w:t>Better understanding on implementing lifelong learning policies in EHEA</w:t>
            </w:r>
          </w:p>
          <w:p w14:paraId="49052D35" w14:textId="77777777" w:rsidR="00162EE2" w:rsidRPr="00C24C78" w:rsidRDefault="00162EE2" w:rsidP="00162EE2">
            <w:pPr>
              <w:pStyle w:val="ColorfulList-Accent11"/>
              <w:numPr>
                <w:ilvl w:val="0"/>
                <w:numId w:val="43"/>
              </w:numPr>
              <w:spacing w:line="288" w:lineRule="auto"/>
              <w:rPr>
                <w:rFonts w:ascii="Verdana" w:hAnsi="Verdana"/>
                <w:sz w:val="20"/>
                <w:szCs w:val="20"/>
                <w:lang w:val="en-GB"/>
              </w:rPr>
            </w:pPr>
            <w:r w:rsidRPr="00C24C78">
              <w:rPr>
                <w:rFonts w:ascii="Verdana" w:hAnsi="Verdana"/>
                <w:sz w:val="20"/>
                <w:szCs w:val="20"/>
                <w:lang w:val="en-GB"/>
              </w:rPr>
              <w:t>Identifying barriers to LLL and policy measures/ practices on the European, national and institutional level to address those barriers</w:t>
            </w:r>
          </w:p>
          <w:p w14:paraId="66A42DFB" w14:textId="77777777" w:rsidR="00162EE2" w:rsidRPr="00C24C78" w:rsidRDefault="00162EE2" w:rsidP="00162EE2">
            <w:pPr>
              <w:pStyle w:val="ColorfulList-Accent11"/>
              <w:numPr>
                <w:ilvl w:val="0"/>
                <w:numId w:val="43"/>
              </w:numPr>
              <w:spacing w:line="288" w:lineRule="auto"/>
              <w:rPr>
                <w:rFonts w:ascii="Verdana" w:hAnsi="Verdana"/>
                <w:sz w:val="20"/>
                <w:szCs w:val="20"/>
                <w:lang w:val="en-GB"/>
              </w:rPr>
            </w:pPr>
            <w:r w:rsidRPr="00C24C78">
              <w:rPr>
                <w:rFonts w:ascii="Verdana" w:hAnsi="Verdana"/>
                <w:sz w:val="20"/>
                <w:szCs w:val="20"/>
                <w:lang w:val="en-GB"/>
              </w:rPr>
              <w:t xml:space="preserve">Demonstrations of good practice in designing and implementing LLL policies on the national and institutional level (FLLLEX project, EUA University Charter) </w:t>
            </w:r>
          </w:p>
          <w:p w14:paraId="4384ED52" w14:textId="77777777" w:rsidR="00162EE2" w:rsidRPr="00C24C78" w:rsidRDefault="00162EE2" w:rsidP="00162EE2">
            <w:pPr>
              <w:pStyle w:val="ColorfulList-Accent11"/>
              <w:numPr>
                <w:ilvl w:val="0"/>
                <w:numId w:val="43"/>
              </w:numPr>
              <w:spacing w:line="288" w:lineRule="auto"/>
              <w:rPr>
                <w:rFonts w:ascii="Verdana" w:hAnsi="Verdana"/>
                <w:sz w:val="20"/>
                <w:szCs w:val="20"/>
                <w:lang w:val="en-GB"/>
              </w:rPr>
            </w:pPr>
            <w:r w:rsidRPr="00C24C78">
              <w:rPr>
                <w:rFonts w:ascii="Verdana" w:hAnsi="Verdana"/>
                <w:sz w:val="20"/>
                <w:szCs w:val="20"/>
                <w:lang w:val="en-GB"/>
              </w:rPr>
              <w:t>Agreeing on the indicators with regard to SD&amp;LLL to be reflected in Bologna implementation report (good practice example – Irish National Access Office)</w:t>
            </w:r>
          </w:p>
          <w:p w14:paraId="5D913549" w14:textId="77777777" w:rsidR="00162EE2" w:rsidRPr="004C09C4" w:rsidRDefault="00162EE2" w:rsidP="00162EE2">
            <w:pPr>
              <w:pStyle w:val="ColorfulList-Accent11"/>
              <w:numPr>
                <w:ilvl w:val="0"/>
                <w:numId w:val="43"/>
              </w:numPr>
              <w:spacing w:line="288" w:lineRule="auto"/>
              <w:rPr>
                <w:rFonts w:ascii="Verdana" w:hAnsi="Verdana"/>
                <w:sz w:val="20"/>
                <w:szCs w:val="20"/>
                <w:lang w:val="en-GB"/>
              </w:rPr>
            </w:pPr>
            <w:r w:rsidRPr="00C24C78">
              <w:rPr>
                <w:rFonts w:ascii="Verdana" w:hAnsi="Verdana"/>
                <w:sz w:val="20"/>
                <w:szCs w:val="20"/>
                <w:lang w:val="en-GB"/>
              </w:rPr>
              <w:t xml:space="preserve">Better understanding of the activities of the Structural working group and </w:t>
            </w:r>
            <w:r w:rsidRPr="00C24C78">
              <w:rPr>
                <w:rFonts w:ascii="Verdana" w:hAnsi="Verdana"/>
                <w:sz w:val="20"/>
                <w:szCs w:val="20"/>
                <w:lang w:val="en-GB"/>
              </w:rPr>
              <w:lastRenderedPageBreak/>
              <w:t xml:space="preserve">RPL network and its relation to core objectives of SD&amp;LLL working group. </w:t>
            </w:r>
          </w:p>
        </w:tc>
        <w:tc>
          <w:tcPr>
            <w:tcW w:w="3396" w:type="dxa"/>
            <w:shd w:val="clear" w:color="auto" w:fill="auto"/>
          </w:tcPr>
          <w:p w14:paraId="26B60AD6" w14:textId="77777777" w:rsidR="00162EE2" w:rsidRPr="00C24C78" w:rsidRDefault="00162EE2" w:rsidP="00162EE2">
            <w:pPr>
              <w:pStyle w:val="ColorfulList-Accent11"/>
              <w:numPr>
                <w:ilvl w:val="0"/>
                <w:numId w:val="42"/>
              </w:numPr>
              <w:spacing w:line="288" w:lineRule="auto"/>
              <w:ind w:left="224" w:hanging="142"/>
              <w:rPr>
                <w:rFonts w:ascii="Verdana" w:hAnsi="Verdana"/>
                <w:sz w:val="20"/>
                <w:szCs w:val="20"/>
                <w:lang w:val="en-GB"/>
              </w:rPr>
            </w:pPr>
            <w:r w:rsidRPr="00C24C78">
              <w:rPr>
                <w:rFonts w:ascii="Verdana" w:hAnsi="Verdana"/>
                <w:sz w:val="20"/>
                <w:szCs w:val="20"/>
                <w:lang w:val="en-GB"/>
              </w:rPr>
              <w:lastRenderedPageBreak/>
              <w:t>EURASHE (FLLEX project and the outcomes of RPL conference)</w:t>
            </w:r>
          </w:p>
          <w:p w14:paraId="30CA7B00" w14:textId="77777777" w:rsidR="00162EE2" w:rsidRPr="00C24C78" w:rsidRDefault="00162EE2" w:rsidP="00162EE2">
            <w:pPr>
              <w:pStyle w:val="ColorfulList-Accent11"/>
              <w:numPr>
                <w:ilvl w:val="0"/>
                <w:numId w:val="42"/>
              </w:numPr>
              <w:spacing w:line="288" w:lineRule="auto"/>
              <w:ind w:left="224" w:hanging="142"/>
              <w:rPr>
                <w:rFonts w:ascii="Verdana" w:hAnsi="Verdana"/>
                <w:sz w:val="20"/>
                <w:szCs w:val="20"/>
                <w:lang w:val="en-GB"/>
              </w:rPr>
            </w:pPr>
            <w:r w:rsidRPr="00C24C78">
              <w:rPr>
                <w:rFonts w:ascii="Verdana" w:hAnsi="Verdana"/>
                <w:sz w:val="20"/>
                <w:szCs w:val="20"/>
                <w:lang w:val="en-GB"/>
              </w:rPr>
              <w:t xml:space="preserve">EUA to present LLL Charter </w:t>
            </w:r>
          </w:p>
          <w:p w14:paraId="62DD7EDF" w14:textId="77777777" w:rsidR="00162EE2" w:rsidRPr="00C24C78" w:rsidRDefault="00162EE2" w:rsidP="00162EE2">
            <w:pPr>
              <w:pStyle w:val="ColorfulList-Accent11"/>
              <w:numPr>
                <w:ilvl w:val="0"/>
                <w:numId w:val="42"/>
              </w:numPr>
              <w:spacing w:line="288" w:lineRule="auto"/>
              <w:ind w:left="224" w:hanging="142"/>
              <w:rPr>
                <w:rFonts w:ascii="Verdana" w:hAnsi="Verdana"/>
                <w:sz w:val="20"/>
                <w:szCs w:val="20"/>
                <w:lang w:val="en-GB"/>
              </w:rPr>
            </w:pPr>
            <w:r w:rsidRPr="00C24C78">
              <w:rPr>
                <w:rFonts w:ascii="Verdana" w:hAnsi="Verdana"/>
                <w:sz w:val="20"/>
                <w:szCs w:val="20"/>
                <w:lang w:val="en-GB"/>
              </w:rPr>
              <w:t>Irish example of good practice (National Access Office)</w:t>
            </w:r>
          </w:p>
          <w:p w14:paraId="665922FA" w14:textId="77777777" w:rsidR="00162EE2" w:rsidRPr="00C24C78" w:rsidRDefault="00162EE2" w:rsidP="007F66F9">
            <w:pPr>
              <w:pStyle w:val="ColorfulList-Accent11"/>
              <w:spacing w:line="288" w:lineRule="auto"/>
              <w:ind w:left="224"/>
              <w:rPr>
                <w:rFonts w:ascii="Verdana" w:hAnsi="Verdana"/>
                <w:sz w:val="20"/>
                <w:szCs w:val="20"/>
                <w:lang w:val="en-GB"/>
              </w:rPr>
            </w:pPr>
          </w:p>
          <w:p w14:paraId="049FB53A" w14:textId="77777777" w:rsidR="00162EE2" w:rsidRPr="00C24C78" w:rsidRDefault="00162EE2" w:rsidP="007F66F9">
            <w:pPr>
              <w:pStyle w:val="ColorfulList-Accent11"/>
              <w:spacing w:line="288" w:lineRule="auto"/>
              <w:ind w:left="224"/>
              <w:rPr>
                <w:rFonts w:ascii="Verdana" w:hAnsi="Verdana"/>
                <w:sz w:val="20"/>
                <w:szCs w:val="20"/>
                <w:lang w:val="en-GB"/>
              </w:rPr>
            </w:pPr>
          </w:p>
          <w:p w14:paraId="7DF834D4" w14:textId="77777777" w:rsidR="00162EE2" w:rsidRPr="00C24C78" w:rsidRDefault="00162EE2" w:rsidP="007F66F9">
            <w:pPr>
              <w:pStyle w:val="ColorfulList-Accent11"/>
              <w:spacing w:line="288" w:lineRule="auto"/>
              <w:ind w:left="224"/>
              <w:rPr>
                <w:rFonts w:ascii="Verdana" w:hAnsi="Verdana"/>
                <w:sz w:val="20"/>
                <w:szCs w:val="20"/>
                <w:lang w:val="en-GB"/>
              </w:rPr>
            </w:pPr>
          </w:p>
          <w:p w14:paraId="360FA326" w14:textId="77777777" w:rsidR="00162EE2" w:rsidRPr="00C24C78" w:rsidRDefault="00162EE2" w:rsidP="007F66F9">
            <w:pPr>
              <w:pStyle w:val="ColorfulList-Accent11"/>
              <w:spacing w:line="288" w:lineRule="auto"/>
              <w:ind w:left="0"/>
              <w:rPr>
                <w:rFonts w:ascii="Verdana" w:hAnsi="Verdana"/>
                <w:sz w:val="20"/>
                <w:szCs w:val="20"/>
                <w:lang w:val="en-GB"/>
              </w:rPr>
            </w:pPr>
            <w:r w:rsidRPr="00C24C78">
              <w:rPr>
                <w:rFonts w:ascii="Verdana" w:hAnsi="Verdana"/>
                <w:sz w:val="20"/>
                <w:szCs w:val="20"/>
                <w:lang w:val="en-GB"/>
              </w:rPr>
              <w:t xml:space="preserve"> </w:t>
            </w:r>
          </w:p>
        </w:tc>
      </w:tr>
      <w:tr w:rsidR="00162EE2" w:rsidRPr="00A07C43" w14:paraId="562BC804" w14:textId="77777777" w:rsidTr="007F66F9">
        <w:trPr>
          <w:trHeight w:val="83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50071" w14:textId="77777777" w:rsidR="00162EE2" w:rsidRPr="00861A69" w:rsidRDefault="00162EE2" w:rsidP="007F66F9">
            <w:pPr>
              <w:pStyle w:val="ColorfulList-Accent11"/>
              <w:spacing w:line="288" w:lineRule="auto"/>
              <w:jc w:val="both"/>
              <w:rPr>
                <w:rFonts w:ascii="Verdana" w:hAnsi="Verdana"/>
                <w:sz w:val="20"/>
                <w:szCs w:val="20"/>
                <w:lang w:val="en-GB"/>
              </w:rPr>
            </w:pPr>
            <w:r w:rsidRPr="00861A69">
              <w:rPr>
                <w:rFonts w:ascii="Verdana" w:hAnsi="Verdana"/>
                <w:sz w:val="20"/>
                <w:szCs w:val="20"/>
                <w:lang w:val="en-GB"/>
              </w:rPr>
              <w:lastRenderedPageBreak/>
              <w:br/>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B3EBD0E" w14:textId="77777777" w:rsidR="00162EE2" w:rsidRPr="00861A69" w:rsidRDefault="00162EE2" w:rsidP="007F66F9">
            <w:pPr>
              <w:pStyle w:val="ColorfulList-Accent11"/>
              <w:spacing w:line="288" w:lineRule="auto"/>
              <w:rPr>
                <w:rFonts w:ascii="Verdana" w:hAnsi="Verdana"/>
                <w:sz w:val="20"/>
                <w:szCs w:val="20"/>
                <w:lang w:val="en-GB"/>
              </w:rPr>
            </w:pPr>
            <w:r w:rsidRPr="00861A69">
              <w:rPr>
                <w:rFonts w:ascii="Verdana" w:hAnsi="Verdana"/>
                <w:sz w:val="20"/>
                <w:szCs w:val="20"/>
                <w:lang w:val="en-GB"/>
              </w:rPr>
              <w:br/>
            </w:r>
          </w:p>
        </w:tc>
        <w:tc>
          <w:tcPr>
            <w:tcW w:w="4825" w:type="dxa"/>
            <w:tcBorders>
              <w:top w:val="single" w:sz="4" w:space="0" w:color="auto"/>
              <w:left w:val="single" w:sz="4" w:space="0" w:color="auto"/>
              <w:bottom w:val="single" w:sz="4" w:space="0" w:color="auto"/>
              <w:right w:val="single" w:sz="4" w:space="0" w:color="auto"/>
            </w:tcBorders>
            <w:shd w:val="clear" w:color="auto" w:fill="auto"/>
          </w:tcPr>
          <w:p w14:paraId="00E778F0" w14:textId="77777777" w:rsidR="00162EE2" w:rsidRPr="00861A69" w:rsidRDefault="00162EE2" w:rsidP="007F66F9">
            <w:pPr>
              <w:pStyle w:val="ColorfulList-Accent11"/>
              <w:tabs>
                <w:tab w:val="num" w:pos="720"/>
              </w:tabs>
              <w:spacing w:line="288" w:lineRule="auto"/>
              <w:ind w:hanging="363"/>
              <w:rPr>
                <w:rFonts w:ascii="Verdana" w:hAnsi="Verdana"/>
                <w:b/>
                <w:sz w:val="20"/>
                <w:szCs w:val="20"/>
                <w:lang w:val="en-GB"/>
              </w:rPr>
            </w:pPr>
            <w:r w:rsidRPr="00861A69">
              <w:rPr>
                <w:rFonts w:ascii="Verdana" w:hAnsi="Verdana"/>
                <w:b/>
                <w:sz w:val="20"/>
                <w:szCs w:val="20"/>
                <w:lang w:val="en-GB"/>
              </w:rPr>
              <w:t>On the agenda</w:t>
            </w: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4B17412A" w14:textId="77777777" w:rsidR="00162EE2" w:rsidRPr="00861A69" w:rsidRDefault="00162EE2" w:rsidP="007F66F9">
            <w:pPr>
              <w:pStyle w:val="ColorfulList-Accent11"/>
              <w:spacing w:line="288" w:lineRule="auto"/>
              <w:ind w:left="224" w:hanging="142"/>
              <w:rPr>
                <w:rFonts w:ascii="Verdana" w:hAnsi="Verdana"/>
                <w:b/>
                <w:sz w:val="20"/>
                <w:szCs w:val="20"/>
                <w:lang w:val="en-GB"/>
              </w:rPr>
            </w:pPr>
            <w:r w:rsidRPr="00861A69">
              <w:rPr>
                <w:rFonts w:ascii="Verdana" w:hAnsi="Verdana"/>
                <w:b/>
                <w:sz w:val="20"/>
                <w:szCs w:val="20"/>
                <w:lang w:val="en-GB"/>
              </w:rPr>
              <w:t>Expert organisations to be invited</w:t>
            </w:r>
          </w:p>
        </w:tc>
      </w:tr>
      <w:tr w:rsidR="00162EE2" w:rsidRPr="00A07C43" w14:paraId="3133B4FC" w14:textId="77777777" w:rsidTr="007F66F9">
        <w:trPr>
          <w:trHeight w:val="83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A52C00"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 xml:space="preserve">2013 II half </w:t>
            </w:r>
          </w:p>
          <w:p w14:paraId="2395E115" w14:textId="77777777" w:rsidR="00162EE2" w:rsidRPr="00861A69" w:rsidRDefault="00162EE2" w:rsidP="007F66F9">
            <w:pPr>
              <w:pStyle w:val="ColorfulList-Accent11"/>
              <w:spacing w:line="288" w:lineRule="auto"/>
              <w:jc w:val="both"/>
              <w:rPr>
                <w:rFonts w:ascii="Verdana" w:hAnsi="Verdana"/>
                <w:sz w:val="20"/>
                <w:szCs w:val="20"/>
                <w:lang w:val="en-GB"/>
              </w:rPr>
            </w:pPr>
          </w:p>
          <w:p w14:paraId="47E89761"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 xml:space="preserve">Optional </w:t>
            </w:r>
            <w:proofErr w:type="spellStart"/>
            <w:r w:rsidRPr="00861A69">
              <w:rPr>
                <w:rFonts w:ascii="Verdana" w:hAnsi="Verdana"/>
                <w:sz w:val="20"/>
                <w:szCs w:val="20"/>
                <w:lang w:val="en-GB"/>
              </w:rPr>
              <w:t>ExpandO</w:t>
            </w:r>
            <w:proofErr w:type="spellEnd"/>
          </w:p>
          <w:p w14:paraId="41043948" w14:textId="77777777" w:rsidR="00162EE2" w:rsidRPr="00861A69" w:rsidRDefault="00162EE2" w:rsidP="007F66F9">
            <w:pPr>
              <w:pStyle w:val="ColorfulList-Accent11"/>
              <w:spacing w:line="288" w:lineRule="auto"/>
              <w:ind w:left="0"/>
              <w:jc w:val="both"/>
              <w:rPr>
                <w:rFonts w:ascii="Verdana" w:hAnsi="Verdana"/>
                <w:sz w:val="20"/>
                <w:szCs w:val="20"/>
                <w:lang w:val="en-GB"/>
              </w:rPr>
            </w:pPr>
            <w:proofErr w:type="gramStart"/>
            <w:r w:rsidRPr="00861A69">
              <w:rPr>
                <w:rFonts w:ascii="Verdana" w:hAnsi="Verdana"/>
                <w:sz w:val="20"/>
                <w:szCs w:val="20"/>
                <w:lang w:val="en-GB"/>
              </w:rPr>
              <w:t>conference</w:t>
            </w:r>
            <w:proofErr w:type="gramEnd"/>
            <w:r w:rsidRPr="00861A69">
              <w:rPr>
                <w:rFonts w:ascii="Verdana" w:hAnsi="Verdana"/>
                <w:sz w:val="20"/>
                <w:szCs w:val="20"/>
                <w:lang w:val="en-GB"/>
              </w:rPr>
              <w:t xml:space="preserve"> followed by a</w:t>
            </w:r>
          </w:p>
          <w:p w14:paraId="5A165F37"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2-day meeting</w:t>
            </w:r>
          </w:p>
          <w:p w14:paraId="274F9594"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br/>
              <w:t>13-14 November WG meeting in Ghent</w:t>
            </w:r>
          </w:p>
          <w:p w14:paraId="332A0504" w14:textId="77777777" w:rsidR="00162EE2" w:rsidRPr="00861A69" w:rsidRDefault="00162EE2" w:rsidP="007F66F9">
            <w:pPr>
              <w:pStyle w:val="ColorfulList-Accent11"/>
              <w:spacing w:line="288" w:lineRule="auto"/>
              <w:jc w:val="both"/>
              <w:rPr>
                <w:rFonts w:ascii="Verdana" w:hAnsi="Verdana"/>
                <w:sz w:val="20"/>
                <w:szCs w:val="20"/>
                <w:lang w:val="en-GB"/>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E0F3168" w14:textId="77777777" w:rsidR="00162EE2" w:rsidRPr="00861A69" w:rsidRDefault="00162EE2" w:rsidP="007F66F9">
            <w:pPr>
              <w:pStyle w:val="ColorfulList-Accent11"/>
              <w:spacing w:line="288" w:lineRule="auto"/>
              <w:ind w:left="0"/>
              <w:rPr>
                <w:rFonts w:ascii="Verdana" w:hAnsi="Verdana"/>
                <w:b/>
                <w:sz w:val="20"/>
                <w:szCs w:val="20"/>
                <w:lang w:val="en-GB"/>
              </w:rPr>
            </w:pPr>
            <w:r w:rsidRPr="00861A69">
              <w:rPr>
                <w:rFonts w:ascii="Verdana" w:hAnsi="Verdana"/>
                <w:b/>
                <w:sz w:val="20"/>
                <w:szCs w:val="20"/>
                <w:lang w:val="en-GB"/>
              </w:rPr>
              <w:t>Day 1: Thematic in-depth session:</w:t>
            </w:r>
          </w:p>
          <w:p w14:paraId="57E76382" w14:textId="77777777" w:rsidR="00162EE2" w:rsidRPr="00861A69" w:rsidRDefault="00162EE2" w:rsidP="007F66F9">
            <w:pPr>
              <w:pStyle w:val="ColorfulList-Accent11"/>
              <w:spacing w:line="288" w:lineRule="auto"/>
              <w:ind w:left="0"/>
              <w:rPr>
                <w:rFonts w:ascii="Verdana" w:hAnsi="Verdana"/>
                <w:b/>
                <w:sz w:val="20"/>
                <w:szCs w:val="20"/>
                <w:lang w:val="en-GB"/>
              </w:rPr>
            </w:pPr>
            <w:r w:rsidRPr="00861A69">
              <w:rPr>
                <w:rFonts w:ascii="Verdana" w:hAnsi="Verdana"/>
                <w:b/>
                <w:sz w:val="20"/>
                <w:szCs w:val="20"/>
                <w:lang w:val="en-GB"/>
              </w:rPr>
              <w:t xml:space="preserve">Teaching, learning and supportive environments. </w:t>
            </w:r>
          </w:p>
          <w:p w14:paraId="62E14E76" w14:textId="77777777" w:rsidR="00162EE2" w:rsidRPr="00861A69" w:rsidRDefault="00162EE2" w:rsidP="007F66F9">
            <w:pPr>
              <w:pStyle w:val="ColorfulList-Accent11"/>
              <w:spacing w:line="288" w:lineRule="auto"/>
              <w:rPr>
                <w:rFonts w:ascii="Verdana" w:hAnsi="Verdana"/>
                <w:b/>
                <w:sz w:val="20"/>
                <w:szCs w:val="20"/>
                <w:lang w:val="en-GB"/>
              </w:rPr>
            </w:pPr>
            <w:r w:rsidRPr="00861A69">
              <w:rPr>
                <w:rFonts w:ascii="Verdana" w:hAnsi="Verdana"/>
                <w:b/>
                <w:sz w:val="20"/>
                <w:szCs w:val="20"/>
                <w:lang w:val="en-GB"/>
              </w:rPr>
              <w:br/>
            </w:r>
          </w:p>
          <w:p w14:paraId="788BF5B5" w14:textId="77777777" w:rsidR="00162EE2" w:rsidRPr="00861A69" w:rsidRDefault="00162EE2" w:rsidP="007F66F9">
            <w:pPr>
              <w:pStyle w:val="ColorfulList-Accent11"/>
              <w:spacing w:line="288" w:lineRule="auto"/>
              <w:ind w:left="0"/>
              <w:rPr>
                <w:rFonts w:ascii="Verdana" w:hAnsi="Verdana"/>
                <w:b/>
                <w:sz w:val="20"/>
                <w:szCs w:val="20"/>
                <w:lang w:val="en-GB"/>
              </w:rPr>
            </w:pPr>
            <w:r w:rsidRPr="00861A69">
              <w:rPr>
                <w:rFonts w:ascii="Verdana" w:hAnsi="Verdana"/>
                <w:b/>
                <w:sz w:val="20"/>
                <w:szCs w:val="20"/>
                <w:lang w:val="en-GB"/>
              </w:rPr>
              <w:t xml:space="preserve">Day 2: Internal </w:t>
            </w:r>
            <w:proofErr w:type="gramStart"/>
            <w:r w:rsidRPr="00861A69">
              <w:rPr>
                <w:rFonts w:ascii="Verdana" w:hAnsi="Verdana"/>
                <w:b/>
                <w:sz w:val="20"/>
                <w:szCs w:val="20"/>
                <w:lang w:val="en-GB"/>
              </w:rPr>
              <w:t>work day</w:t>
            </w:r>
            <w:proofErr w:type="gramEnd"/>
            <w:r w:rsidRPr="00861A69">
              <w:rPr>
                <w:rFonts w:ascii="Verdana" w:hAnsi="Verdana"/>
                <w:b/>
                <w:sz w:val="20"/>
                <w:szCs w:val="20"/>
                <w:lang w:val="en-GB"/>
              </w:rPr>
              <w:t xml:space="preserve"> incl.</w:t>
            </w:r>
          </w:p>
          <w:p w14:paraId="2C5E0FB9" w14:textId="77777777" w:rsidR="00162EE2" w:rsidRPr="00861A69" w:rsidRDefault="00162EE2" w:rsidP="007F66F9">
            <w:pPr>
              <w:pStyle w:val="ColorfulList-Accent11"/>
              <w:spacing w:line="288" w:lineRule="auto"/>
              <w:ind w:left="0"/>
              <w:rPr>
                <w:rFonts w:ascii="Verdana" w:hAnsi="Verdana"/>
                <w:b/>
                <w:sz w:val="20"/>
                <w:szCs w:val="20"/>
                <w:lang w:val="en-GB"/>
              </w:rPr>
            </w:pPr>
            <w:proofErr w:type="gramStart"/>
            <w:r w:rsidRPr="00861A69">
              <w:rPr>
                <w:rFonts w:ascii="Verdana" w:hAnsi="Verdana"/>
                <w:b/>
                <w:sz w:val="20"/>
                <w:szCs w:val="20"/>
                <w:lang w:val="en-GB"/>
              </w:rPr>
              <w:t>follow</w:t>
            </w:r>
            <w:proofErr w:type="gramEnd"/>
            <w:r w:rsidRPr="00861A69">
              <w:rPr>
                <w:rFonts w:ascii="Verdana" w:hAnsi="Verdana"/>
                <w:b/>
                <w:sz w:val="20"/>
                <w:szCs w:val="20"/>
                <w:lang w:val="en-GB"/>
              </w:rPr>
              <w:t xml:space="preserve"> up of thematic strands</w:t>
            </w:r>
          </w:p>
          <w:p w14:paraId="2F8E067F" w14:textId="77777777" w:rsidR="00162EE2" w:rsidRPr="00861A69" w:rsidRDefault="00162EE2" w:rsidP="007F66F9">
            <w:pPr>
              <w:pStyle w:val="ColorfulList-Accent11"/>
              <w:spacing w:line="288" w:lineRule="auto"/>
              <w:rPr>
                <w:rFonts w:ascii="Verdana" w:hAnsi="Verdana"/>
                <w:sz w:val="20"/>
                <w:szCs w:val="20"/>
                <w:lang w:val="en-GB"/>
              </w:rPr>
            </w:pPr>
            <w:r w:rsidRPr="00861A69">
              <w:rPr>
                <w:rFonts w:ascii="Verdana" w:hAnsi="Verdana"/>
                <w:sz w:val="20"/>
                <w:szCs w:val="20"/>
                <w:lang w:val="en-GB"/>
              </w:rPr>
              <w:br/>
            </w:r>
            <w:r w:rsidRPr="00861A69">
              <w:rPr>
                <w:rFonts w:ascii="Verdana" w:hAnsi="Verdana"/>
                <w:sz w:val="20"/>
                <w:szCs w:val="20"/>
                <w:lang w:val="en-GB"/>
              </w:rPr>
              <w:br/>
            </w:r>
          </w:p>
        </w:tc>
        <w:tc>
          <w:tcPr>
            <w:tcW w:w="4825" w:type="dxa"/>
            <w:tcBorders>
              <w:top w:val="single" w:sz="4" w:space="0" w:color="auto"/>
              <w:left w:val="single" w:sz="4" w:space="0" w:color="auto"/>
              <w:bottom w:val="single" w:sz="4" w:space="0" w:color="auto"/>
              <w:right w:val="single" w:sz="4" w:space="0" w:color="auto"/>
            </w:tcBorders>
            <w:shd w:val="clear" w:color="auto" w:fill="auto"/>
          </w:tcPr>
          <w:p w14:paraId="769C0B41" w14:textId="77777777" w:rsidR="00162EE2" w:rsidRPr="00861A69" w:rsidRDefault="00162EE2" w:rsidP="007F66F9">
            <w:pPr>
              <w:pStyle w:val="ColorfulList-Accent11"/>
              <w:tabs>
                <w:tab w:val="num" w:pos="720"/>
              </w:tabs>
              <w:spacing w:line="288" w:lineRule="auto"/>
              <w:ind w:left="0"/>
              <w:rPr>
                <w:rFonts w:ascii="Verdana" w:hAnsi="Verdana"/>
                <w:sz w:val="20"/>
                <w:szCs w:val="20"/>
                <w:lang w:val="en-GB"/>
              </w:rPr>
            </w:pPr>
            <w:r w:rsidRPr="00861A69">
              <w:rPr>
                <w:rFonts w:ascii="Verdana" w:hAnsi="Verdana"/>
                <w:sz w:val="20"/>
                <w:szCs w:val="20"/>
                <w:lang w:val="en-GB"/>
              </w:rPr>
              <w:t>Day 1:</w:t>
            </w:r>
          </w:p>
          <w:p w14:paraId="5B68A3A3" w14:textId="77777777" w:rsidR="00162EE2" w:rsidRPr="00861A69" w:rsidRDefault="00162EE2" w:rsidP="00162EE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Briefing on the latest developments and findings with regards to quality teaching on the European level (High-level working group on Excellence in teaching, ESG revision process)</w:t>
            </w:r>
          </w:p>
          <w:p w14:paraId="585A9B20" w14:textId="77777777" w:rsidR="00162EE2" w:rsidRPr="00861A69" w:rsidRDefault="00162EE2" w:rsidP="00162EE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 xml:space="preserve">Discuss what recommendations could already be made. </w:t>
            </w:r>
          </w:p>
          <w:p w14:paraId="26FDFE95" w14:textId="77777777" w:rsidR="00162EE2" w:rsidRPr="00861A69" w:rsidRDefault="00162EE2" w:rsidP="00162EE2">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Give clear input to on-going research processes and projects</w:t>
            </w:r>
          </w:p>
          <w:p w14:paraId="791C5971"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p>
          <w:p w14:paraId="4FA0308C"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t>Day 2:</w:t>
            </w:r>
          </w:p>
          <w:p w14:paraId="4F73454C" w14:textId="77777777" w:rsidR="00162EE2" w:rsidRPr="00861A69" w:rsidRDefault="00162EE2" w:rsidP="00162EE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Agree on the new action plan including the work of the ad-hoc groups and the co-chairs.</w:t>
            </w:r>
          </w:p>
          <w:p w14:paraId="143657AB" w14:textId="77777777" w:rsidR="00162EE2" w:rsidRPr="00861A69" w:rsidRDefault="00162EE2" w:rsidP="00162EE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Decide on ad-hoc group members</w:t>
            </w:r>
          </w:p>
          <w:p w14:paraId="03CDF38C" w14:textId="77777777" w:rsidR="00162EE2" w:rsidRPr="00861A69" w:rsidRDefault="00162EE2" w:rsidP="00162EE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Get updated on current developments in the thematic streams</w:t>
            </w:r>
          </w:p>
          <w:p w14:paraId="0F04ECB9" w14:textId="77777777" w:rsidR="00162EE2" w:rsidRPr="00861A69" w:rsidRDefault="00162EE2" w:rsidP="00162EE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Update on what will be in Erasmus+ and Horizon2020 relating to the work of the group.</w:t>
            </w:r>
          </w:p>
          <w:p w14:paraId="4AFA24C9" w14:textId="77777777" w:rsidR="00162EE2" w:rsidRPr="00861A69" w:rsidRDefault="00162EE2" w:rsidP="00162EE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Get update from and give recommendations to PL4SD</w:t>
            </w:r>
          </w:p>
          <w:p w14:paraId="796219F8"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br/>
            </w:r>
            <w:r w:rsidRPr="00861A69">
              <w:rPr>
                <w:rFonts w:ascii="Verdana" w:hAnsi="Verdana"/>
                <w:sz w:val="20"/>
                <w:szCs w:val="20"/>
                <w:lang w:val="en-GB"/>
              </w:rPr>
              <w:br/>
            </w:r>
            <w:r w:rsidRPr="00861A69">
              <w:rPr>
                <w:rFonts w:ascii="Verdana" w:hAnsi="Verdana"/>
                <w:sz w:val="20"/>
                <w:szCs w:val="20"/>
                <w:lang w:val="en-GB"/>
              </w:rPr>
              <w:lastRenderedPageBreak/>
              <w:br/>
            </w:r>
            <w:r w:rsidRPr="00861A69">
              <w:rPr>
                <w:rFonts w:ascii="Verdana" w:hAnsi="Verdana"/>
                <w:sz w:val="20"/>
                <w:szCs w:val="20"/>
                <w:lang w:val="en-GB"/>
              </w:rPr>
              <w:br/>
            </w: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438B2EF6"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lastRenderedPageBreak/>
              <w:t>Day 1:</w:t>
            </w:r>
          </w:p>
          <w:p w14:paraId="4D95748C"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br/>
            </w:r>
          </w:p>
          <w:p w14:paraId="79A50F40" w14:textId="77777777" w:rsidR="00162EE2" w:rsidRPr="00861A69" w:rsidRDefault="00162EE2" w:rsidP="00162EE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 xml:space="preserve">Representatives from the high-level group on excellence in teaching representative </w:t>
            </w:r>
          </w:p>
          <w:p w14:paraId="4C46F5C6"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br/>
            </w:r>
          </w:p>
          <w:p w14:paraId="594F7995" w14:textId="77777777" w:rsidR="00162EE2" w:rsidRPr="00861A69" w:rsidRDefault="00162EE2" w:rsidP="00162EE2">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 xml:space="preserve">WG member, working on the institutional level </w:t>
            </w:r>
          </w:p>
          <w:p w14:paraId="58F81C00"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br/>
            </w:r>
          </w:p>
          <w:p w14:paraId="415701CB" w14:textId="77777777" w:rsidR="00162EE2" w:rsidRPr="00861A69" w:rsidRDefault="00162EE2" w:rsidP="00162EE2">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 xml:space="preserve">Principal investigator (Marie Clarke) from the EI-project on a more supportive environment for staff </w:t>
            </w:r>
          </w:p>
          <w:p w14:paraId="41ECA1C3" w14:textId="77777777" w:rsidR="00162EE2" w:rsidRPr="00861A69" w:rsidRDefault="00162EE2" w:rsidP="007F66F9">
            <w:pPr>
              <w:pStyle w:val="ColorfulList-Accent11"/>
              <w:spacing w:line="288" w:lineRule="auto"/>
              <w:ind w:left="224" w:hanging="142"/>
              <w:rPr>
                <w:rFonts w:ascii="Verdana" w:hAnsi="Verdana"/>
                <w:sz w:val="20"/>
                <w:szCs w:val="20"/>
                <w:lang w:val="en-GB"/>
              </w:rPr>
            </w:pPr>
          </w:p>
          <w:p w14:paraId="2E068797" w14:textId="77777777" w:rsidR="00162EE2" w:rsidRPr="00861A69" w:rsidRDefault="00162EE2" w:rsidP="00162EE2">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EI and ESU on Student-</w:t>
            </w:r>
            <w:proofErr w:type="spellStart"/>
            <w:r w:rsidRPr="00861A69">
              <w:rPr>
                <w:rFonts w:ascii="Verdana" w:hAnsi="Verdana"/>
                <w:sz w:val="20"/>
                <w:szCs w:val="20"/>
              </w:rPr>
              <w:t>centred</w:t>
            </w:r>
            <w:proofErr w:type="spellEnd"/>
            <w:r w:rsidRPr="00861A69">
              <w:rPr>
                <w:rFonts w:ascii="Verdana" w:hAnsi="Verdana"/>
                <w:sz w:val="20"/>
                <w:szCs w:val="20"/>
              </w:rPr>
              <w:t xml:space="preserve"> learning toolkit and its promotion</w:t>
            </w:r>
          </w:p>
          <w:p w14:paraId="4B8C65D9" w14:textId="77777777" w:rsidR="00162EE2" w:rsidRPr="00861A69" w:rsidRDefault="00162EE2" w:rsidP="007F66F9">
            <w:pPr>
              <w:pStyle w:val="ColorfulList-Accent11"/>
              <w:spacing w:line="288" w:lineRule="auto"/>
              <w:ind w:left="0"/>
              <w:rPr>
                <w:rFonts w:ascii="Verdana" w:hAnsi="Verdana"/>
                <w:sz w:val="20"/>
                <w:szCs w:val="20"/>
                <w:lang w:val="en-GB"/>
              </w:rPr>
            </w:pPr>
          </w:p>
          <w:p w14:paraId="642C264C"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t>Day 2:</w:t>
            </w:r>
          </w:p>
          <w:p w14:paraId="0CC6241A" w14:textId="77777777" w:rsidR="00162EE2" w:rsidRPr="00861A69" w:rsidRDefault="00162EE2" w:rsidP="00162EE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DG-Research (LLL)</w:t>
            </w:r>
          </w:p>
          <w:p w14:paraId="2863C1E7" w14:textId="77777777" w:rsidR="00162EE2" w:rsidRPr="00861A69" w:rsidRDefault="00162EE2" w:rsidP="00162EE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lastRenderedPageBreak/>
              <w:t>DG-Education</w:t>
            </w:r>
          </w:p>
          <w:p w14:paraId="16128733" w14:textId="77777777" w:rsidR="00162EE2" w:rsidRPr="00861A69" w:rsidRDefault="00162EE2" w:rsidP="00162EE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PL4SD</w:t>
            </w:r>
          </w:p>
          <w:p w14:paraId="5FD95F8E" w14:textId="77777777" w:rsidR="00162EE2" w:rsidRPr="0008446E" w:rsidRDefault="00162EE2" w:rsidP="00162EE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proofErr w:type="spellStart"/>
            <w:r w:rsidRPr="00861A69">
              <w:rPr>
                <w:rFonts w:ascii="Verdana" w:hAnsi="Verdana"/>
                <w:sz w:val="20"/>
                <w:szCs w:val="20"/>
              </w:rPr>
              <w:t>ExpandO</w:t>
            </w:r>
            <w:proofErr w:type="spellEnd"/>
          </w:p>
        </w:tc>
      </w:tr>
      <w:tr w:rsidR="00162EE2" w:rsidRPr="00A07C43" w14:paraId="271EC1AC" w14:textId="77777777" w:rsidTr="007F66F9">
        <w:trPr>
          <w:trHeight w:val="1267"/>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B2FEB1"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lastRenderedPageBreak/>
              <w:t xml:space="preserve">2014 I half </w:t>
            </w:r>
          </w:p>
          <w:p w14:paraId="18E1894C" w14:textId="77777777" w:rsidR="00162EE2" w:rsidRPr="00861A69" w:rsidRDefault="00162EE2" w:rsidP="007F66F9">
            <w:pPr>
              <w:pStyle w:val="ColorfulList-Accent11"/>
              <w:spacing w:line="288" w:lineRule="auto"/>
              <w:jc w:val="both"/>
              <w:rPr>
                <w:rFonts w:ascii="Verdana" w:hAnsi="Verdana"/>
                <w:sz w:val="20"/>
                <w:szCs w:val="20"/>
                <w:lang w:val="en-GB"/>
              </w:rPr>
            </w:pPr>
            <w:r w:rsidRPr="00861A69">
              <w:rPr>
                <w:rFonts w:ascii="Verdana" w:hAnsi="Verdana"/>
                <w:sz w:val="20"/>
                <w:szCs w:val="20"/>
                <w:lang w:val="en-GB"/>
              </w:rPr>
              <w:br/>
            </w:r>
          </w:p>
          <w:p w14:paraId="1F5CD68B"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PL4SD interim-conference followed by</w:t>
            </w:r>
          </w:p>
          <w:p w14:paraId="479F533C"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 xml:space="preserve">2-day meeting </w:t>
            </w:r>
          </w:p>
          <w:p w14:paraId="4648FC3D" w14:textId="77777777" w:rsidR="00162EE2" w:rsidRPr="00861A69" w:rsidRDefault="00162EE2" w:rsidP="007F66F9">
            <w:pPr>
              <w:pStyle w:val="ColorfulList-Accent11"/>
              <w:spacing w:line="288" w:lineRule="auto"/>
              <w:jc w:val="both"/>
              <w:rPr>
                <w:rFonts w:ascii="Verdana" w:hAnsi="Verdana"/>
                <w:sz w:val="20"/>
                <w:szCs w:val="20"/>
                <w:lang w:val="en-GB"/>
              </w:rPr>
            </w:pPr>
            <w:r w:rsidRPr="00861A69">
              <w:rPr>
                <w:rFonts w:ascii="Verdana" w:hAnsi="Verdana"/>
                <w:sz w:val="20"/>
                <w:szCs w:val="20"/>
                <w:lang w:val="en-GB"/>
              </w:rPr>
              <w:br/>
            </w:r>
          </w:p>
          <w:p w14:paraId="79018906"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3-4 April WG meeting in</w:t>
            </w:r>
          </w:p>
          <w:p w14:paraId="4AF2955A"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Austria</w:t>
            </w:r>
          </w:p>
          <w:p w14:paraId="5758865E" w14:textId="77777777" w:rsidR="00162EE2" w:rsidRPr="00861A69" w:rsidRDefault="00162EE2" w:rsidP="007F66F9">
            <w:pPr>
              <w:pStyle w:val="ColorfulList-Accent11"/>
              <w:spacing w:line="288" w:lineRule="auto"/>
              <w:ind w:left="0"/>
              <w:jc w:val="both"/>
              <w:rPr>
                <w:rFonts w:ascii="Verdana" w:hAnsi="Verdana"/>
                <w:sz w:val="20"/>
                <w:szCs w:val="20"/>
                <w:lang w:val="en-GB"/>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A27BAD5" w14:textId="77777777" w:rsidR="00162EE2" w:rsidRPr="00861A69" w:rsidRDefault="00162EE2" w:rsidP="007F66F9">
            <w:pPr>
              <w:pStyle w:val="ColorfulList-Accent11"/>
              <w:spacing w:line="288" w:lineRule="auto"/>
              <w:ind w:left="0"/>
              <w:rPr>
                <w:rFonts w:ascii="Verdana" w:hAnsi="Verdana"/>
                <w:b/>
                <w:sz w:val="20"/>
                <w:szCs w:val="20"/>
                <w:lang w:val="en-GB"/>
              </w:rPr>
            </w:pPr>
            <w:r w:rsidRPr="00861A69">
              <w:rPr>
                <w:rFonts w:ascii="Verdana" w:hAnsi="Verdana"/>
                <w:b/>
                <w:sz w:val="20"/>
                <w:szCs w:val="20"/>
                <w:lang w:val="en-GB"/>
              </w:rPr>
              <w:t>Day 1: Thematic in-depth session on access to higher education</w:t>
            </w:r>
          </w:p>
          <w:p w14:paraId="613772CA" w14:textId="77777777" w:rsidR="00162EE2" w:rsidRPr="00861A69" w:rsidRDefault="00162EE2" w:rsidP="007F66F9">
            <w:pPr>
              <w:pStyle w:val="ColorfulList-Accent11"/>
              <w:spacing w:line="288" w:lineRule="auto"/>
              <w:rPr>
                <w:rFonts w:ascii="Verdana" w:hAnsi="Verdana"/>
                <w:b/>
                <w:sz w:val="20"/>
                <w:szCs w:val="20"/>
                <w:lang w:val="en-GB"/>
              </w:rPr>
            </w:pPr>
            <w:r w:rsidRPr="00861A69">
              <w:rPr>
                <w:rFonts w:ascii="Verdana" w:hAnsi="Verdana"/>
                <w:b/>
                <w:sz w:val="20"/>
                <w:szCs w:val="20"/>
                <w:lang w:val="en-GB"/>
              </w:rPr>
              <w:br/>
            </w:r>
          </w:p>
          <w:p w14:paraId="273BA180" w14:textId="77777777" w:rsidR="00162EE2" w:rsidRPr="00861A69" w:rsidRDefault="00162EE2" w:rsidP="007F66F9">
            <w:pPr>
              <w:pStyle w:val="ColorfulList-Accent11"/>
              <w:spacing w:line="288" w:lineRule="auto"/>
              <w:ind w:left="0"/>
              <w:rPr>
                <w:rFonts w:ascii="Verdana" w:hAnsi="Verdana"/>
                <w:b/>
                <w:sz w:val="20"/>
                <w:szCs w:val="20"/>
                <w:lang w:val="en-GB"/>
              </w:rPr>
            </w:pPr>
            <w:r w:rsidRPr="00861A69">
              <w:rPr>
                <w:rFonts w:ascii="Verdana" w:hAnsi="Verdana"/>
                <w:b/>
                <w:sz w:val="20"/>
                <w:szCs w:val="20"/>
                <w:lang w:val="en-GB"/>
              </w:rPr>
              <w:t>Day 2: Internal work day, strategy discussion and follow up of the thematic strands</w:t>
            </w:r>
          </w:p>
          <w:p w14:paraId="35AF777A" w14:textId="77777777" w:rsidR="00162EE2" w:rsidRPr="00861A69" w:rsidRDefault="00162EE2" w:rsidP="007F66F9">
            <w:pPr>
              <w:pStyle w:val="ColorfulList-Accent11"/>
              <w:spacing w:line="288" w:lineRule="auto"/>
              <w:rPr>
                <w:rFonts w:ascii="Verdana" w:hAnsi="Verdana"/>
                <w:sz w:val="20"/>
                <w:szCs w:val="20"/>
                <w:lang w:val="en-GB"/>
              </w:rPr>
            </w:pPr>
            <w:r w:rsidRPr="00861A69">
              <w:rPr>
                <w:rFonts w:ascii="Verdana" w:hAnsi="Verdana"/>
                <w:sz w:val="20"/>
                <w:szCs w:val="20"/>
                <w:lang w:val="en-GB"/>
              </w:rPr>
              <w:br/>
            </w:r>
            <w:r w:rsidRPr="00861A69">
              <w:rPr>
                <w:rFonts w:ascii="Verdana" w:hAnsi="Verdana"/>
                <w:sz w:val="20"/>
                <w:szCs w:val="20"/>
                <w:lang w:val="en-GB"/>
              </w:rPr>
              <w:br/>
            </w:r>
            <w:r w:rsidRPr="00861A69">
              <w:rPr>
                <w:rFonts w:ascii="Verdana" w:hAnsi="Verdana"/>
                <w:sz w:val="20"/>
                <w:szCs w:val="20"/>
                <w:lang w:val="en-GB"/>
              </w:rPr>
              <w:br/>
            </w:r>
            <w:r w:rsidRPr="00861A69">
              <w:rPr>
                <w:rFonts w:ascii="Verdana" w:hAnsi="Verdana"/>
                <w:sz w:val="20"/>
                <w:szCs w:val="20"/>
                <w:lang w:val="en-GB"/>
              </w:rPr>
              <w:br/>
            </w:r>
            <w:r w:rsidRPr="00861A69">
              <w:rPr>
                <w:rFonts w:ascii="Verdana" w:hAnsi="Verdana"/>
                <w:sz w:val="20"/>
                <w:szCs w:val="20"/>
                <w:lang w:val="en-GB"/>
              </w:rPr>
              <w:br/>
            </w:r>
          </w:p>
        </w:tc>
        <w:tc>
          <w:tcPr>
            <w:tcW w:w="4825" w:type="dxa"/>
            <w:tcBorders>
              <w:top w:val="single" w:sz="4" w:space="0" w:color="auto"/>
              <w:left w:val="single" w:sz="4" w:space="0" w:color="auto"/>
              <w:bottom w:val="single" w:sz="4" w:space="0" w:color="auto"/>
              <w:right w:val="single" w:sz="4" w:space="0" w:color="auto"/>
            </w:tcBorders>
            <w:shd w:val="clear" w:color="auto" w:fill="auto"/>
          </w:tcPr>
          <w:p w14:paraId="27876434"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t>Day 1:</w:t>
            </w:r>
          </w:p>
          <w:p w14:paraId="101BF36A" w14:textId="77777777" w:rsidR="00162EE2" w:rsidRPr="00861A69" w:rsidRDefault="00162EE2" w:rsidP="00162EE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PL4SD presents their current material on access</w:t>
            </w:r>
          </w:p>
          <w:p w14:paraId="1B55D8CA" w14:textId="77777777" w:rsidR="00162EE2" w:rsidRPr="00861A69" w:rsidRDefault="00162EE2" w:rsidP="00162EE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Report from World Congress on Access to Post-Secondary education</w:t>
            </w:r>
          </w:p>
          <w:p w14:paraId="476A8876" w14:textId="77777777" w:rsidR="00162EE2" w:rsidRPr="00861A69" w:rsidRDefault="00162EE2" w:rsidP="00162EE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 xml:space="preserve">Review of progress on implementing national plans/strategies for the social dimension </w:t>
            </w:r>
          </w:p>
          <w:p w14:paraId="5D01F0DB" w14:textId="77777777" w:rsidR="00162EE2" w:rsidRPr="00861A69" w:rsidRDefault="00162EE2" w:rsidP="00162EE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Discuss the national and institutional responsibility for widening access (quality of teaching, student support services)</w:t>
            </w:r>
          </w:p>
          <w:p w14:paraId="2E81E12B" w14:textId="77777777" w:rsidR="00162EE2" w:rsidRPr="00861A69" w:rsidRDefault="00162EE2" w:rsidP="00162EE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Ad-hoc group on access presents proposal for national access plan guidelines.</w:t>
            </w:r>
          </w:p>
          <w:p w14:paraId="47A7FFC5" w14:textId="77777777" w:rsidR="00162EE2" w:rsidRPr="00861A69" w:rsidRDefault="00162EE2" w:rsidP="007F66F9">
            <w:pPr>
              <w:pStyle w:val="ColorfulList-Accent11"/>
              <w:tabs>
                <w:tab w:val="num" w:pos="720"/>
              </w:tabs>
              <w:spacing w:line="288" w:lineRule="auto"/>
              <w:ind w:left="0"/>
              <w:rPr>
                <w:rFonts w:ascii="Verdana" w:hAnsi="Verdana"/>
                <w:sz w:val="20"/>
                <w:szCs w:val="20"/>
                <w:lang w:val="en-GB"/>
              </w:rPr>
            </w:pPr>
          </w:p>
          <w:p w14:paraId="130BF78B"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t>Day 2:</w:t>
            </w:r>
          </w:p>
          <w:p w14:paraId="4D245434" w14:textId="77777777" w:rsidR="00162EE2" w:rsidRPr="00861A69" w:rsidRDefault="00162EE2" w:rsidP="00162EE2">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Follow up the work from the ad-hoc groups and the co-chairs.</w:t>
            </w:r>
          </w:p>
          <w:p w14:paraId="05BF3E63" w14:textId="77777777" w:rsidR="00162EE2" w:rsidRPr="00861A69" w:rsidRDefault="00162EE2" w:rsidP="00162EE2">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Get update on the current developments in the thematic streams</w:t>
            </w:r>
          </w:p>
          <w:p w14:paraId="14C91A3C" w14:textId="77777777" w:rsidR="00162EE2" w:rsidRPr="00861A69" w:rsidRDefault="00162EE2" w:rsidP="00162EE2">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Discuss the European framework (strategy) on Social dimension and LLL</w:t>
            </w:r>
          </w:p>
          <w:p w14:paraId="0200211B" w14:textId="77777777" w:rsidR="00162EE2" w:rsidRPr="00861A69" w:rsidRDefault="00162EE2" w:rsidP="00162EE2">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 xml:space="preserve">Discuss and agree on the structure and core indicators for the European framework on Social dimension and LLL (draft framework will be prepared by co-chairs before the meeting and </w:t>
            </w:r>
            <w:r w:rsidRPr="00861A69">
              <w:rPr>
                <w:rFonts w:ascii="Verdana" w:hAnsi="Verdana"/>
                <w:sz w:val="20"/>
                <w:szCs w:val="20"/>
              </w:rPr>
              <w:lastRenderedPageBreak/>
              <w:t>sent to the WG)</w:t>
            </w:r>
          </w:p>
          <w:p w14:paraId="5A02A9DA" w14:textId="77777777" w:rsidR="00162EE2" w:rsidRPr="00861A69" w:rsidRDefault="00162EE2" w:rsidP="00162EE2">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Get update from and give recommendations to PL4SD; note longer session with PL4SD.</w:t>
            </w:r>
          </w:p>
          <w:p w14:paraId="333AEE02" w14:textId="77777777" w:rsidR="00162EE2" w:rsidRPr="00861A69" w:rsidRDefault="00162EE2" w:rsidP="00162EE2">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Examine the experience of the peer reviews and how such practice can be encouraged more widely in the Bologna process – presentation of at least one national system, which went through review</w:t>
            </w:r>
          </w:p>
          <w:p w14:paraId="76C99D16" w14:textId="77777777" w:rsidR="00162EE2" w:rsidRPr="00861A69" w:rsidRDefault="00162EE2" w:rsidP="007F66F9">
            <w:pPr>
              <w:pStyle w:val="ColorfulList-Accent11"/>
              <w:tabs>
                <w:tab w:val="num" w:pos="720"/>
              </w:tabs>
              <w:spacing w:line="288" w:lineRule="auto"/>
              <w:ind w:left="357"/>
              <w:rPr>
                <w:rFonts w:ascii="Verdana" w:hAnsi="Verdana"/>
                <w:sz w:val="20"/>
                <w:szCs w:val="20"/>
                <w:lang w:val="en-GB"/>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2F9C5772"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lastRenderedPageBreak/>
              <w:br/>
            </w:r>
          </w:p>
          <w:p w14:paraId="1BD36D09" w14:textId="77777777" w:rsidR="00162EE2" w:rsidRPr="00861A69" w:rsidRDefault="00162EE2" w:rsidP="00162EE2">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 xml:space="preserve">PL4SD representatives </w:t>
            </w:r>
          </w:p>
          <w:p w14:paraId="190AA3BA" w14:textId="77777777" w:rsidR="00162EE2" w:rsidRPr="00861A69" w:rsidRDefault="00162EE2" w:rsidP="00162EE2">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Country representative taking part in peer-review via PL4SD</w:t>
            </w:r>
          </w:p>
          <w:p w14:paraId="4837C58D" w14:textId="77777777" w:rsidR="00162EE2" w:rsidRPr="00861A69" w:rsidRDefault="00162EE2" w:rsidP="00162EE2">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European Access Network</w:t>
            </w:r>
          </w:p>
          <w:p w14:paraId="1EA287CB" w14:textId="77777777" w:rsidR="00162EE2" w:rsidRPr="00861A69" w:rsidRDefault="00162EE2" w:rsidP="00162EE2">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Pr>
                <w:rFonts w:ascii="Verdana" w:hAnsi="Verdana"/>
                <w:sz w:val="20"/>
                <w:szCs w:val="20"/>
              </w:rPr>
              <w:t>Irish M</w:t>
            </w:r>
            <w:r w:rsidRPr="00861A69">
              <w:rPr>
                <w:rFonts w:ascii="Verdana" w:hAnsi="Verdana"/>
                <w:sz w:val="20"/>
                <w:szCs w:val="20"/>
              </w:rPr>
              <w:t>inistry</w:t>
            </w:r>
          </w:p>
          <w:p w14:paraId="5C403ADB"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br/>
            </w:r>
          </w:p>
        </w:tc>
      </w:tr>
      <w:tr w:rsidR="00162EE2" w:rsidRPr="00A07C43" w14:paraId="32BB1CEA" w14:textId="77777777" w:rsidTr="007F66F9">
        <w:trPr>
          <w:trHeight w:val="1267"/>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1F89C5A"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lastRenderedPageBreak/>
              <w:t>2014 II half</w:t>
            </w:r>
          </w:p>
          <w:p w14:paraId="199323BB" w14:textId="77777777" w:rsidR="00162EE2" w:rsidRPr="00861A69" w:rsidRDefault="00162EE2" w:rsidP="007F66F9">
            <w:pPr>
              <w:pStyle w:val="ColorfulList-Accent11"/>
              <w:spacing w:line="288" w:lineRule="auto"/>
              <w:ind w:left="0"/>
              <w:jc w:val="both"/>
              <w:rPr>
                <w:rFonts w:ascii="Verdana" w:hAnsi="Verdana"/>
                <w:sz w:val="20"/>
                <w:szCs w:val="20"/>
                <w:lang w:val="en-GB"/>
              </w:rPr>
            </w:pPr>
          </w:p>
          <w:p w14:paraId="3CCE7A27"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23-24 September WG meeting in Brussels followed by an optional policy seminar "ET2020: Social Inclusion and Higher Education"</w:t>
            </w:r>
          </w:p>
          <w:p w14:paraId="5830ED01" w14:textId="77777777" w:rsidR="00162EE2" w:rsidRPr="00861A69" w:rsidRDefault="00162EE2" w:rsidP="007F66F9">
            <w:pPr>
              <w:pStyle w:val="ColorfulList-Accent11"/>
              <w:spacing w:line="288" w:lineRule="auto"/>
              <w:jc w:val="both"/>
              <w:rPr>
                <w:rFonts w:ascii="Verdana" w:hAnsi="Verdana"/>
                <w:sz w:val="20"/>
                <w:szCs w:val="20"/>
                <w:lang w:val="en-GB"/>
              </w:rPr>
            </w:pPr>
            <w:r w:rsidRPr="00861A69">
              <w:rPr>
                <w:rFonts w:ascii="Verdana" w:hAnsi="Verdana"/>
                <w:sz w:val="20"/>
                <w:szCs w:val="20"/>
                <w:lang w:val="en-GB"/>
              </w:rPr>
              <w:br/>
            </w:r>
            <w:r w:rsidRPr="00861A69">
              <w:rPr>
                <w:rFonts w:ascii="Verdana" w:hAnsi="Verdana"/>
                <w:sz w:val="20"/>
                <w:szCs w:val="20"/>
                <w:lang w:val="en-GB"/>
              </w:rPr>
              <w:br/>
            </w:r>
          </w:p>
          <w:p w14:paraId="68011A19" w14:textId="77777777" w:rsidR="00162EE2" w:rsidRPr="00861A69" w:rsidRDefault="00162EE2" w:rsidP="007F66F9">
            <w:pPr>
              <w:pStyle w:val="ColorfulList-Accent11"/>
              <w:spacing w:line="288" w:lineRule="auto"/>
              <w:jc w:val="both"/>
              <w:rPr>
                <w:rFonts w:ascii="Verdana" w:hAnsi="Verdana"/>
                <w:sz w:val="20"/>
                <w:szCs w:val="20"/>
                <w:lang w:val="en-GB"/>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D533004" w14:textId="77777777" w:rsidR="00162EE2" w:rsidRPr="0008446E" w:rsidRDefault="00162EE2" w:rsidP="007F66F9">
            <w:pPr>
              <w:pStyle w:val="ColorfulList-Accent11"/>
              <w:spacing w:line="288" w:lineRule="auto"/>
              <w:ind w:left="0"/>
              <w:rPr>
                <w:rFonts w:ascii="Verdana" w:hAnsi="Verdana"/>
                <w:b/>
                <w:sz w:val="20"/>
                <w:szCs w:val="20"/>
                <w:lang w:val="en-GB"/>
              </w:rPr>
            </w:pPr>
            <w:r w:rsidRPr="0008446E">
              <w:rPr>
                <w:rFonts w:ascii="Verdana" w:hAnsi="Verdana"/>
                <w:b/>
                <w:sz w:val="20"/>
                <w:szCs w:val="20"/>
                <w:lang w:val="en-GB"/>
              </w:rPr>
              <w:t>Day 1: Thematic strand on student supports and services</w:t>
            </w:r>
          </w:p>
          <w:p w14:paraId="4B65B164" w14:textId="77777777" w:rsidR="00162EE2" w:rsidRPr="0008446E" w:rsidRDefault="00162EE2" w:rsidP="007F66F9">
            <w:pPr>
              <w:pStyle w:val="ColorfulList-Accent11"/>
              <w:spacing w:line="288" w:lineRule="auto"/>
              <w:rPr>
                <w:rFonts w:ascii="Verdana" w:hAnsi="Verdana"/>
                <w:b/>
                <w:sz w:val="20"/>
                <w:szCs w:val="20"/>
                <w:lang w:val="en-GB"/>
              </w:rPr>
            </w:pPr>
            <w:r w:rsidRPr="0008446E">
              <w:rPr>
                <w:rFonts w:ascii="Verdana" w:hAnsi="Verdana"/>
                <w:b/>
                <w:sz w:val="20"/>
                <w:szCs w:val="20"/>
                <w:lang w:val="en-GB"/>
              </w:rPr>
              <w:br/>
            </w:r>
          </w:p>
          <w:p w14:paraId="17531C0D" w14:textId="77777777" w:rsidR="00162EE2" w:rsidRPr="00861A69" w:rsidRDefault="00162EE2" w:rsidP="007F66F9">
            <w:pPr>
              <w:pStyle w:val="ColorfulList-Accent11"/>
              <w:spacing w:line="288" w:lineRule="auto"/>
              <w:ind w:left="0"/>
              <w:rPr>
                <w:rFonts w:ascii="Verdana" w:hAnsi="Verdana"/>
                <w:sz w:val="20"/>
                <w:szCs w:val="20"/>
                <w:lang w:val="en-GB"/>
              </w:rPr>
            </w:pPr>
            <w:r w:rsidRPr="0008446E">
              <w:rPr>
                <w:rFonts w:ascii="Verdana" w:hAnsi="Verdana"/>
                <w:b/>
                <w:sz w:val="20"/>
                <w:szCs w:val="20"/>
                <w:lang w:val="en-GB"/>
              </w:rPr>
              <w:t>Day 2: Internal work day, strategy and final report discussion as well as follow up of the thematic strands</w:t>
            </w:r>
          </w:p>
        </w:tc>
        <w:tc>
          <w:tcPr>
            <w:tcW w:w="4825" w:type="dxa"/>
            <w:tcBorders>
              <w:top w:val="single" w:sz="4" w:space="0" w:color="auto"/>
              <w:left w:val="single" w:sz="4" w:space="0" w:color="auto"/>
              <w:bottom w:val="single" w:sz="4" w:space="0" w:color="auto"/>
              <w:right w:val="single" w:sz="4" w:space="0" w:color="auto"/>
            </w:tcBorders>
            <w:shd w:val="clear" w:color="auto" w:fill="auto"/>
          </w:tcPr>
          <w:p w14:paraId="6A67E694"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t>Day 1:</w:t>
            </w:r>
          </w:p>
          <w:p w14:paraId="2F059D06" w14:textId="77777777" w:rsidR="00162EE2" w:rsidRPr="00861A69" w:rsidRDefault="00162EE2" w:rsidP="00162EE2">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 xml:space="preserve">Discuss the contribution of the social dimension for the competitiveness of the EHEA (speedy completion, comparative degrees, mobility) by supporting students with financial aid, social and </w:t>
            </w:r>
            <w:proofErr w:type="spellStart"/>
            <w:r w:rsidRPr="00861A69">
              <w:rPr>
                <w:rFonts w:ascii="Verdana" w:hAnsi="Verdana"/>
                <w:sz w:val="20"/>
                <w:szCs w:val="20"/>
              </w:rPr>
              <w:t>counselling</w:t>
            </w:r>
            <w:proofErr w:type="spellEnd"/>
            <w:r w:rsidRPr="00861A69">
              <w:rPr>
                <w:rFonts w:ascii="Verdana" w:hAnsi="Verdana"/>
                <w:sz w:val="20"/>
                <w:szCs w:val="20"/>
              </w:rPr>
              <w:t xml:space="preserve"> services, and guaranteeing the social infrastructure of student life</w:t>
            </w:r>
          </w:p>
          <w:p w14:paraId="0565C02E" w14:textId="77777777" w:rsidR="00162EE2" w:rsidRPr="00861A69" w:rsidRDefault="00162EE2" w:rsidP="00162EE2">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Discuss alternative access routes, and continued support throughout studies by adequate services.</w:t>
            </w:r>
          </w:p>
          <w:p w14:paraId="2B8A65C0" w14:textId="77777777" w:rsidR="00162EE2" w:rsidRPr="00861A69" w:rsidRDefault="00162EE2" w:rsidP="00162EE2">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Address the considerable inequalities in the provision of non-academic student support services in the EHEA, and come up with recommendations on covering gaps and strengthening the social infrastructure for higher education.</w:t>
            </w:r>
          </w:p>
          <w:p w14:paraId="776E43B3"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br/>
            </w:r>
            <w:r w:rsidRPr="00861A69">
              <w:rPr>
                <w:rFonts w:ascii="Verdana" w:hAnsi="Verdana"/>
                <w:sz w:val="20"/>
                <w:szCs w:val="20"/>
                <w:lang w:val="en-GB"/>
              </w:rPr>
              <w:br/>
              <w:t>Day 2:</w:t>
            </w:r>
          </w:p>
          <w:p w14:paraId="5C2818C5" w14:textId="77777777" w:rsidR="00162EE2" w:rsidRPr="00861A69" w:rsidRDefault="00162EE2" w:rsidP="00162EE2">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lastRenderedPageBreak/>
              <w:t xml:space="preserve">Follow up the work from the ad-hoc groups and the co-chairs. </w:t>
            </w:r>
          </w:p>
          <w:p w14:paraId="094B2964" w14:textId="77777777" w:rsidR="00162EE2" w:rsidRPr="00861A69" w:rsidRDefault="00162EE2" w:rsidP="00162EE2">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Get update on the current developments in the thematic streams</w:t>
            </w:r>
          </w:p>
          <w:p w14:paraId="237FA36B" w14:textId="77777777" w:rsidR="00162EE2" w:rsidRPr="00861A69" w:rsidRDefault="00162EE2" w:rsidP="00162EE2">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Get update from PL4SD on policy recommendations. Discuss the final recommendations based on PL4SD</w:t>
            </w:r>
          </w:p>
          <w:p w14:paraId="72ACFB49" w14:textId="77777777" w:rsidR="00162EE2" w:rsidRPr="00861A69" w:rsidRDefault="00162EE2" w:rsidP="00162EE2">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Adopt the final proposal for the European framework (strategy) on Social dimension and LLL</w:t>
            </w:r>
          </w:p>
          <w:p w14:paraId="7131214B" w14:textId="77777777" w:rsidR="00162EE2" w:rsidRPr="00861A69" w:rsidRDefault="00162EE2" w:rsidP="007F66F9">
            <w:pPr>
              <w:pStyle w:val="ColorfulList-Accent11"/>
              <w:tabs>
                <w:tab w:val="num" w:pos="720"/>
              </w:tabs>
              <w:spacing w:line="288" w:lineRule="auto"/>
              <w:ind w:left="357"/>
              <w:rPr>
                <w:rFonts w:ascii="Verdana" w:hAnsi="Verdana"/>
                <w:sz w:val="20"/>
                <w:szCs w:val="20"/>
                <w:lang w:val="en-GB"/>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04D72B2B"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lastRenderedPageBreak/>
              <w:t>Student services institutions from different countries</w:t>
            </w:r>
          </w:p>
          <w:p w14:paraId="4D9FB9E8"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 xml:space="preserve">Researchers on the social dimension </w:t>
            </w:r>
          </w:p>
          <w:p w14:paraId="03ABD659"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Good practices in the provision of student services  </w:t>
            </w:r>
          </w:p>
          <w:p w14:paraId="724AB85F"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European Council for Student Affairs</w:t>
            </w:r>
          </w:p>
          <w:p w14:paraId="378FFC83"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proofErr w:type="spellStart"/>
            <w:r w:rsidRPr="00861A69">
              <w:rPr>
                <w:rFonts w:ascii="Verdana" w:hAnsi="Verdana"/>
                <w:sz w:val="20"/>
                <w:szCs w:val="20"/>
              </w:rPr>
              <w:t>Eurostudent</w:t>
            </w:r>
            <w:proofErr w:type="spellEnd"/>
            <w:r w:rsidRPr="00861A69">
              <w:rPr>
                <w:rFonts w:ascii="Verdana" w:hAnsi="Verdana"/>
                <w:sz w:val="20"/>
                <w:szCs w:val="20"/>
              </w:rPr>
              <w:t xml:space="preserve"> Network</w:t>
            </w:r>
          </w:p>
          <w:p w14:paraId="29D70BED"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National Associations for Student Services (e.g. DSW, CNOUS, ANDISU etc.)</w:t>
            </w:r>
          </w:p>
          <w:p w14:paraId="39F150E0" w14:textId="77777777" w:rsidR="00162EE2" w:rsidRPr="00861A69" w:rsidRDefault="00162EE2" w:rsidP="00162EE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National student association</w:t>
            </w:r>
          </w:p>
          <w:p w14:paraId="79B869AD"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br/>
            </w:r>
          </w:p>
        </w:tc>
      </w:tr>
      <w:tr w:rsidR="00162EE2" w:rsidRPr="00A07C43" w14:paraId="6444709E" w14:textId="77777777" w:rsidTr="007F66F9">
        <w:trPr>
          <w:trHeight w:val="4186"/>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F511BA4"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lastRenderedPageBreak/>
              <w:t>2014 II half (TBC)</w:t>
            </w:r>
          </w:p>
          <w:p w14:paraId="759E4C39" w14:textId="77777777" w:rsidR="00162EE2" w:rsidRPr="00861A69" w:rsidRDefault="00162EE2" w:rsidP="007F66F9">
            <w:pPr>
              <w:pStyle w:val="ColorfulList-Accent11"/>
              <w:spacing w:line="288" w:lineRule="auto"/>
              <w:jc w:val="both"/>
              <w:rPr>
                <w:rFonts w:ascii="Verdana" w:hAnsi="Verdana"/>
                <w:sz w:val="20"/>
                <w:szCs w:val="20"/>
                <w:lang w:val="en-GB"/>
              </w:rPr>
            </w:pPr>
            <w:r w:rsidRPr="00861A69">
              <w:rPr>
                <w:rFonts w:ascii="Verdana" w:hAnsi="Verdana"/>
                <w:sz w:val="20"/>
                <w:szCs w:val="20"/>
                <w:lang w:val="en-GB"/>
              </w:rPr>
              <w:br/>
            </w:r>
          </w:p>
          <w:p w14:paraId="54DF2B41"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 xml:space="preserve">Mid December </w:t>
            </w:r>
          </w:p>
          <w:p w14:paraId="108B42E5"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WG meeting</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991FC58" w14:textId="77777777" w:rsidR="00162EE2" w:rsidRPr="0008446E" w:rsidRDefault="00162EE2" w:rsidP="007F66F9">
            <w:pPr>
              <w:pStyle w:val="ColorfulList-Accent11"/>
              <w:spacing w:line="288" w:lineRule="auto"/>
              <w:ind w:left="0"/>
              <w:rPr>
                <w:rFonts w:ascii="Verdana" w:hAnsi="Verdana"/>
                <w:b/>
                <w:sz w:val="20"/>
                <w:szCs w:val="20"/>
                <w:lang w:val="en-GB"/>
              </w:rPr>
            </w:pPr>
            <w:r w:rsidRPr="0008446E">
              <w:rPr>
                <w:rFonts w:ascii="Verdana" w:hAnsi="Verdana"/>
                <w:b/>
                <w:sz w:val="20"/>
                <w:szCs w:val="20"/>
                <w:lang w:val="en-GB"/>
              </w:rPr>
              <w:t xml:space="preserve">Theme of the meeting: Future of Social dimension and LLL in the Bologna process </w:t>
            </w:r>
          </w:p>
          <w:p w14:paraId="008A9BCE" w14:textId="77777777" w:rsidR="00162EE2" w:rsidRPr="00861A69" w:rsidRDefault="00162EE2" w:rsidP="007F66F9">
            <w:pPr>
              <w:pStyle w:val="ColorfulList-Accent11"/>
              <w:spacing w:line="288" w:lineRule="auto"/>
              <w:rPr>
                <w:rFonts w:ascii="Verdana" w:hAnsi="Verdana"/>
                <w:sz w:val="20"/>
                <w:szCs w:val="20"/>
                <w:lang w:val="en-GB"/>
              </w:rPr>
            </w:pPr>
            <w:r w:rsidRPr="00861A69">
              <w:rPr>
                <w:rFonts w:ascii="Verdana" w:hAnsi="Verdana"/>
                <w:sz w:val="20"/>
                <w:szCs w:val="20"/>
                <w:lang w:val="en-GB"/>
              </w:rPr>
              <w:br/>
            </w:r>
          </w:p>
        </w:tc>
        <w:tc>
          <w:tcPr>
            <w:tcW w:w="4825" w:type="dxa"/>
            <w:tcBorders>
              <w:top w:val="single" w:sz="4" w:space="0" w:color="auto"/>
              <w:left w:val="single" w:sz="4" w:space="0" w:color="auto"/>
              <w:bottom w:val="single" w:sz="4" w:space="0" w:color="auto"/>
              <w:right w:val="single" w:sz="4" w:space="0" w:color="auto"/>
            </w:tcBorders>
            <w:shd w:val="clear" w:color="auto" w:fill="auto"/>
          </w:tcPr>
          <w:p w14:paraId="6087ED86"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t>(TBC)</w:t>
            </w:r>
          </w:p>
          <w:p w14:paraId="59B016A7" w14:textId="77777777" w:rsidR="00162EE2" w:rsidRPr="00861A69" w:rsidRDefault="00162EE2" w:rsidP="00162EE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Amend the WG’s final report based on the feedback from the BFUG</w:t>
            </w:r>
          </w:p>
          <w:p w14:paraId="5361FC54" w14:textId="77777777" w:rsidR="00162EE2" w:rsidRPr="00861A69" w:rsidRDefault="00162EE2" w:rsidP="00162EE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Adopt recommendation on the future of PL4SD</w:t>
            </w:r>
          </w:p>
          <w:p w14:paraId="7119FF6D" w14:textId="77777777" w:rsidR="00162EE2" w:rsidRPr="00861A69" w:rsidRDefault="00162EE2" w:rsidP="00162EE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Verdana" w:hAnsi="Verdana"/>
                <w:sz w:val="20"/>
                <w:szCs w:val="20"/>
              </w:rPr>
            </w:pPr>
            <w:r w:rsidRPr="00861A69">
              <w:rPr>
                <w:rFonts w:ascii="Verdana" w:hAnsi="Verdana"/>
                <w:sz w:val="20"/>
                <w:szCs w:val="20"/>
              </w:rPr>
              <w:t>Discuss the issues that have not been tackled but that potentially should be tackled.</w:t>
            </w:r>
          </w:p>
          <w:p w14:paraId="0D68DB6E" w14:textId="77777777" w:rsidR="00162EE2" w:rsidRPr="00861A69" w:rsidRDefault="00162EE2" w:rsidP="00162EE2">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Verdana" w:hAnsi="Verdana"/>
                <w:sz w:val="20"/>
                <w:szCs w:val="20"/>
              </w:rPr>
            </w:pPr>
            <w:r w:rsidRPr="00861A69">
              <w:rPr>
                <w:rFonts w:ascii="Verdana" w:hAnsi="Verdana"/>
                <w:sz w:val="20"/>
                <w:szCs w:val="20"/>
              </w:rPr>
              <w:t xml:space="preserve">Performing evaluation exercise for the working group: working methods, satisfaction with accomplished tasks, recommendations for future steering/ structure </w:t>
            </w:r>
          </w:p>
          <w:p w14:paraId="0AB6D4EB" w14:textId="77777777" w:rsidR="00162EE2" w:rsidRPr="00861A69" w:rsidRDefault="00162EE2" w:rsidP="00162EE2">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0" w:lineRule="atLeast"/>
              <w:textAlignment w:val="baseline"/>
              <w:rPr>
                <w:rFonts w:ascii="Verdana" w:hAnsi="Verdana"/>
                <w:sz w:val="20"/>
                <w:szCs w:val="20"/>
              </w:rPr>
            </w:pPr>
            <w:r w:rsidRPr="00861A69">
              <w:rPr>
                <w:rFonts w:ascii="Verdana" w:hAnsi="Verdana"/>
                <w:sz w:val="20"/>
                <w:szCs w:val="20"/>
              </w:rPr>
              <w:t>Agreeing, whether WG suggest a prolongation of the mandate</w:t>
            </w: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2312F990" w14:textId="77777777" w:rsidR="00162EE2" w:rsidRPr="00861A69" w:rsidRDefault="00162EE2" w:rsidP="007F66F9">
            <w:pPr>
              <w:pStyle w:val="ColorfulList-Accent11"/>
              <w:spacing w:line="288" w:lineRule="auto"/>
              <w:ind w:left="224" w:hanging="142"/>
              <w:rPr>
                <w:rFonts w:ascii="Verdana" w:hAnsi="Verdana"/>
                <w:sz w:val="20"/>
                <w:szCs w:val="20"/>
                <w:lang w:val="en-GB"/>
              </w:rPr>
            </w:pPr>
            <w:proofErr w:type="gramStart"/>
            <w:r w:rsidRPr="00861A69">
              <w:rPr>
                <w:rFonts w:ascii="Verdana" w:hAnsi="Verdana"/>
                <w:sz w:val="20"/>
                <w:szCs w:val="20"/>
                <w:lang w:val="en-GB"/>
              </w:rPr>
              <w:t>  Reporting</w:t>
            </w:r>
            <w:proofErr w:type="gramEnd"/>
            <w:r w:rsidRPr="00861A69">
              <w:rPr>
                <w:rFonts w:ascii="Verdana" w:hAnsi="Verdana"/>
                <w:sz w:val="20"/>
                <w:szCs w:val="20"/>
                <w:lang w:val="en-GB"/>
              </w:rPr>
              <w:t xml:space="preserve"> WG representative</w:t>
            </w:r>
          </w:p>
          <w:p w14:paraId="29FCDA03" w14:textId="77777777" w:rsidR="00162EE2" w:rsidRPr="00861A69" w:rsidRDefault="00162EE2" w:rsidP="007F66F9">
            <w:pPr>
              <w:pStyle w:val="ColorfulList-Accent11"/>
              <w:spacing w:line="288" w:lineRule="auto"/>
              <w:ind w:left="224" w:hanging="142"/>
              <w:rPr>
                <w:rFonts w:ascii="Verdana" w:hAnsi="Verdana"/>
                <w:sz w:val="20"/>
                <w:szCs w:val="20"/>
                <w:lang w:val="en-GB"/>
              </w:rPr>
            </w:pPr>
            <w:proofErr w:type="gramStart"/>
            <w:r w:rsidRPr="00861A69">
              <w:rPr>
                <w:rFonts w:ascii="Verdana" w:hAnsi="Verdana"/>
                <w:sz w:val="20"/>
                <w:szCs w:val="20"/>
                <w:lang w:val="en-GB"/>
              </w:rPr>
              <w:t xml:space="preserve">  </w:t>
            </w:r>
            <w:proofErr w:type="spellStart"/>
            <w:r w:rsidRPr="00861A69">
              <w:rPr>
                <w:rFonts w:ascii="Verdana" w:hAnsi="Verdana"/>
                <w:sz w:val="20"/>
                <w:szCs w:val="20"/>
                <w:lang w:val="en-GB"/>
              </w:rPr>
              <w:t>Tbc</w:t>
            </w:r>
            <w:proofErr w:type="spellEnd"/>
            <w:proofErr w:type="gramEnd"/>
          </w:p>
        </w:tc>
      </w:tr>
      <w:tr w:rsidR="00162EE2" w:rsidRPr="00A07C43" w14:paraId="62CF6FFC" w14:textId="77777777" w:rsidTr="007F66F9">
        <w:trPr>
          <w:trHeight w:val="1267"/>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A13AD6"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 xml:space="preserve">Ministerial Conference </w:t>
            </w:r>
          </w:p>
          <w:p w14:paraId="345AEAA0" w14:textId="77777777" w:rsidR="00162EE2" w:rsidRPr="00861A69" w:rsidRDefault="00162EE2" w:rsidP="007F66F9">
            <w:pPr>
              <w:pStyle w:val="ColorfulList-Accent11"/>
              <w:spacing w:line="288" w:lineRule="auto"/>
              <w:ind w:left="0"/>
              <w:jc w:val="both"/>
              <w:rPr>
                <w:rFonts w:ascii="Verdana" w:hAnsi="Verdana"/>
                <w:sz w:val="20"/>
                <w:szCs w:val="20"/>
                <w:lang w:val="en-GB"/>
              </w:rPr>
            </w:pPr>
            <w:r w:rsidRPr="00861A69">
              <w:rPr>
                <w:rFonts w:ascii="Verdana" w:hAnsi="Verdana"/>
                <w:sz w:val="20"/>
                <w:szCs w:val="20"/>
                <w:lang w:val="en-GB"/>
              </w:rPr>
              <w:t xml:space="preserve">May 2015 </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EE7CF86" w14:textId="77777777" w:rsidR="00162EE2" w:rsidRPr="00861A69" w:rsidRDefault="00162EE2" w:rsidP="007F66F9">
            <w:pPr>
              <w:pStyle w:val="ColorfulList-Accent11"/>
              <w:spacing w:line="288" w:lineRule="auto"/>
              <w:rPr>
                <w:rFonts w:ascii="Verdana" w:hAnsi="Verdana"/>
                <w:sz w:val="20"/>
                <w:szCs w:val="20"/>
                <w:lang w:val="en-GB"/>
              </w:rPr>
            </w:pPr>
            <w:r w:rsidRPr="00861A69">
              <w:rPr>
                <w:rFonts w:ascii="Verdana" w:hAnsi="Verdana"/>
                <w:sz w:val="20"/>
                <w:szCs w:val="20"/>
                <w:lang w:val="en-GB"/>
              </w:rPr>
              <w:tab/>
            </w:r>
          </w:p>
        </w:tc>
        <w:tc>
          <w:tcPr>
            <w:tcW w:w="4825" w:type="dxa"/>
            <w:tcBorders>
              <w:top w:val="single" w:sz="4" w:space="0" w:color="auto"/>
              <w:left w:val="single" w:sz="4" w:space="0" w:color="auto"/>
              <w:bottom w:val="single" w:sz="4" w:space="0" w:color="auto"/>
              <w:right w:val="single" w:sz="4" w:space="0" w:color="auto"/>
            </w:tcBorders>
            <w:shd w:val="clear" w:color="auto" w:fill="auto"/>
          </w:tcPr>
          <w:p w14:paraId="3E110186" w14:textId="77777777" w:rsidR="00162EE2" w:rsidRPr="00861A69" w:rsidRDefault="00162EE2" w:rsidP="007F66F9">
            <w:pPr>
              <w:pStyle w:val="ColorfulList-Accent11"/>
              <w:tabs>
                <w:tab w:val="num" w:pos="720"/>
              </w:tabs>
              <w:spacing w:line="288" w:lineRule="auto"/>
              <w:ind w:hanging="363"/>
              <w:rPr>
                <w:rFonts w:ascii="Verdana" w:hAnsi="Verdana"/>
                <w:sz w:val="20"/>
                <w:szCs w:val="20"/>
                <w:lang w:val="en-GB"/>
              </w:rPr>
            </w:pPr>
            <w:r w:rsidRPr="00861A69">
              <w:rPr>
                <w:rFonts w:ascii="Verdana" w:hAnsi="Verdana"/>
                <w:sz w:val="20"/>
                <w:szCs w:val="20"/>
                <w:lang w:val="en-GB"/>
              </w:rPr>
              <w:t>Decision on the working priorities for 2015-2018</w:t>
            </w: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2D745436" w14:textId="77777777" w:rsidR="00162EE2" w:rsidRPr="00861A69" w:rsidRDefault="00162EE2" w:rsidP="007F66F9">
            <w:pPr>
              <w:pStyle w:val="ColorfulList-Accent11"/>
              <w:spacing w:line="288" w:lineRule="auto"/>
              <w:ind w:left="224" w:hanging="142"/>
              <w:rPr>
                <w:rFonts w:ascii="Verdana" w:hAnsi="Verdana"/>
                <w:sz w:val="20"/>
                <w:szCs w:val="20"/>
                <w:lang w:val="en-GB"/>
              </w:rPr>
            </w:pPr>
            <w:r w:rsidRPr="00861A69">
              <w:rPr>
                <w:rFonts w:ascii="Verdana" w:hAnsi="Verdana"/>
                <w:sz w:val="20"/>
                <w:szCs w:val="20"/>
                <w:lang w:val="en-GB"/>
              </w:rPr>
              <w:br/>
            </w:r>
          </w:p>
        </w:tc>
      </w:tr>
    </w:tbl>
    <w:p w14:paraId="4B08049E" w14:textId="77777777" w:rsidR="00162EE2" w:rsidRDefault="00162EE2" w:rsidP="00162EE2">
      <w:pPr>
        <w:sectPr w:rsidR="00162EE2">
          <w:pgSz w:w="16840" w:h="11900" w:orient="landscape"/>
          <w:pgMar w:top="1800" w:right="1440" w:bottom="1800" w:left="2041" w:header="680" w:footer="708" w:gutter="0"/>
          <w:cols w:space="708"/>
          <w:docGrid w:linePitch="360"/>
        </w:sectPr>
      </w:pPr>
    </w:p>
    <w:p w14:paraId="0DA5F4B9" w14:textId="77777777" w:rsidR="00162EE2" w:rsidRPr="00FF42AE" w:rsidRDefault="00162EE2" w:rsidP="00162EE2">
      <w:pPr>
        <w:pStyle w:val="Heading2"/>
        <w:rPr>
          <w:rFonts w:ascii="Verdana" w:hAnsi="Verdana"/>
          <w:i w:val="0"/>
          <w:sz w:val="24"/>
          <w:szCs w:val="24"/>
        </w:rPr>
      </w:pPr>
      <w:bookmarkStart w:id="61" w:name="_Toc278625911"/>
      <w:bookmarkStart w:id="62" w:name="Appendix_3"/>
      <w:bookmarkStart w:id="63" w:name="_Toc283387989"/>
      <w:r w:rsidRPr="00FF42AE">
        <w:rPr>
          <w:rFonts w:ascii="Verdana" w:hAnsi="Verdana"/>
          <w:i w:val="0"/>
          <w:sz w:val="24"/>
          <w:szCs w:val="24"/>
        </w:rPr>
        <w:lastRenderedPageBreak/>
        <w:t>Appendix 3</w:t>
      </w:r>
      <w:bookmarkEnd w:id="61"/>
      <w:bookmarkEnd w:id="63"/>
    </w:p>
    <w:bookmarkEnd w:id="62"/>
    <w:p w14:paraId="32AA1016" w14:textId="77777777" w:rsidR="00162EE2" w:rsidRDefault="00162EE2" w:rsidP="00162EE2">
      <w:pPr>
        <w:jc w:val="center"/>
        <w:rPr>
          <w:rFonts w:ascii="Verdana" w:hAnsi="Verdana"/>
          <w:b/>
          <w:sz w:val="20"/>
          <w:szCs w:val="20"/>
        </w:rPr>
      </w:pPr>
    </w:p>
    <w:p w14:paraId="4137DC48" w14:textId="77777777" w:rsidR="00162EE2" w:rsidRPr="00395FB4" w:rsidRDefault="00162EE2" w:rsidP="00162EE2">
      <w:pPr>
        <w:jc w:val="center"/>
        <w:rPr>
          <w:rFonts w:ascii="Verdana" w:hAnsi="Verdana"/>
          <w:b/>
          <w:sz w:val="20"/>
          <w:szCs w:val="20"/>
        </w:rPr>
      </w:pPr>
      <w:r w:rsidRPr="00395FB4">
        <w:rPr>
          <w:rFonts w:ascii="Verdana" w:hAnsi="Verdana"/>
          <w:b/>
          <w:sz w:val="20"/>
          <w:szCs w:val="20"/>
        </w:rPr>
        <w:t>List of members of the SD&amp;LLL WG</w:t>
      </w:r>
    </w:p>
    <w:p w14:paraId="170A8A27" w14:textId="77777777" w:rsidR="00162EE2" w:rsidRPr="00395FB4" w:rsidRDefault="00162EE2" w:rsidP="00162EE2">
      <w:pPr>
        <w:jc w:val="center"/>
        <w:rPr>
          <w:rFonts w:ascii="Verdana" w:hAnsi="Verdana"/>
          <w:b/>
          <w:sz w:val="20"/>
          <w:szCs w:val="20"/>
        </w:rPr>
      </w:pPr>
      <w:r w:rsidRPr="00395FB4">
        <w:rPr>
          <w:rFonts w:ascii="Verdana" w:hAnsi="Verdana"/>
          <w:b/>
          <w:sz w:val="20"/>
          <w:szCs w:val="20"/>
        </w:rPr>
        <w:t>2012-2015</w:t>
      </w:r>
    </w:p>
    <w:tbl>
      <w:tblPr>
        <w:tblpPr w:leftFromText="180" w:rightFromText="180" w:vertAnchor="page" w:horzAnchor="page" w:tblpX="1549" w:tblpY="306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3969"/>
        <w:gridCol w:w="5387"/>
      </w:tblGrid>
      <w:tr w:rsidR="00162EE2" w:rsidRPr="002A3B3F" w14:paraId="1241D81A" w14:textId="77777777" w:rsidTr="007F66F9">
        <w:trPr>
          <w:trHeight w:val="363"/>
        </w:trPr>
        <w:tc>
          <w:tcPr>
            <w:tcW w:w="817" w:type="dxa"/>
            <w:shd w:val="clear" w:color="auto" w:fill="auto"/>
          </w:tcPr>
          <w:p w14:paraId="0A62C566" w14:textId="77777777" w:rsidR="00162EE2" w:rsidRPr="002A3B3F" w:rsidRDefault="00162EE2" w:rsidP="007F66F9">
            <w:pPr>
              <w:ind w:right="-138"/>
              <w:jc w:val="center"/>
              <w:rPr>
                <w:rFonts w:ascii="Verdana" w:hAnsi="Verdana"/>
                <w:sz w:val="20"/>
                <w:szCs w:val="20"/>
              </w:rPr>
            </w:pPr>
            <w:r>
              <w:rPr>
                <w:rFonts w:ascii="Verdana" w:hAnsi="Verdana"/>
                <w:sz w:val="20"/>
                <w:szCs w:val="20"/>
              </w:rPr>
              <w:t>No.</w:t>
            </w:r>
          </w:p>
        </w:tc>
        <w:tc>
          <w:tcPr>
            <w:tcW w:w="3969" w:type="dxa"/>
            <w:shd w:val="clear" w:color="auto" w:fill="auto"/>
          </w:tcPr>
          <w:p w14:paraId="0A3B9B9F"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Country/</w:t>
            </w:r>
            <w:proofErr w:type="spellStart"/>
            <w:r w:rsidRPr="002A3B3F">
              <w:rPr>
                <w:rFonts w:ascii="Verdana" w:hAnsi="Verdana"/>
                <w:sz w:val="20"/>
                <w:szCs w:val="20"/>
              </w:rPr>
              <w:t>organisation</w:t>
            </w:r>
            <w:proofErr w:type="spellEnd"/>
          </w:p>
        </w:tc>
        <w:tc>
          <w:tcPr>
            <w:tcW w:w="5387" w:type="dxa"/>
            <w:shd w:val="clear" w:color="auto" w:fill="auto"/>
          </w:tcPr>
          <w:p w14:paraId="2BCDD3C4" w14:textId="77777777" w:rsidR="00162EE2" w:rsidRPr="002A3B3F" w:rsidRDefault="00162EE2" w:rsidP="007F66F9">
            <w:pPr>
              <w:ind w:left="80" w:right="-138"/>
              <w:jc w:val="center"/>
              <w:rPr>
                <w:rFonts w:ascii="Verdana" w:hAnsi="Verdana"/>
                <w:sz w:val="20"/>
                <w:szCs w:val="20"/>
              </w:rPr>
            </w:pPr>
            <w:r w:rsidRPr="002A3B3F">
              <w:rPr>
                <w:rFonts w:ascii="Verdana" w:hAnsi="Verdana"/>
                <w:sz w:val="20"/>
                <w:szCs w:val="20"/>
              </w:rPr>
              <w:t>Name</w:t>
            </w:r>
          </w:p>
        </w:tc>
      </w:tr>
      <w:tr w:rsidR="00162EE2" w:rsidRPr="002A3B3F" w14:paraId="4074DB8A" w14:textId="77777777" w:rsidTr="007F66F9">
        <w:trPr>
          <w:trHeight w:val="628"/>
        </w:trPr>
        <w:tc>
          <w:tcPr>
            <w:tcW w:w="817" w:type="dxa"/>
          </w:tcPr>
          <w:p w14:paraId="030C2561"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0402BC1B" w14:textId="77777777" w:rsidR="00162EE2" w:rsidRPr="002A3B3F" w:rsidRDefault="00162EE2" w:rsidP="007F66F9">
            <w:pPr>
              <w:ind w:right="-138"/>
              <w:jc w:val="center"/>
              <w:rPr>
                <w:rFonts w:ascii="Verdana" w:hAnsi="Verdana"/>
                <w:sz w:val="20"/>
                <w:szCs w:val="20"/>
              </w:rPr>
            </w:pPr>
            <w:r>
              <w:rPr>
                <w:rFonts w:ascii="Verdana" w:hAnsi="Verdana"/>
                <w:sz w:val="20"/>
                <w:szCs w:val="20"/>
              </w:rPr>
              <w:t>Ireland</w:t>
            </w:r>
          </w:p>
        </w:tc>
        <w:tc>
          <w:tcPr>
            <w:tcW w:w="5387" w:type="dxa"/>
          </w:tcPr>
          <w:p w14:paraId="77F6FE52" w14:textId="77777777" w:rsidR="00162EE2" w:rsidRDefault="00162EE2" w:rsidP="007F66F9">
            <w:pPr>
              <w:ind w:left="80" w:right="-138"/>
              <w:jc w:val="center"/>
              <w:rPr>
                <w:rFonts w:ascii="Verdana" w:hAnsi="Verdana"/>
                <w:sz w:val="20"/>
                <w:szCs w:val="20"/>
              </w:rPr>
            </w:pPr>
            <w:r>
              <w:rPr>
                <w:rFonts w:ascii="Verdana" w:hAnsi="Verdana"/>
                <w:sz w:val="20"/>
                <w:szCs w:val="20"/>
              </w:rPr>
              <w:t>Brian Power</w:t>
            </w:r>
          </w:p>
          <w:p w14:paraId="59878E8F" w14:textId="77777777" w:rsidR="00162EE2" w:rsidRPr="002A3B3F" w:rsidRDefault="00162EE2" w:rsidP="007F66F9">
            <w:pPr>
              <w:ind w:left="80" w:right="-138"/>
              <w:jc w:val="center"/>
              <w:rPr>
                <w:rFonts w:ascii="Verdana" w:hAnsi="Verdana"/>
                <w:sz w:val="20"/>
                <w:szCs w:val="20"/>
              </w:rPr>
            </w:pPr>
            <w:r>
              <w:rPr>
                <w:rFonts w:ascii="Verdana" w:hAnsi="Verdana"/>
                <w:sz w:val="20"/>
                <w:szCs w:val="20"/>
              </w:rPr>
              <w:t>Co-Chair of the SD&amp;LLL WG</w:t>
            </w:r>
          </w:p>
        </w:tc>
      </w:tr>
      <w:tr w:rsidR="00162EE2" w:rsidRPr="002A3B3F" w14:paraId="69BDC9D1" w14:textId="77777777" w:rsidTr="007F66F9">
        <w:trPr>
          <w:trHeight w:val="694"/>
        </w:trPr>
        <w:tc>
          <w:tcPr>
            <w:tcW w:w="817" w:type="dxa"/>
          </w:tcPr>
          <w:p w14:paraId="5E1723EF"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38CA69C2" w14:textId="77777777" w:rsidR="00162EE2" w:rsidRPr="002A3B3F" w:rsidRDefault="00162EE2" w:rsidP="007F66F9">
            <w:pPr>
              <w:ind w:right="-138"/>
              <w:jc w:val="center"/>
              <w:rPr>
                <w:rFonts w:ascii="Verdana" w:hAnsi="Verdana"/>
                <w:sz w:val="20"/>
                <w:szCs w:val="20"/>
              </w:rPr>
            </w:pPr>
            <w:r>
              <w:rPr>
                <w:rFonts w:ascii="Verdana" w:hAnsi="Verdana"/>
                <w:sz w:val="20"/>
                <w:szCs w:val="20"/>
              </w:rPr>
              <w:t>ESU</w:t>
            </w:r>
          </w:p>
        </w:tc>
        <w:tc>
          <w:tcPr>
            <w:tcW w:w="5387" w:type="dxa"/>
          </w:tcPr>
          <w:p w14:paraId="4847FA76" w14:textId="77777777" w:rsidR="00162EE2" w:rsidRDefault="00162EE2" w:rsidP="007F66F9">
            <w:pPr>
              <w:ind w:left="80" w:right="-138"/>
              <w:jc w:val="center"/>
              <w:rPr>
                <w:rFonts w:ascii="Verdana" w:hAnsi="Verdana"/>
                <w:sz w:val="20"/>
                <w:szCs w:val="20"/>
              </w:rPr>
            </w:pPr>
            <w:r>
              <w:rPr>
                <w:rFonts w:ascii="Verdana" w:hAnsi="Verdana"/>
                <w:sz w:val="20"/>
                <w:szCs w:val="20"/>
              </w:rPr>
              <w:t xml:space="preserve">Elisabeth </w:t>
            </w:r>
            <w:proofErr w:type="spellStart"/>
            <w:r>
              <w:rPr>
                <w:rFonts w:ascii="Verdana" w:hAnsi="Verdana"/>
                <w:sz w:val="20"/>
                <w:szCs w:val="20"/>
              </w:rPr>
              <w:t>Gehrke</w:t>
            </w:r>
            <w:proofErr w:type="spellEnd"/>
          </w:p>
          <w:p w14:paraId="0C60698C" w14:textId="77777777" w:rsidR="00162EE2" w:rsidRPr="002A3B3F" w:rsidRDefault="00162EE2" w:rsidP="007F66F9">
            <w:pPr>
              <w:ind w:left="80" w:right="-138"/>
              <w:jc w:val="center"/>
              <w:rPr>
                <w:rFonts w:ascii="Verdana" w:hAnsi="Verdana"/>
                <w:sz w:val="20"/>
                <w:szCs w:val="20"/>
              </w:rPr>
            </w:pPr>
            <w:r>
              <w:rPr>
                <w:rFonts w:ascii="Verdana" w:hAnsi="Verdana"/>
                <w:sz w:val="20"/>
                <w:szCs w:val="20"/>
              </w:rPr>
              <w:t>Co-Chair of the SD&amp;LLL WG</w:t>
            </w:r>
          </w:p>
        </w:tc>
      </w:tr>
      <w:tr w:rsidR="00162EE2" w:rsidRPr="002A3B3F" w14:paraId="304A9A0C" w14:textId="77777777" w:rsidTr="007F66F9">
        <w:trPr>
          <w:trHeight w:val="363"/>
        </w:trPr>
        <w:tc>
          <w:tcPr>
            <w:tcW w:w="817" w:type="dxa"/>
          </w:tcPr>
          <w:p w14:paraId="30F44C57"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27217149"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Armenia</w:t>
            </w:r>
          </w:p>
        </w:tc>
        <w:tc>
          <w:tcPr>
            <w:tcW w:w="5387" w:type="dxa"/>
          </w:tcPr>
          <w:p w14:paraId="4903C287" w14:textId="77777777" w:rsidR="00162EE2" w:rsidRPr="002A3B3F" w:rsidRDefault="00162EE2" w:rsidP="007F66F9">
            <w:pPr>
              <w:ind w:left="80" w:right="-138"/>
              <w:jc w:val="center"/>
              <w:rPr>
                <w:rFonts w:ascii="Verdana" w:hAnsi="Verdana"/>
                <w:sz w:val="20"/>
                <w:szCs w:val="20"/>
              </w:rPr>
            </w:pPr>
            <w:proofErr w:type="spellStart"/>
            <w:r w:rsidRPr="002A3B3F">
              <w:rPr>
                <w:rFonts w:ascii="Verdana" w:hAnsi="Verdana"/>
                <w:sz w:val="20"/>
                <w:szCs w:val="20"/>
              </w:rPr>
              <w:t>Zhanna</w:t>
            </w:r>
            <w:proofErr w:type="spellEnd"/>
            <w:r w:rsidRPr="002A3B3F">
              <w:rPr>
                <w:rFonts w:ascii="Verdana" w:hAnsi="Verdana"/>
                <w:sz w:val="20"/>
                <w:szCs w:val="20"/>
              </w:rPr>
              <w:t xml:space="preserve"> </w:t>
            </w:r>
            <w:proofErr w:type="spellStart"/>
            <w:r w:rsidRPr="002A3B3F">
              <w:rPr>
                <w:rFonts w:ascii="Verdana" w:hAnsi="Verdana"/>
                <w:sz w:val="20"/>
                <w:szCs w:val="20"/>
              </w:rPr>
              <w:t>Andreasyan</w:t>
            </w:r>
            <w:proofErr w:type="spellEnd"/>
          </w:p>
        </w:tc>
      </w:tr>
      <w:tr w:rsidR="00162EE2" w:rsidRPr="002A3B3F" w14:paraId="658D3D42" w14:textId="77777777" w:rsidTr="007F66F9">
        <w:trPr>
          <w:trHeight w:val="363"/>
        </w:trPr>
        <w:tc>
          <w:tcPr>
            <w:tcW w:w="817" w:type="dxa"/>
          </w:tcPr>
          <w:p w14:paraId="39049281"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7F753806"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Austria</w:t>
            </w:r>
          </w:p>
        </w:tc>
        <w:tc>
          <w:tcPr>
            <w:tcW w:w="5387" w:type="dxa"/>
          </w:tcPr>
          <w:p w14:paraId="4EF3443A" w14:textId="77777777" w:rsidR="00162EE2" w:rsidRPr="002A3B3F" w:rsidRDefault="00162EE2" w:rsidP="007F66F9">
            <w:pPr>
              <w:ind w:left="80" w:right="-138"/>
              <w:jc w:val="center"/>
              <w:rPr>
                <w:rFonts w:ascii="Verdana" w:hAnsi="Verdana"/>
                <w:sz w:val="20"/>
                <w:szCs w:val="20"/>
              </w:rPr>
            </w:pPr>
            <w:r w:rsidRPr="002A3B3F">
              <w:rPr>
                <w:rFonts w:ascii="Verdana" w:hAnsi="Verdana"/>
                <w:sz w:val="20"/>
                <w:szCs w:val="20"/>
              </w:rPr>
              <w:t>Helga Posset</w:t>
            </w:r>
          </w:p>
        </w:tc>
      </w:tr>
      <w:tr w:rsidR="00162EE2" w:rsidRPr="002A3B3F" w14:paraId="74C4C7AC" w14:textId="77777777" w:rsidTr="007F66F9">
        <w:trPr>
          <w:trHeight w:val="363"/>
        </w:trPr>
        <w:tc>
          <w:tcPr>
            <w:tcW w:w="817" w:type="dxa"/>
          </w:tcPr>
          <w:p w14:paraId="76740529"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5BF6DD38"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Belgium/Flemish Community</w:t>
            </w:r>
          </w:p>
        </w:tc>
        <w:tc>
          <w:tcPr>
            <w:tcW w:w="5387" w:type="dxa"/>
          </w:tcPr>
          <w:p w14:paraId="289199C4" w14:textId="77777777" w:rsidR="00162EE2" w:rsidRPr="002A3B3F" w:rsidRDefault="00162EE2" w:rsidP="007F66F9">
            <w:pPr>
              <w:ind w:left="80" w:right="-138"/>
              <w:jc w:val="center"/>
              <w:rPr>
                <w:rFonts w:ascii="Verdana" w:hAnsi="Verdana"/>
                <w:sz w:val="20"/>
                <w:szCs w:val="20"/>
              </w:rPr>
            </w:pPr>
            <w:r w:rsidRPr="002A3B3F">
              <w:rPr>
                <w:rFonts w:ascii="Verdana" w:hAnsi="Verdana" w:cs="Calibri Bold Italic"/>
                <w:sz w:val="20"/>
                <w:szCs w:val="20"/>
              </w:rPr>
              <w:t xml:space="preserve">Noël </w:t>
            </w:r>
            <w:proofErr w:type="spellStart"/>
            <w:r w:rsidRPr="002A3B3F">
              <w:rPr>
                <w:rFonts w:ascii="Verdana" w:hAnsi="Verdana" w:cs="Calibri Bold Italic"/>
                <w:sz w:val="20"/>
                <w:szCs w:val="20"/>
              </w:rPr>
              <w:t>Vercruysse</w:t>
            </w:r>
            <w:proofErr w:type="spellEnd"/>
          </w:p>
        </w:tc>
      </w:tr>
      <w:tr w:rsidR="00162EE2" w:rsidRPr="002A3B3F" w14:paraId="2DA5DA35" w14:textId="77777777" w:rsidTr="007F66F9">
        <w:trPr>
          <w:trHeight w:val="363"/>
        </w:trPr>
        <w:tc>
          <w:tcPr>
            <w:tcW w:w="817" w:type="dxa"/>
          </w:tcPr>
          <w:p w14:paraId="3C2CF8A9"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244C49E2"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Belgium/Flemish Community</w:t>
            </w:r>
          </w:p>
        </w:tc>
        <w:tc>
          <w:tcPr>
            <w:tcW w:w="5387" w:type="dxa"/>
          </w:tcPr>
          <w:p w14:paraId="1DBB1874" w14:textId="77777777" w:rsidR="00162EE2" w:rsidRPr="002A3B3F" w:rsidRDefault="00162EE2" w:rsidP="007F66F9">
            <w:pPr>
              <w:ind w:left="80" w:right="-138"/>
              <w:jc w:val="center"/>
              <w:rPr>
                <w:rFonts w:ascii="Verdana" w:hAnsi="Verdana" w:cs="Calibri Bold Italic"/>
                <w:sz w:val="20"/>
                <w:szCs w:val="20"/>
              </w:rPr>
            </w:pPr>
            <w:r>
              <w:rPr>
                <w:rFonts w:ascii="Verdana" w:hAnsi="Verdana" w:cs="Calibri Bold Italic"/>
                <w:sz w:val="20"/>
                <w:szCs w:val="20"/>
              </w:rPr>
              <w:t xml:space="preserve">Patrick </w:t>
            </w:r>
            <w:proofErr w:type="spellStart"/>
            <w:r>
              <w:rPr>
                <w:rFonts w:ascii="Verdana" w:hAnsi="Verdana" w:cs="Calibri Bold Italic"/>
                <w:sz w:val="20"/>
                <w:szCs w:val="20"/>
              </w:rPr>
              <w:t>Willems</w:t>
            </w:r>
            <w:proofErr w:type="spellEnd"/>
          </w:p>
        </w:tc>
      </w:tr>
      <w:tr w:rsidR="00162EE2" w:rsidRPr="002A3B3F" w14:paraId="46B914AE" w14:textId="77777777" w:rsidTr="007F66F9">
        <w:trPr>
          <w:trHeight w:val="363"/>
        </w:trPr>
        <w:tc>
          <w:tcPr>
            <w:tcW w:w="817" w:type="dxa"/>
          </w:tcPr>
          <w:p w14:paraId="4EB0E258"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72E8218F"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Croatia</w:t>
            </w:r>
          </w:p>
        </w:tc>
        <w:tc>
          <w:tcPr>
            <w:tcW w:w="5387" w:type="dxa"/>
          </w:tcPr>
          <w:p w14:paraId="4E5C51C0" w14:textId="77777777" w:rsidR="00162EE2" w:rsidRPr="002A3B3F" w:rsidRDefault="00162EE2" w:rsidP="007F66F9">
            <w:pPr>
              <w:ind w:left="80" w:right="-138"/>
              <w:jc w:val="center"/>
              <w:rPr>
                <w:rFonts w:ascii="Verdana" w:hAnsi="Verdana" w:cs="Helvetica"/>
                <w:sz w:val="20"/>
                <w:szCs w:val="20"/>
              </w:rPr>
            </w:pPr>
            <w:r w:rsidRPr="002A3B3F">
              <w:rPr>
                <w:rFonts w:ascii="Verdana" w:hAnsi="Verdana" w:cs="Helvetica"/>
                <w:sz w:val="20"/>
                <w:szCs w:val="20"/>
              </w:rPr>
              <w:t xml:space="preserve">Marina </w:t>
            </w:r>
            <w:proofErr w:type="spellStart"/>
            <w:r w:rsidRPr="002A3B3F">
              <w:rPr>
                <w:rFonts w:ascii="Verdana" w:hAnsi="Verdana" w:cs="Helvetica"/>
                <w:sz w:val="20"/>
                <w:szCs w:val="20"/>
              </w:rPr>
              <w:t>Crnčić</w:t>
            </w:r>
            <w:proofErr w:type="spellEnd"/>
            <w:r w:rsidRPr="002A3B3F">
              <w:rPr>
                <w:rFonts w:ascii="Verdana" w:hAnsi="Verdana" w:cs="Helvetica"/>
                <w:sz w:val="20"/>
                <w:szCs w:val="20"/>
              </w:rPr>
              <w:t xml:space="preserve"> </w:t>
            </w:r>
            <w:proofErr w:type="spellStart"/>
            <w:r w:rsidRPr="002A3B3F">
              <w:rPr>
                <w:rFonts w:ascii="Verdana" w:hAnsi="Verdana" w:cs="Helvetica"/>
                <w:sz w:val="20"/>
                <w:szCs w:val="20"/>
              </w:rPr>
              <w:t>Sokol</w:t>
            </w:r>
            <w:proofErr w:type="spellEnd"/>
          </w:p>
        </w:tc>
      </w:tr>
      <w:tr w:rsidR="00162EE2" w:rsidRPr="002A3B3F" w14:paraId="23B332D4" w14:textId="77777777" w:rsidTr="007F66F9">
        <w:trPr>
          <w:trHeight w:val="363"/>
        </w:trPr>
        <w:tc>
          <w:tcPr>
            <w:tcW w:w="817" w:type="dxa"/>
          </w:tcPr>
          <w:p w14:paraId="455B408F"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58C8969F" w14:textId="77777777" w:rsidR="00162EE2" w:rsidRPr="002A3B3F" w:rsidRDefault="00162EE2" w:rsidP="007F66F9">
            <w:pPr>
              <w:ind w:right="-138"/>
              <w:jc w:val="center"/>
              <w:rPr>
                <w:rFonts w:ascii="Verdana" w:hAnsi="Verdana"/>
                <w:sz w:val="20"/>
                <w:szCs w:val="20"/>
              </w:rPr>
            </w:pPr>
            <w:r>
              <w:rPr>
                <w:rFonts w:ascii="Verdana" w:hAnsi="Verdana"/>
                <w:sz w:val="20"/>
                <w:szCs w:val="20"/>
              </w:rPr>
              <w:t>Croatia</w:t>
            </w:r>
          </w:p>
        </w:tc>
        <w:tc>
          <w:tcPr>
            <w:tcW w:w="5387" w:type="dxa"/>
          </w:tcPr>
          <w:p w14:paraId="22474873" w14:textId="77777777" w:rsidR="00162EE2" w:rsidRPr="002A3B3F" w:rsidRDefault="00162EE2" w:rsidP="007F66F9">
            <w:pPr>
              <w:ind w:left="80" w:right="-138"/>
              <w:jc w:val="center"/>
              <w:rPr>
                <w:rFonts w:ascii="Verdana" w:hAnsi="Verdana" w:cs="Helvetica"/>
                <w:sz w:val="20"/>
                <w:szCs w:val="20"/>
              </w:rPr>
            </w:pPr>
            <w:proofErr w:type="spellStart"/>
            <w:r w:rsidRPr="00C73C39">
              <w:rPr>
                <w:rFonts w:ascii="Verdana" w:hAnsi="Verdana" w:cs="Tahoma"/>
                <w:sz w:val="20"/>
                <w:szCs w:val="20"/>
              </w:rPr>
              <w:t>Tomislav</w:t>
            </w:r>
            <w:proofErr w:type="spellEnd"/>
            <w:r w:rsidRPr="00C73C39">
              <w:rPr>
                <w:rFonts w:ascii="Verdana" w:hAnsi="Verdana" w:cs="Tahoma"/>
                <w:sz w:val="20"/>
                <w:szCs w:val="20"/>
              </w:rPr>
              <w:t xml:space="preserve"> </w:t>
            </w:r>
            <w:proofErr w:type="spellStart"/>
            <w:r w:rsidRPr="00C73C39">
              <w:rPr>
                <w:rFonts w:ascii="Verdana" w:hAnsi="Verdana" w:cs="Tahoma"/>
                <w:sz w:val="20"/>
                <w:szCs w:val="20"/>
              </w:rPr>
              <w:t>Vodi</w:t>
            </w:r>
            <w:r w:rsidRPr="00C73C39">
              <w:rPr>
                <w:rFonts w:ascii="Verdana" w:hAnsi="Verdana"/>
                <w:sz w:val="20"/>
                <w:szCs w:val="20"/>
              </w:rPr>
              <w:t>č</w:t>
            </w:r>
            <w:r w:rsidRPr="00C73C39">
              <w:rPr>
                <w:rFonts w:ascii="Verdana" w:hAnsi="Verdana" w:cs="Tahoma"/>
                <w:sz w:val="20"/>
                <w:szCs w:val="20"/>
              </w:rPr>
              <w:t>ka</w:t>
            </w:r>
            <w:proofErr w:type="spellEnd"/>
          </w:p>
        </w:tc>
      </w:tr>
      <w:tr w:rsidR="00162EE2" w:rsidRPr="002A3B3F" w14:paraId="7BBB098D" w14:textId="77777777" w:rsidTr="007F66F9">
        <w:trPr>
          <w:trHeight w:val="363"/>
        </w:trPr>
        <w:tc>
          <w:tcPr>
            <w:tcW w:w="817" w:type="dxa"/>
          </w:tcPr>
          <w:p w14:paraId="2CB1BAB2"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395403AC"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Cyprus</w:t>
            </w:r>
          </w:p>
        </w:tc>
        <w:tc>
          <w:tcPr>
            <w:tcW w:w="5387" w:type="dxa"/>
          </w:tcPr>
          <w:p w14:paraId="671DC27C" w14:textId="77777777" w:rsidR="00162EE2" w:rsidRPr="002A3B3F" w:rsidRDefault="00162EE2" w:rsidP="007F66F9">
            <w:pPr>
              <w:ind w:left="80" w:right="-138"/>
              <w:jc w:val="center"/>
              <w:rPr>
                <w:rFonts w:ascii="Verdana" w:hAnsi="Verdana" w:cs="Russian Times"/>
                <w:sz w:val="20"/>
                <w:szCs w:val="20"/>
              </w:rPr>
            </w:pPr>
            <w:proofErr w:type="spellStart"/>
            <w:r w:rsidRPr="002A3B3F">
              <w:rPr>
                <w:rFonts w:ascii="Verdana" w:hAnsi="Verdana" w:cs="Russian Times"/>
                <w:sz w:val="20"/>
                <w:szCs w:val="20"/>
              </w:rPr>
              <w:t>Stelios</w:t>
            </w:r>
            <w:proofErr w:type="spellEnd"/>
            <w:r w:rsidRPr="002A3B3F">
              <w:rPr>
                <w:rFonts w:ascii="Verdana" w:hAnsi="Verdana" w:cs="Russian Times"/>
                <w:sz w:val="20"/>
                <w:szCs w:val="20"/>
              </w:rPr>
              <w:t xml:space="preserve"> </w:t>
            </w:r>
            <w:proofErr w:type="spellStart"/>
            <w:r w:rsidRPr="002A3B3F">
              <w:rPr>
                <w:rFonts w:ascii="Verdana" w:hAnsi="Verdana" w:cs="Russian Times"/>
                <w:sz w:val="20"/>
                <w:szCs w:val="20"/>
              </w:rPr>
              <w:t>Christophides</w:t>
            </w:r>
            <w:proofErr w:type="spellEnd"/>
          </w:p>
        </w:tc>
      </w:tr>
      <w:tr w:rsidR="00162EE2" w:rsidRPr="002A3B3F" w14:paraId="53FB65D6" w14:textId="77777777" w:rsidTr="007F66F9">
        <w:trPr>
          <w:trHeight w:val="363"/>
        </w:trPr>
        <w:tc>
          <w:tcPr>
            <w:tcW w:w="817" w:type="dxa"/>
          </w:tcPr>
          <w:p w14:paraId="516A65C0"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79CE5695" w14:textId="77777777" w:rsidR="00162EE2" w:rsidRPr="002A3B3F" w:rsidRDefault="00162EE2" w:rsidP="007F66F9">
            <w:pPr>
              <w:ind w:right="-138"/>
              <w:jc w:val="center"/>
              <w:rPr>
                <w:rFonts w:ascii="Verdana" w:hAnsi="Verdana"/>
                <w:sz w:val="20"/>
                <w:szCs w:val="20"/>
              </w:rPr>
            </w:pPr>
            <w:r>
              <w:rPr>
                <w:rFonts w:ascii="Verdana" w:hAnsi="Verdana"/>
                <w:sz w:val="20"/>
                <w:szCs w:val="20"/>
              </w:rPr>
              <w:t>Denmark</w:t>
            </w:r>
          </w:p>
        </w:tc>
        <w:tc>
          <w:tcPr>
            <w:tcW w:w="5387" w:type="dxa"/>
          </w:tcPr>
          <w:p w14:paraId="7BDC782E" w14:textId="77777777" w:rsidR="00162EE2" w:rsidRPr="002A3B3F" w:rsidRDefault="00162EE2" w:rsidP="007F66F9">
            <w:pPr>
              <w:ind w:left="80" w:right="-138"/>
              <w:jc w:val="center"/>
              <w:rPr>
                <w:rFonts w:ascii="Verdana" w:hAnsi="Verdana" w:cs="Russian Times"/>
                <w:sz w:val="20"/>
                <w:szCs w:val="20"/>
              </w:rPr>
            </w:pPr>
            <w:proofErr w:type="spellStart"/>
            <w:r>
              <w:rPr>
                <w:rFonts w:ascii="Verdana" w:hAnsi="Verdana" w:cs="Russian Times"/>
                <w:sz w:val="20"/>
                <w:szCs w:val="20"/>
              </w:rPr>
              <w:t>Ditte</w:t>
            </w:r>
            <w:proofErr w:type="spellEnd"/>
            <w:r>
              <w:rPr>
                <w:rFonts w:ascii="Verdana" w:hAnsi="Verdana" w:cs="Russian Times"/>
                <w:sz w:val="20"/>
                <w:szCs w:val="20"/>
              </w:rPr>
              <w:t xml:space="preserve"> Mesick</w:t>
            </w:r>
          </w:p>
        </w:tc>
      </w:tr>
      <w:tr w:rsidR="00162EE2" w:rsidRPr="002A3B3F" w14:paraId="6BF66207" w14:textId="77777777" w:rsidTr="007F66F9">
        <w:trPr>
          <w:trHeight w:val="363"/>
        </w:trPr>
        <w:tc>
          <w:tcPr>
            <w:tcW w:w="817" w:type="dxa"/>
          </w:tcPr>
          <w:p w14:paraId="6E7E9696"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0963DC27" w14:textId="77777777" w:rsidR="00162EE2" w:rsidRDefault="00162EE2" w:rsidP="007F66F9">
            <w:pPr>
              <w:ind w:right="-138"/>
              <w:jc w:val="center"/>
              <w:rPr>
                <w:rFonts w:ascii="Verdana" w:hAnsi="Verdana"/>
                <w:sz w:val="20"/>
                <w:szCs w:val="20"/>
              </w:rPr>
            </w:pPr>
            <w:r>
              <w:rPr>
                <w:rFonts w:ascii="Verdana" w:hAnsi="Verdana"/>
                <w:sz w:val="20"/>
                <w:szCs w:val="20"/>
              </w:rPr>
              <w:t>Denmark</w:t>
            </w:r>
          </w:p>
        </w:tc>
        <w:tc>
          <w:tcPr>
            <w:tcW w:w="5387" w:type="dxa"/>
          </w:tcPr>
          <w:p w14:paraId="570167C2" w14:textId="77777777" w:rsidR="00162EE2" w:rsidRDefault="00162EE2" w:rsidP="007F66F9">
            <w:pPr>
              <w:ind w:left="80" w:right="-138"/>
              <w:jc w:val="center"/>
              <w:rPr>
                <w:rFonts w:ascii="Verdana" w:hAnsi="Verdana" w:cs="Russian Times"/>
                <w:sz w:val="20"/>
                <w:szCs w:val="20"/>
              </w:rPr>
            </w:pPr>
            <w:r>
              <w:rPr>
                <w:rFonts w:ascii="Verdana" w:hAnsi="Verdana" w:cs="Russian Times"/>
                <w:sz w:val="20"/>
                <w:szCs w:val="20"/>
              </w:rPr>
              <w:t xml:space="preserve">Annemarie </w:t>
            </w:r>
            <w:proofErr w:type="spellStart"/>
            <w:r>
              <w:rPr>
                <w:rFonts w:ascii="Verdana" w:hAnsi="Verdana" w:cs="Russian Times"/>
                <w:sz w:val="20"/>
                <w:szCs w:val="20"/>
              </w:rPr>
              <w:t>Otteslev</w:t>
            </w:r>
            <w:proofErr w:type="spellEnd"/>
          </w:p>
        </w:tc>
      </w:tr>
      <w:tr w:rsidR="00162EE2" w:rsidRPr="002A3B3F" w14:paraId="2E51E67C" w14:textId="77777777" w:rsidTr="007F66F9">
        <w:trPr>
          <w:trHeight w:val="363"/>
        </w:trPr>
        <w:tc>
          <w:tcPr>
            <w:tcW w:w="817" w:type="dxa"/>
          </w:tcPr>
          <w:p w14:paraId="661B9D9A"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4C7A0EE9" w14:textId="77777777" w:rsidR="00162EE2" w:rsidRDefault="00162EE2" w:rsidP="007F66F9">
            <w:pPr>
              <w:ind w:right="-138"/>
              <w:jc w:val="center"/>
              <w:rPr>
                <w:rFonts w:ascii="Verdana" w:hAnsi="Verdana"/>
                <w:sz w:val="20"/>
                <w:szCs w:val="20"/>
              </w:rPr>
            </w:pPr>
            <w:r>
              <w:rPr>
                <w:rFonts w:ascii="Verdana" w:hAnsi="Verdana"/>
                <w:sz w:val="20"/>
                <w:szCs w:val="20"/>
              </w:rPr>
              <w:t>European Commission</w:t>
            </w:r>
          </w:p>
        </w:tc>
        <w:tc>
          <w:tcPr>
            <w:tcW w:w="5387" w:type="dxa"/>
          </w:tcPr>
          <w:p w14:paraId="019AE50D" w14:textId="77777777" w:rsidR="00162EE2" w:rsidRDefault="00162EE2" w:rsidP="007F66F9">
            <w:pPr>
              <w:ind w:left="80" w:right="-138"/>
              <w:jc w:val="center"/>
              <w:rPr>
                <w:rFonts w:ascii="Verdana" w:hAnsi="Verdana" w:cs="Russian Times"/>
                <w:sz w:val="20"/>
                <w:szCs w:val="20"/>
              </w:rPr>
            </w:pPr>
            <w:r w:rsidRPr="00C73C39">
              <w:rPr>
                <w:rStyle w:val="Strong"/>
                <w:rFonts w:ascii="Verdana" w:eastAsia="MS Gothic" w:hAnsi="Verdana" w:cs="Tahoma"/>
                <w:b/>
                <w:sz w:val="20"/>
                <w:szCs w:val="20"/>
              </w:rPr>
              <w:t xml:space="preserve">Maria </w:t>
            </w:r>
            <w:proofErr w:type="spellStart"/>
            <w:r w:rsidRPr="00C73C39">
              <w:rPr>
                <w:rStyle w:val="Strong"/>
                <w:rFonts w:ascii="Verdana" w:eastAsia="MS Gothic" w:hAnsi="Verdana" w:cs="Tahoma"/>
                <w:b/>
                <w:sz w:val="20"/>
                <w:szCs w:val="20"/>
              </w:rPr>
              <w:t>Gylfadottir</w:t>
            </w:r>
            <w:proofErr w:type="spellEnd"/>
          </w:p>
        </w:tc>
      </w:tr>
      <w:tr w:rsidR="00162EE2" w:rsidRPr="002A3B3F" w14:paraId="0DFEA1D4" w14:textId="77777777" w:rsidTr="007F66F9">
        <w:trPr>
          <w:trHeight w:val="363"/>
        </w:trPr>
        <w:tc>
          <w:tcPr>
            <w:tcW w:w="817" w:type="dxa"/>
          </w:tcPr>
          <w:p w14:paraId="1703F6D2"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0E20981E" w14:textId="77777777" w:rsidR="00162EE2" w:rsidRDefault="00162EE2" w:rsidP="007F66F9">
            <w:pPr>
              <w:ind w:right="-138"/>
              <w:jc w:val="center"/>
              <w:rPr>
                <w:rFonts w:ascii="Verdana" w:hAnsi="Verdana"/>
                <w:sz w:val="20"/>
                <w:szCs w:val="20"/>
              </w:rPr>
            </w:pPr>
            <w:r>
              <w:rPr>
                <w:rFonts w:ascii="Verdana" w:hAnsi="Verdana"/>
                <w:sz w:val="20"/>
                <w:szCs w:val="20"/>
              </w:rPr>
              <w:t>European Commission</w:t>
            </w:r>
          </w:p>
        </w:tc>
        <w:tc>
          <w:tcPr>
            <w:tcW w:w="5387" w:type="dxa"/>
          </w:tcPr>
          <w:p w14:paraId="13786D1D" w14:textId="77777777" w:rsidR="00162EE2" w:rsidRPr="00C73C39" w:rsidRDefault="00162EE2" w:rsidP="007F66F9">
            <w:pPr>
              <w:ind w:left="80" w:right="-138"/>
              <w:jc w:val="center"/>
              <w:rPr>
                <w:rStyle w:val="Strong"/>
              </w:rPr>
            </w:pPr>
            <w:proofErr w:type="spellStart"/>
            <w:r>
              <w:rPr>
                <w:rStyle w:val="Strong"/>
                <w:rFonts w:ascii="Verdana" w:eastAsia="MS Gothic" w:hAnsi="Verdana" w:cs="Tahoma"/>
                <w:b/>
                <w:sz w:val="20"/>
                <w:szCs w:val="20"/>
              </w:rPr>
              <w:t>Mads</w:t>
            </w:r>
            <w:proofErr w:type="spellEnd"/>
            <w:r>
              <w:rPr>
                <w:rStyle w:val="Strong"/>
                <w:rFonts w:ascii="Verdana" w:eastAsia="MS Gothic" w:hAnsi="Verdana" w:cs="Tahoma"/>
                <w:b/>
                <w:sz w:val="20"/>
                <w:szCs w:val="20"/>
              </w:rPr>
              <w:t xml:space="preserve"> </w:t>
            </w:r>
            <w:proofErr w:type="spellStart"/>
            <w:r>
              <w:rPr>
                <w:rStyle w:val="Strong"/>
                <w:rFonts w:ascii="Verdana" w:eastAsia="MS Gothic" w:hAnsi="Verdana" w:cs="Tahoma"/>
                <w:b/>
                <w:sz w:val="20"/>
                <w:szCs w:val="20"/>
              </w:rPr>
              <w:t>Gravas</w:t>
            </w:r>
            <w:proofErr w:type="spellEnd"/>
          </w:p>
        </w:tc>
      </w:tr>
      <w:tr w:rsidR="00162EE2" w:rsidRPr="002A3B3F" w14:paraId="51CDC9C5" w14:textId="77777777" w:rsidTr="007F66F9">
        <w:trPr>
          <w:trHeight w:val="363"/>
        </w:trPr>
        <w:tc>
          <w:tcPr>
            <w:tcW w:w="817" w:type="dxa"/>
          </w:tcPr>
          <w:p w14:paraId="7C930B41"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3023BEE1" w14:textId="77777777" w:rsidR="00162EE2" w:rsidRPr="002A3B3F" w:rsidRDefault="00162EE2" w:rsidP="007F66F9">
            <w:pPr>
              <w:ind w:right="-138"/>
              <w:jc w:val="center"/>
              <w:rPr>
                <w:rFonts w:ascii="Verdana" w:hAnsi="Verdana"/>
                <w:sz w:val="20"/>
                <w:szCs w:val="20"/>
              </w:rPr>
            </w:pPr>
            <w:r>
              <w:rPr>
                <w:rFonts w:ascii="Verdana" w:hAnsi="Verdana"/>
                <w:sz w:val="20"/>
                <w:szCs w:val="20"/>
              </w:rPr>
              <w:t>European Commission</w:t>
            </w:r>
          </w:p>
        </w:tc>
        <w:tc>
          <w:tcPr>
            <w:tcW w:w="5387" w:type="dxa"/>
          </w:tcPr>
          <w:p w14:paraId="665E7C27" w14:textId="77777777" w:rsidR="00162EE2" w:rsidRPr="002A3B3F" w:rsidRDefault="00162EE2" w:rsidP="007F66F9">
            <w:pPr>
              <w:ind w:left="80" w:right="-138"/>
              <w:jc w:val="center"/>
              <w:rPr>
                <w:rFonts w:ascii="Verdana" w:hAnsi="Verdana"/>
                <w:sz w:val="20"/>
                <w:szCs w:val="20"/>
              </w:rPr>
            </w:pPr>
            <w:proofErr w:type="spellStart"/>
            <w:r w:rsidRPr="002A3B3F">
              <w:rPr>
                <w:rFonts w:ascii="Verdana" w:hAnsi="Verdana" w:cs="Russian Times"/>
                <w:sz w:val="20"/>
                <w:szCs w:val="20"/>
              </w:rPr>
              <w:t>Mette</w:t>
            </w:r>
            <w:proofErr w:type="spellEnd"/>
            <w:r w:rsidRPr="002A3B3F">
              <w:rPr>
                <w:rFonts w:ascii="Verdana" w:hAnsi="Verdana" w:cs="Russian Times"/>
                <w:sz w:val="20"/>
                <w:szCs w:val="20"/>
              </w:rPr>
              <w:t xml:space="preserve"> </w:t>
            </w:r>
            <w:proofErr w:type="spellStart"/>
            <w:r w:rsidRPr="002A3B3F">
              <w:rPr>
                <w:rFonts w:ascii="Verdana" w:hAnsi="Verdana" w:cs="Russian Times"/>
                <w:sz w:val="20"/>
                <w:szCs w:val="20"/>
              </w:rPr>
              <w:t>Moerk</w:t>
            </w:r>
            <w:proofErr w:type="spellEnd"/>
            <w:r w:rsidRPr="002A3B3F">
              <w:rPr>
                <w:rFonts w:ascii="Verdana" w:hAnsi="Verdana" w:cs="Russian Times"/>
                <w:sz w:val="20"/>
                <w:szCs w:val="20"/>
              </w:rPr>
              <w:t xml:space="preserve"> Andersen</w:t>
            </w:r>
          </w:p>
        </w:tc>
      </w:tr>
      <w:tr w:rsidR="00162EE2" w:rsidRPr="002A3B3F" w14:paraId="32A35144" w14:textId="77777777" w:rsidTr="007F66F9">
        <w:trPr>
          <w:trHeight w:val="363"/>
        </w:trPr>
        <w:tc>
          <w:tcPr>
            <w:tcW w:w="817" w:type="dxa"/>
          </w:tcPr>
          <w:p w14:paraId="5EC27018"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64532747" w14:textId="77777777" w:rsidR="00162EE2" w:rsidRPr="002A3B3F" w:rsidRDefault="00162EE2" w:rsidP="007F66F9">
            <w:pPr>
              <w:ind w:right="-138"/>
              <w:jc w:val="center"/>
              <w:rPr>
                <w:rFonts w:ascii="Verdana" w:hAnsi="Verdana"/>
                <w:sz w:val="20"/>
                <w:szCs w:val="20"/>
              </w:rPr>
            </w:pPr>
            <w:r>
              <w:rPr>
                <w:rFonts w:ascii="Verdana" w:hAnsi="Verdana"/>
                <w:sz w:val="20"/>
                <w:szCs w:val="20"/>
              </w:rPr>
              <w:t>Education International</w:t>
            </w:r>
          </w:p>
        </w:tc>
        <w:tc>
          <w:tcPr>
            <w:tcW w:w="5387" w:type="dxa"/>
          </w:tcPr>
          <w:p w14:paraId="6516B179" w14:textId="77777777" w:rsidR="00162EE2" w:rsidRPr="002A3B3F" w:rsidRDefault="00162EE2" w:rsidP="007F66F9">
            <w:pPr>
              <w:ind w:left="80" w:right="-138"/>
              <w:jc w:val="center"/>
              <w:rPr>
                <w:rFonts w:ascii="Verdana" w:hAnsi="Verdana" w:cs="Russian Times"/>
                <w:sz w:val="20"/>
                <w:szCs w:val="20"/>
              </w:rPr>
            </w:pPr>
            <w:r w:rsidRPr="002A3B3F">
              <w:rPr>
                <w:rFonts w:ascii="Verdana" w:hAnsi="Verdana" w:cs="Russian Times"/>
                <w:sz w:val="20"/>
                <w:szCs w:val="20"/>
              </w:rPr>
              <w:t xml:space="preserve">Jens </w:t>
            </w:r>
            <w:proofErr w:type="spellStart"/>
            <w:r w:rsidRPr="002A3B3F">
              <w:rPr>
                <w:rFonts w:ascii="Verdana" w:hAnsi="Verdana" w:cs="Russian Times"/>
                <w:sz w:val="20"/>
                <w:szCs w:val="20"/>
              </w:rPr>
              <w:t>Vraa</w:t>
            </w:r>
            <w:proofErr w:type="spellEnd"/>
            <w:r w:rsidRPr="002A3B3F">
              <w:rPr>
                <w:rFonts w:ascii="Verdana" w:hAnsi="Verdana" w:cs="Russian Times"/>
                <w:sz w:val="20"/>
                <w:szCs w:val="20"/>
              </w:rPr>
              <w:t>-Jensen</w:t>
            </w:r>
          </w:p>
        </w:tc>
      </w:tr>
      <w:tr w:rsidR="00162EE2" w:rsidRPr="002A3B3F" w14:paraId="366BE1F1" w14:textId="77777777" w:rsidTr="007F66F9">
        <w:trPr>
          <w:trHeight w:val="372"/>
        </w:trPr>
        <w:tc>
          <w:tcPr>
            <w:tcW w:w="817" w:type="dxa"/>
          </w:tcPr>
          <w:p w14:paraId="3E715D2B"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1E100EB1" w14:textId="77777777" w:rsidR="00162EE2" w:rsidRPr="002A3B3F" w:rsidRDefault="00162EE2" w:rsidP="007F66F9">
            <w:pPr>
              <w:ind w:right="-138"/>
              <w:jc w:val="center"/>
              <w:rPr>
                <w:rFonts w:ascii="Verdana" w:hAnsi="Verdana"/>
                <w:sz w:val="20"/>
                <w:szCs w:val="20"/>
              </w:rPr>
            </w:pPr>
            <w:r>
              <w:rPr>
                <w:rFonts w:ascii="Verdana" w:hAnsi="Verdana"/>
                <w:sz w:val="20"/>
                <w:szCs w:val="20"/>
              </w:rPr>
              <w:t>European Students’ Union</w:t>
            </w:r>
          </w:p>
        </w:tc>
        <w:tc>
          <w:tcPr>
            <w:tcW w:w="5387" w:type="dxa"/>
          </w:tcPr>
          <w:p w14:paraId="69106E7F" w14:textId="77777777" w:rsidR="00162EE2" w:rsidRPr="00A1778B" w:rsidRDefault="00162EE2" w:rsidP="007F66F9">
            <w:pPr>
              <w:jc w:val="center"/>
              <w:rPr>
                <w:rFonts w:ascii="Verdana" w:hAnsi="Verdana" w:cs="Arial"/>
                <w:b/>
                <w:bCs/>
                <w:color w:val="000000"/>
                <w:sz w:val="20"/>
                <w:szCs w:val="20"/>
                <w:lang w:val="en-IE" w:eastAsia="en-IE"/>
              </w:rPr>
            </w:pPr>
            <w:proofErr w:type="spellStart"/>
            <w:r w:rsidRPr="00A1778B">
              <w:rPr>
                <w:rFonts w:ascii="Verdana" w:hAnsi="Verdana"/>
                <w:sz w:val="20"/>
                <w:szCs w:val="20"/>
                <w:bdr w:val="none" w:sz="0" w:space="0" w:color="auto"/>
              </w:rPr>
              <w:t>Aengus</w:t>
            </w:r>
            <w:proofErr w:type="spellEnd"/>
            <w:r w:rsidRPr="00A1778B">
              <w:rPr>
                <w:rFonts w:ascii="Verdana" w:hAnsi="Verdana"/>
                <w:sz w:val="20"/>
                <w:szCs w:val="20"/>
                <w:bdr w:val="none" w:sz="0" w:space="0" w:color="auto"/>
              </w:rPr>
              <w:t xml:space="preserve"> Ó </w:t>
            </w:r>
            <w:proofErr w:type="spellStart"/>
            <w:r w:rsidRPr="00A1778B">
              <w:rPr>
                <w:rFonts w:ascii="Verdana" w:hAnsi="Verdana"/>
                <w:sz w:val="20"/>
                <w:szCs w:val="20"/>
                <w:bdr w:val="none" w:sz="0" w:space="0" w:color="auto"/>
              </w:rPr>
              <w:t>Maoláin</w:t>
            </w:r>
            <w:proofErr w:type="spellEnd"/>
          </w:p>
        </w:tc>
      </w:tr>
      <w:tr w:rsidR="00162EE2" w:rsidRPr="002A3B3F" w14:paraId="50151BF3" w14:textId="77777777" w:rsidTr="007F66F9">
        <w:trPr>
          <w:trHeight w:val="472"/>
        </w:trPr>
        <w:tc>
          <w:tcPr>
            <w:tcW w:w="817" w:type="dxa"/>
          </w:tcPr>
          <w:p w14:paraId="63C7B24A"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7F0FB59E" w14:textId="77777777" w:rsidR="00162EE2" w:rsidRPr="002A3B3F" w:rsidRDefault="00162EE2" w:rsidP="007F66F9">
            <w:pPr>
              <w:ind w:right="-138"/>
              <w:jc w:val="center"/>
              <w:rPr>
                <w:rFonts w:ascii="Verdana" w:hAnsi="Verdana"/>
                <w:sz w:val="20"/>
                <w:szCs w:val="20"/>
              </w:rPr>
            </w:pPr>
            <w:r>
              <w:rPr>
                <w:rFonts w:ascii="Verdana" w:hAnsi="Verdana"/>
                <w:sz w:val="20"/>
                <w:szCs w:val="20"/>
              </w:rPr>
              <w:t>European Students’ Union</w:t>
            </w:r>
          </w:p>
        </w:tc>
        <w:tc>
          <w:tcPr>
            <w:tcW w:w="5387" w:type="dxa"/>
          </w:tcPr>
          <w:p w14:paraId="18B76E74" w14:textId="77777777" w:rsidR="00162EE2" w:rsidRPr="002A3B3F" w:rsidRDefault="00162EE2" w:rsidP="007F66F9">
            <w:pPr>
              <w:ind w:left="80" w:right="-138"/>
              <w:jc w:val="center"/>
              <w:rPr>
                <w:rFonts w:ascii="Verdana" w:hAnsi="Verdana"/>
                <w:sz w:val="20"/>
                <w:szCs w:val="20"/>
              </w:rPr>
            </w:pPr>
            <w:r>
              <w:rPr>
                <w:rFonts w:ascii="Verdana" w:hAnsi="Verdana"/>
                <w:sz w:val="20"/>
                <w:szCs w:val="20"/>
              </w:rPr>
              <w:t>Florian Kaiser</w:t>
            </w:r>
          </w:p>
        </w:tc>
      </w:tr>
      <w:tr w:rsidR="00162EE2" w:rsidRPr="002A3B3F" w14:paraId="30E6C322" w14:textId="77777777" w:rsidTr="007F66F9">
        <w:trPr>
          <w:trHeight w:val="392"/>
        </w:trPr>
        <w:tc>
          <w:tcPr>
            <w:tcW w:w="817" w:type="dxa"/>
            <w:shd w:val="clear" w:color="auto" w:fill="FFFFFF"/>
          </w:tcPr>
          <w:p w14:paraId="54DE21E0"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shd w:val="clear" w:color="auto" w:fill="FFFFFF"/>
          </w:tcPr>
          <w:p w14:paraId="68C67E17" w14:textId="77777777" w:rsidR="00162EE2" w:rsidRPr="002A3B3F" w:rsidRDefault="00162EE2" w:rsidP="007F66F9">
            <w:pPr>
              <w:ind w:right="-138"/>
              <w:jc w:val="center"/>
              <w:rPr>
                <w:rFonts w:ascii="Verdana" w:hAnsi="Verdana"/>
                <w:sz w:val="20"/>
                <w:szCs w:val="20"/>
              </w:rPr>
            </w:pPr>
            <w:r>
              <w:rPr>
                <w:rFonts w:ascii="Verdana" w:hAnsi="Verdana"/>
                <w:sz w:val="20"/>
                <w:szCs w:val="20"/>
              </w:rPr>
              <w:t>European Students’ Union</w:t>
            </w:r>
          </w:p>
        </w:tc>
        <w:tc>
          <w:tcPr>
            <w:tcW w:w="5387" w:type="dxa"/>
            <w:shd w:val="clear" w:color="auto" w:fill="FFFFFF"/>
          </w:tcPr>
          <w:p w14:paraId="21E031E4" w14:textId="77777777" w:rsidR="00162EE2" w:rsidRPr="00A1778B" w:rsidRDefault="00162EE2" w:rsidP="007F66F9">
            <w:pPr>
              <w:jc w:val="center"/>
              <w:rPr>
                <w:rFonts w:ascii="Verdana" w:hAnsi="Verdana"/>
                <w:sz w:val="20"/>
                <w:szCs w:val="20"/>
              </w:rPr>
            </w:pPr>
            <w:r w:rsidRPr="00A1778B">
              <w:rPr>
                <w:rFonts w:ascii="Verdana" w:hAnsi="Verdana"/>
                <w:sz w:val="20"/>
                <w:szCs w:val="20"/>
              </w:rPr>
              <w:t xml:space="preserve">Michael </w:t>
            </w:r>
            <w:proofErr w:type="spellStart"/>
            <w:r w:rsidRPr="00A1778B">
              <w:rPr>
                <w:rFonts w:ascii="Verdana" w:hAnsi="Verdana"/>
                <w:sz w:val="20"/>
                <w:szCs w:val="20"/>
              </w:rPr>
              <w:t>Frederiksen</w:t>
            </w:r>
            <w:proofErr w:type="spellEnd"/>
          </w:p>
        </w:tc>
      </w:tr>
      <w:tr w:rsidR="00162EE2" w:rsidRPr="002A3B3F" w14:paraId="781E12B7" w14:textId="77777777" w:rsidTr="007F66F9">
        <w:trPr>
          <w:trHeight w:val="363"/>
        </w:trPr>
        <w:tc>
          <w:tcPr>
            <w:tcW w:w="817" w:type="dxa"/>
            <w:shd w:val="clear" w:color="auto" w:fill="FFFFFF"/>
          </w:tcPr>
          <w:p w14:paraId="1FD8B7E2"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shd w:val="clear" w:color="auto" w:fill="FFFFFF"/>
          </w:tcPr>
          <w:p w14:paraId="58132C59" w14:textId="77777777" w:rsidR="00162EE2" w:rsidRPr="002A3B3F" w:rsidRDefault="00162EE2" w:rsidP="007F66F9">
            <w:pPr>
              <w:ind w:right="-138"/>
              <w:jc w:val="center"/>
              <w:rPr>
                <w:rFonts w:ascii="Verdana" w:hAnsi="Verdana"/>
                <w:sz w:val="20"/>
                <w:szCs w:val="20"/>
              </w:rPr>
            </w:pPr>
            <w:r>
              <w:rPr>
                <w:rFonts w:ascii="Verdana" w:hAnsi="Verdana"/>
                <w:sz w:val="20"/>
                <w:szCs w:val="20"/>
              </w:rPr>
              <w:t>European Students’ Union</w:t>
            </w:r>
          </w:p>
        </w:tc>
        <w:tc>
          <w:tcPr>
            <w:tcW w:w="5387" w:type="dxa"/>
            <w:shd w:val="clear" w:color="auto" w:fill="FFFFFF"/>
          </w:tcPr>
          <w:p w14:paraId="7299249A" w14:textId="77777777" w:rsidR="00162EE2" w:rsidRPr="002A3B3F" w:rsidRDefault="00162EE2" w:rsidP="007F66F9">
            <w:pPr>
              <w:ind w:left="80" w:right="-138"/>
              <w:jc w:val="center"/>
              <w:rPr>
                <w:rFonts w:ascii="Verdana" w:hAnsi="Verdana"/>
                <w:b/>
                <w:sz w:val="20"/>
                <w:szCs w:val="20"/>
              </w:rPr>
            </w:pPr>
            <w:r w:rsidRPr="002A3B3F">
              <w:rPr>
                <w:rStyle w:val="Strong"/>
                <w:rFonts w:ascii="Verdana" w:eastAsia="MS Gothic" w:hAnsi="Verdana" w:cs="Arial"/>
                <w:b/>
                <w:sz w:val="20"/>
                <w:szCs w:val="20"/>
                <w:bdr w:val="none" w:sz="0" w:space="0" w:color="auto" w:frame="1"/>
                <w:shd w:val="clear" w:color="auto" w:fill="FFFFFF"/>
              </w:rPr>
              <w:t>Tiago</w:t>
            </w:r>
            <w:r w:rsidRPr="002A3B3F">
              <w:rPr>
                <w:rStyle w:val="Strong"/>
                <w:rFonts w:ascii="Verdana" w:eastAsia="MS Gothic" w:hAnsi="Verdana" w:cs="Arial"/>
                <w:b/>
                <w:sz w:val="20"/>
                <w:szCs w:val="20"/>
                <w:bdr w:val="none" w:sz="0" w:space="0" w:color="auto" w:frame="1"/>
              </w:rPr>
              <w:t xml:space="preserve"> </w:t>
            </w:r>
            <w:proofErr w:type="spellStart"/>
            <w:r w:rsidRPr="002A3B3F">
              <w:rPr>
                <w:rStyle w:val="Strong"/>
                <w:rFonts w:ascii="Verdana" w:eastAsia="MS Gothic" w:hAnsi="Verdana" w:cs="Arial"/>
                <w:b/>
                <w:sz w:val="20"/>
                <w:szCs w:val="20"/>
                <w:bdr w:val="none" w:sz="0" w:space="0" w:color="auto" w:frame="1"/>
              </w:rPr>
              <w:t>Estêvão</w:t>
            </w:r>
            <w:proofErr w:type="spellEnd"/>
            <w:r w:rsidRPr="002A3B3F">
              <w:rPr>
                <w:rStyle w:val="Strong"/>
                <w:rFonts w:ascii="Verdana" w:eastAsia="MS Gothic" w:hAnsi="Verdana" w:cs="Arial"/>
                <w:b/>
                <w:sz w:val="20"/>
                <w:szCs w:val="20"/>
                <w:bdr w:val="none" w:sz="0" w:space="0" w:color="auto" w:frame="1"/>
              </w:rPr>
              <w:t xml:space="preserve"> Martins</w:t>
            </w:r>
            <w:r w:rsidRPr="002A3B3F">
              <w:rPr>
                <w:rStyle w:val="apple-converted-space"/>
                <w:rFonts w:ascii="Verdana" w:eastAsia="MS Gothic" w:hAnsi="Verdana" w:cs="Arial"/>
                <w:b/>
                <w:bCs/>
                <w:sz w:val="20"/>
                <w:szCs w:val="20"/>
                <w:bdr w:val="none" w:sz="0" w:space="0" w:color="auto" w:frame="1"/>
              </w:rPr>
              <w:t> </w:t>
            </w:r>
          </w:p>
        </w:tc>
      </w:tr>
      <w:tr w:rsidR="00162EE2" w:rsidRPr="002A3B3F" w14:paraId="04BC7E49" w14:textId="77777777" w:rsidTr="007F66F9">
        <w:trPr>
          <w:trHeight w:val="363"/>
        </w:trPr>
        <w:tc>
          <w:tcPr>
            <w:tcW w:w="817" w:type="dxa"/>
            <w:shd w:val="clear" w:color="auto" w:fill="FFFFFF"/>
          </w:tcPr>
          <w:p w14:paraId="34C0F08A"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shd w:val="clear" w:color="auto" w:fill="FFFFFF"/>
          </w:tcPr>
          <w:p w14:paraId="68D8B3EC" w14:textId="77777777" w:rsidR="00162EE2" w:rsidRPr="002A3B3F" w:rsidRDefault="00162EE2" w:rsidP="007F66F9">
            <w:pPr>
              <w:ind w:right="-138"/>
              <w:jc w:val="center"/>
              <w:rPr>
                <w:rFonts w:ascii="Verdana" w:hAnsi="Verdana"/>
                <w:sz w:val="20"/>
                <w:szCs w:val="20"/>
              </w:rPr>
            </w:pPr>
            <w:r>
              <w:rPr>
                <w:rFonts w:ascii="Verdana" w:hAnsi="Verdana"/>
                <w:sz w:val="20"/>
                <w:szCs w:val="20"/>
              </w:rPr>
              <w:t>European University Association</w:t>
            </w:r>
          </w:p>
        </w:tc>
        <w:tc>
          <w:tcPr>
            <w:tcW w:w="5387" w:type="dxa"/>
            <w:shd w:val="clear" w:color="auto" w:fill="FFFFFF"/>
          </w:tcPr>
          <w:p w14:paraId="5C7B641C" w14:textId="77777777" w:rsidR="00162EE2" w:rsidRPr="002A3B3F" w:rsidRDefault="00162EE2" w:rsidP="007F66F9">
            <w:pPr>
              <w:pStyle w:val="Default"/>
              <w:ind w:left="80" w:right="-138"/>
              <w:jc w:val="center"/>
              <w:rPr>
                <w:rFonts w:ascii="Verdana" w:hAnsi="Verdana" w:cs="Sassoun AM"/>
                <w:color w:val="auto"/>
                <w:sz w:val="20"/>
                <w:szCs w:val="20"/>
                <w:lang w:val="en-GB"/>
              </w:rPr>
            </w:pPr>
            <w:r>
              <w:rPr>
                <w:rFonts w:ascii="Verdana" w:hAnsi="Verdana" w:cs="Tahoma"/>
                <w:color w:val="auto"/>
                <w:sz w:val="20"/>
                <w:szCs w:val="20"/>
              </w:rPr>
              <w:t xml:space="preserve">Michael </w:t>
            </w:r>
            <w:proofErr w:type="spellStart"/>
            <w:r>
              <w:rPr>
                <w:rFonts w:ascii="Verdana" w:hAnsi="Verdana" w:cs="Tahoma"/>
                <w:color w:val="auto"/>
                <w:sz w:val="20"/>
                <w:szCs w:val="20"/>
              </w:rPr>
              <w:t>Gaebel</w:t>
            </w:r>
            <w:proofErr w:type="spellEnd"/>
          </w:p>
        </w:tc>
      </w:tr>
      <w:tr w:rsidR="00162EE2" w:rsidRPr="002A3B3F" w14:paraId="0873C73A" w14:textId="77777777" w:rsidTr="007F66F9">
        <w:trPr>
          <w:trHeight w:val="363"/>
        </w:trPr>
        <w:tc>
          <w:tcPr>
            <w:tcW w:w="817" w:type="dxa"/>
            <w:shd w:val="clear" w:color="auto" w:fill="FFFFFF"/>
          </w:tcPr>
          <w:p w14:paraId="4E457083"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shd w:val="clear" w:color="auto" w:fill="FFFFFF"/>
          </w:tcPr>
          <w:p w14:paraId="58FA420E" w14:textId="77777777" w:rsidR="00162EE2" w:rsidRDefault="00162EE2" w:rsidP="007F66F9">
            <w:pPr>
              <w:ind w:right="-138"/>
              <w:jc w:val="center"/>
              <w:rPr>
                <w:rFonts w:ascii="Verdana" w:hAnsi="Verdana"/>
                <w:sz w:val="20"/>
                <w:szCs w:val="20"/>
              </w:rPr>
            </w:pPr>
            <w:r>
              <w:rPr>
                <w:rFonts w:ascii="Verdana" w:hAnsi="Verdana"/>
                <w:sz w:val="20"/>
                <w:szCs w:val="20"/>
              </w:rPr>
              <w:t>European University Association</w:t>
            </w:r>
          </w:p>
        </w:tc>
        <w:tc>
          <w:tcPr>
            <w:tcW w:w="5387" w:type="dxa"/>
            <w:shd w:val="clear" w:color="auto" w:fill="FFFFFF"/>
          </w:tcPr>
          <w:p w14:paraId="13C50594" w14:textId="77777777" w:rsidR="00162EE2" w:rsidRDefault="00162EE2" w:rsidP="007F66F9">
            <w:pPr>
              <w:pStyle w:val="Default"/>
              <w:ind w:left="80" w:right="-138"/>
              <w:jc w:val="center"/>
              <w:rPr>
                <w:rFonts w:ascii="Verdana" w:hAnsi="Verdana" w:cs="Tahoma"/>
                <w:color w:val="auto"/>
                <w:sz w:val="20"/>
                <w:szCs w:val="20"/>
              </w:rPr>
            </w:pPr>
            <w:proofErr w:type="spellStart"/>
            <w:r w:rsidRPr="00C73C39">
              <w:rPr>
                <w:rFonts w:ascii="Verdana" w:hAnsi="Verdana" w:cs="Tahoma"/>
                <w:sz w:val="20"/>
                <w:szCs w:val="20"/>
              </w:rPr>
              <w:t>Jonna</w:t>
            </w:r>
            <w:proofErr w:type="spellEnd"/>
            <w:r w:rsidRPr="00C73C39">
              <w:rPr>
                <w:rFonts w:ascii="Verdana" w:hAnsi="Verdana" w:cs="Tahoma"/>
                <w:sz w:val="20"/>
                <w:szCs w:val="20"/>
              </w:rPr>
              <w:t xml:space="preserve"> </w:t>
            </w:r>
            <w:proofErr w:type="spellStart"/>
            <w:r w:rsidRPr="00C73C39">
              <w:rPr>
                <w:rFonts w:ascii="Verdana" w:hAnsi="Verdana" w:cs="Tahoma"/>
                <w:sz w:val="20"/>
                <w:szCs w:val="20"/>
              </w:rPr>
              <w:t>Korhonen</w:t>
            </w:r>
            <w:proofErr w:type="spellEnd"/>
          </w:p>
        </w:tc>
      </w:tr>
      <w:tr w:rsidR="00162EE2" w:rsidRPr="002A3B3F" w14:paraId="0A2B54A3" w14:textId="77777777" w:rsidTr="007F66F9">
        <w:trPr>
          <w:trHeight w:val="363"/>
        </w:trPr>
        <w:tc>
          <w:tcPr>
            <w:tcW w:w="817" w:type="dxa"/>
          </w:tcPr>
          <w:p w14:paraId="5CAEA1FC"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328916F1"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EURASHE</w:t>
            </w:r>
          </w:p>
        </w:tc>
        <w:tc>
          <w:tcPr>
            <w:tcW w:w="5387" w:type="dxa"/>
          </w:tcPr>
          <w:p w14:paraId="5041DF96" w14:textId="77777777" w:rsidR="00162EE2" w:rsidRPr="002A3B3F" w:rsidRDefault="00162EE2" w:rsidP="007F66F9">
            <w:pPr>
              <w:pStyle w:val="Default"/>
              <w:ind w:left="80" w:right="-138"/>
              <w:jc w:val="center"/>
              <w:rPr>
                <w:rFonts w:ascii="Verdana" w:hAnsi="Verdana" w:cs="Sassoun AM"/>
                <w:color w:val="auto"/>
                <w:sz w:val="20"/>
                <w:szCs w:val="20"/>
                <w:lang w:val="en-GB"/>
              </w:rPr>
            </w:pPr>
            <w:proofErr w:type="spellStart"/>
            <w:r w:rsidRPr="002A3B3F">
              <w:rPr>
                <w:rFonts w:ascii="Verdana" w:hAnsi="Verdana" w:cs="Sassoun AM"/>
                <w:color w:val="auto"/>
                <w:sz w:val="20"/>
                <w:szCs w:val="20"/>
                <w:lang w:val="en-GB"/>
              </w:rPr>
              <w:t>Stéphane</w:t>
            </w:r>
            <w:proofErr w:type="spellEnd"/>
            <w:r w:rsidRPr="002A3B3F">
              <w:rPr>
                <w:rFonts w:ascii="Verdana" w:hAnsi="Verdana" w:cs="Sassoun AM"/>
                <w:color w:val="auto"/>
                <w:sz w:val="20"/>
                <w:szCs w:val="20"/>
                <w:lang w:val="en-GB"/>
              </w:rPr>
              <w:t xml:space="preserve"> </w:t>
            </w:r>
            <w:proofErr w:type="spellStart"/>
            <w:r w:rsidRPr="002A3B3F">
              <w:rPr>
                <w:rFonts w:ascii="Verdana" w:hAnsi="Verdana" w:cs="Sassoun AM"/>
                <w:color w:val="auto"/>
                <w:sz w:val="20"/>
                <w:szCs w:val="20"/>
                <w:lang w:val="en-GB"/>
              </w:rPr>
              <w:t>Lauwick</w:t>
            </w:r>
            <w:proofErr w:type="spellEnd"/>
          </w:p>
        </w:tc>
      </w:tr>
      <w:tr w:rsidR="00162EE2" w:rsidRPr="002A3B3F" w14:paraId="7C5B84CE" w14:textId="77777777" w:rsidTr="007F66F9">
        <w:trPr>
          <w:trHeight w:val="363"/>
        </w:trPr>
        <w:tc>
          <w:tcPr>
            <w:tcW w:w="817" w:type="dxa"/>
          </w:tcPr>
          <w:p w14:paraId="3B5AAE35"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20D9FB8D"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Finland</w:t>
            </w:r>
          </w:p>
        </w:tc>
        <w:tc>
          <w:tcPr>
            <w:tcW w:w="5387" w:type="dxa"/>
          </w:tcPr>
          <w:p w14:paraId="659410F5" w14:textId="77777777" w:rsidR="00162EE2" w:rsidRPr="002A3B3F" w:rsidRDefault="00162EE2" w:rsidP="007F66F9">
            <w:pPr>
              <w:pStyle w:val="Default"/>
              <w:ind w:left="80" w:right="-138"/>
              <w:jc w:val="center"/>
              <w:rPr>
                <w:rFonts w:ascii="Verdana" w:hAnsi="Verdana" w:cs="Sassoun AM"/>
                <w:color w:val="auto"/>
                <w:sz w:val="20"/>
                <w:szCs w:val="20"/>
                <w:lang w:val="en-GB"/>
              </w:rPr>
            </w:pPr>
            <w:proofErr w:type="spellStart"/>
            <w:r w:rsidRPr="002A3B3F">
              <w:rPr>
                <w:rFonts w:ascii="Verdana" w:hAnsi="Verdana" w:cs="Sassoun AM"/>
                <w:color w:val="auto"/>
                <w:sz w:val="20"/>
                <w:szCs w:val="20"/>
                <w:lang w:val="en-GB"/>
              </w:rPr>
              <w:t>Birgitta</w:t>
            </w:r>
            <w:proofErr w:type="spellEnd"/>
            <w:r w:rsidRPr="002A3B3F">
              <w:rPr>
                <w:rFonts w:ascii="Verdana" w:hAnsi="Verdana" w:cs="Sassoun AM"/>
                <w:color w:val="auto"/>
                <w:sz w:val="20"/>
                <w:szCs w:val="20"/>
                <w:lang w:val="en-GB"/>
              </w:rPr>
              <w:t xml:space="preserve"> </w:t>
            </w:r>
            <w:proofErr w:type="spellStart"/>
            <w:r w:rsidRPr="002A3B3F">
              <w:rPr>
                <w:rFonts w:ascii="Verdana" w:hAnsi="Verdana" w:cs="Sassoun AM"/>
                <w:color w:val="auto"/>
                <w:sz w:val="20"/>
                <w:szCs w:val="20"/>
                <w:lang w:val="en-GB"/>
              </w:rPr>
              <w:t>Vuorinen</w:t>
            </w:r>
            <w:proofErr w:type="spellEnd"/>
          </w:p>
        </w:tc>
      </w:tr>
      <w:tr w:rsidR="00162EE2" w:rsidRPr="002A3B3F" w14:paraId="7C05EBF0" w14:textId="77777777" w:rsidTr="007F66F9">
        <w:trPr>
          <w:trHeight w:val="363"/>
        </w:trPr>
        <w:tc>
          <w:tcPr>
            <w:tcW w:w="817" w:type="dxa"/>
          </w:tcPr>
          <w:p w14:paraId="5E02D210"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2D419A23"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France</w:t>
            </w:r>
          </w:p>
        </w:tc>
        <w:tc>
          <w:tcPr>
            <w:tcW w:w="5387" w:type="dxa"/>
          </w:tcPr>
          <w:p w14:paraId="48C300E3" w14:textId="77777777" w:rsidR="00162EE2" w:rsidRPr="002A3B3F" w:rsidRDefault="00162EE2" w:rsidP="007F66F9">
            <w:pPr>
              <w:ind w:left="80" w:right="-138"/>
              <w:jc w:val="center"/>
              <w:rPr>
                <w:rFonts w:ascii="Verdana" w:hAnsi="Verdana" w:cs="Georgia"/>
                <w:sz w:val="20"/>
                <w:szCs w:val="20"/>
              </w:rPr>
            </w:pPr>
            <w:r w:rsidRPr="006431B5">
              <w:rPr>
                <w:rFonts w:ascii="Verdana" w:hAnsi="Verdana" w:cs="Georgia"/>
                <w:sz w:val="20"/>
                <w:szCs w:val="20"/>
              </w:rPr>
              <w:t xml:space="preserve">Alexandra </w:t>
            </w:r>
            <w:proofErr w:type="spellStart"/>
            <w:r w:rsidRPr="006431B5">
              <w:rPr>
                <w:rFonts w:ascii="Verdana" w:hAnsi="Verdana" w:cs="Georgia"/>
                <w:sz w:val="20"/>
                <w:szCs w:val="20"/>
              </w:rPr>
              <w:t>Gaudé</w:t>
            </w:r>
            <w:proofErr w:type="spellEnd"/>
          </w:p>
        </w:tc>
      </w:tr>
      <w:tr w:rsidR="00162EE2" w:rsidRPr="002A3B3F" w14:paraId="34A94B89" w14:textId="77777777" w:rsidTr="007F66F9">
        <w:trPr>
          <w:trHeight w:val="363"/>
        </w:trPr>
        <w:tc>
          <w:tcPr>
            <w:tcW w:w="817" w:type="dxa"/>
          </w:tcPr>
          <w:p w14:paraId="0A395079"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53D0F637" w14:textId="77777777" w:rsidR="00162EE2" w:rsidRPr="002A3B3F" w:rsidRDefault="00162EE2" w:rsidP="007F66F9">
            <w:pPr>
              <w:ind w:right="-138"/>
              <w:jc w:val="center"/>
              <w:rPr>
                <w:rFonts w:ascii="Verdana" w:hAnsi="Verdana"/>
                <w:sz w:val="20"/>
                <w:szCs w:val="20"/>
              </w:rPr>
            </w:pPr>
            <w:r>
              <w:rPr>
                <w:rFonts w:ascii="Verdana" w:hAnsi="Verdana"/>
                <w:sz w:val="20"/>
                <w:szCs w:val="20"/>
              </w:rPr>
              <w:t>France</w:t>
            </w:r>
          </w:p>
        </w:tc>
        <w:tc>
          <w:tcPr>
            <w:tcW w:w="5387" w:type="dxa"/>
          </w:tcPr>
          <w:p w14:paraId="12828808" w14:textId="77777777" w:rsidR="00162EE2" w:rsidRPr="002A3B3F" w:rsidRDefault="00162EE2" w:rsidP="007F66F9">
            <w:pPr>
              <w:ind w:left="80" w:right="-138"/>
              <w:jc w:val="center"/>
              <w:rPr>
                <w:rFonts w:ascii="Verdana" w:hAnsi="Verdana" w:cs="Georgia"/>
                <w:sz w:val="20"/>
                <w:szCs w:val="20"/>
              </w:rPr>
            </w:pPr>
            <w:r w:rsidRPr="002A3B3F">
              <w:rPr>
                <w:rFonts w:ascii="Verdana" w:hAnsi="Verdana" w:cs="Georgia"/>
                <w:sz w:val="20"/>
                <w:szCs w:val="20"/>
              </w:rPr>
              <w:t xml:space="preserve">Hélène </w:t>
            </w:r>
            <w:proofErr w:type="spellStart"/>
            <w:r w:rsidRPr="002A3B3F">
              <w:rPr>
                <w:rFonts w:ascii="Verdana" w:hAnsi="Verdana" w:cs="Georgia"/>
                <w:sz w:val="20"/>
                <w:szCs w:val="20"/>
              </w:rPr>
              <w:t>Lagier</w:t>
            </w:r>
            <w:proofErr w:type="spellEnd"/>
          </w:p>
        </w:tc>
      </w:tr>
      <w:tr w:rsidR="00162EE2" w:rsidRPr="002A3B3F" w14:paraId="6E76C2AE" w14:textId="77777777" w:rsidTr="007F66F9">
        <w:trPr>
          <w:trHeight w:val="363"/>
        </w:trPr>
        <w:tc>
          <w:tcPr>
            <w:tcW w:w="817" w:type="dxa"/>
          </w:tcPr>
          <w:p w14:paraId="5DC39C30"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344BB9FA"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Germany</w:t>
            </w:r>
          </w:p>
        </w:tc>
        <w:tc>
          <w:tcPr>
            <w:tcW w:w="5387" w:type="dxa"/>
          </w:tcPr>
          <w:p w14:paraId="582A6BCF" w14:textId="77777777" w:rsidR="00162EE2" w:rsidRPr="002A3B3F" w:rsidRDefault="00162EE2" w:rsidP="007F66F9">
            <w:pPr>
              <w:ind w:left="80" w:right="-138"/>
              <w:jc w:val="center"/>
              <w:rPr>
                <w:rFonts w:ascii="Verdana" w:hAnsi="Verdana" w:cs="Sassoun AM"/>
                <w:bCs/>
                <w:sz w:val="20"/>
                <w:szCs w:val="20"/>
              </w:rPr>
            </w:pPr>
            <w:r w:rsidRPr="009F1C2C">
              <w:rPr>
                <w:rFonts w:ascii="Verdana" w:hAnsi="Verdana" w:cs="Helvetica"/>
                <w:sz w:val="20"/>
                <w:szCs w:val="20"/>
                <w:lang w:val="nl-BE"/>
              </w:rPr>
              <w:t>Achim Meyer auf der Heyde</w:t>
            </w:r>
          </w:p>
        </w:tc>
      </w:tr>
      <w:tr w:rsidR="00162EE2" w:rsidRPr="002A3B3F" w14:paraId="66EFA3E3" w14:textId="77777777" w:rsidTr="007F66F9">
        <w:trPr>
          <w:trHeight w:val="363"/>
        </w:trPr>
        <w:tc>
          <w:tcPr>
            <w:tcW w:w="817" w:type="dxa"/>
          </w:tcPr>
          <w:p w14:paraId="5D178F49"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6BE0C9F2" w14:textId="77777777" w:rsidR="00162EE2" w:rsidRPr="002A3B3F" w:rsidRDefault="00162EE2" w:rsidP="007F66F9">
            <w:pPr>
              <w:ind w:right="-138"/>
              <w:jc w:val="center"/>
              <w:rPr>
                <w:rFonts w:ascii="Verdana" w:hAnsi="Verdana"/>
                <w:sz w:val="20"/>
                <w:szCs w:val="20"/>
              </w:rPr>
            </w:pPr>
            <w:r>
              <w:rPr>
                <w:rFonts w:ascii="Verdana" w:hAnsi="Verdana"/>
                <w:sz w:val="20"/>
                <w:szCs w:val="20"/>
              </w:rPr>
              <w:t>Germany</w:t>
            </w:r>
          </w:p>
        </w:tc>
        <w:tc>
          <w:tcPr>
            <w:tcW w:w="5387" w:type="dxa"/>
          </w:tcPr>
          <w:p w14:paraId="29B02E5E" w14:textId="77777777" w:rsidR="00162EE2" w:rsidRPr="009F1C2C" w:rsidRDefault="00162EE2" w:rsidP="007F66F9">
            <w:pPr>
              <w:ind w:left="80" w:right="-138"/>
              <w:jc w:val="center"/>
              <w:rPr>
                <w:rFonts w:ascii="Verdana" w:hAnsi="Verdana" w:cs="Helvetica"/>
                <w:sz w:val="20"/>
                <w:szCs w:val="20"/>
                <w:lang w:val="nl-BE"/>
              </w:rPr>
            </w:pPr>
            <w:r>
              <w:rPr>
                <w:rFonts w:ascii="Verdana" w:hAnsi="Verdana" w:cs="Helvetica"/>
                <w:sz w:val="20"/>
                <w:szCs w:val="20"/>
                <w:lang w:val="nl-BE"/>
              </w:rPr>
              <w:t>Achim Weber</w:t>
            </w:r>
          </w:p>
        </w:tc>
      </w:tr>
      <w:tr w:rsidR="00162EE2" w:rsidRPr="002A3B3F" w14:paraId="524C0EEA" w14:textId="77777777" w:rsidTr="007F66F9">
        <w:trPr>
          <w:trHeight w:val="363"/>
        </w:trPr>
        <w:tc>
          <w:tcPr>
            <w:tcW w:w="817" w:type="dxa"/>
          </w:tcPr>
          <w:p w14:paraId="126F3035"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4E991494"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Hungary</w:t>
            </w:r>
          </w:p>
        </w:tc>
        <w:tc>
          <w:tcPr>
            <w:tcW w:w="5387" w:type="dxa"/>
          </w:tcPr>
          <w:p w14:paraId="61B75BDD" w14:textId="77777777" w:rsidR="00162EE2" w:rsidRPr="002A3B3F" w:rsidRDefault="00162EE2" w:rsidP="007F66F9">
            <w:pPr>
              <w:ind w:left="80" w:right="-138"/>
              <w:jc w:val="center"/>
              <w:rPr>
                <w:rFonts w:ascii="Verdana" w:hAnsi="Verdana" w:cs="Sassoun AM"/>
                <w:bCs/>
                <w:sz w:val="20"/>
                <w:szCs w:val="20"/>
              </w:rPr>
            </w:pPr>
            <w:proofErr w:type="spellStart"/>
            <w:r w:rsidRPr="002A3B3F">
              <w:rPr>
                <w:rFonts w:ascii="Verdana" w:hAnsi="Verdana" w:cs="Sassoun AM"/>
                <w:bCs/>
                <w:sz w:val="20"/>
                <w:szCs w:val="20"/>
              </w:rPr>
              <w:t>Márton</w:t>
            </w:r>
            <w:proofErr w:type="spellEnd"/>
            <w:r w:rsidRPr="002A3B3F">
              <w:rPr>
                <w:rFonts w:ascii="Verdana" w:hAnsi="Verdana" w:cs="Sassoun AM"/>
                <w:bCs/>
                <w:sz w:val="20"/>
                <w:szCs w:val="20"/>
              </w:rPr>
              <w:t xml:space="preserve"> </w:t>
            </w:r>
            <w:proofErr w:type="spellStart"/>
            <w:r w:rsidRPr="002A3B3F">
              <w:rPr>
                <w:rFonts w:ascii="Verdana" w:hAnsi="Verdana" w:cs="Sassoun AM"/>
                <w:bCs/>
                <w:sz w:val="20"/>
                <w:szCs w:val="20"/>
              </w:rPr>
              <w:t>Beke</w:t>
            </w:r>
            <w:proofErr w:type="spellEnd"/>
          </w:p>
        </w:tc>
      </w:tr>
      <w:tr w:rsidR="00162EE2" w:rsidRPr="002A3B3F" w14:paraId="0C9B7E34" w14:textId="77777777" w:rsidTr="007F66F9">
        <w:trPr>
          <w:trHeight w:val="363"/>
        </w:trPr>
        <w:tc>
          <w:tcPr>
            <w:tcW w:w="817" w:type="dxa"/>
          </w:tcPr>
          <w:p w14:paraId="4AE51AD9"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5243C9A1"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Latvia</w:t>
            </w:r>
          </w:p>
        </w:tc>
        <w:tc>
          <w:tcPr>
            <w:tcW w:w="5387" w:type="dxa"/>
          </w:tcPr>
          <w:p w14:paraId="0D9AF451" w14:textId="77777777" w:rsidR="00162EE2" w:rsidRPr="002A3B3F" w:rsidRDefault="00162EE2" w:rsidP="007F66F9">
            <w:pPr>
              <w:ind w:left="80" w:right="-138"/>
              <w:jc w:val="center"/>
              <w:rPr>
                <w:rFonts w:ascii="Verdana" w:hAnsi="Verdana"/>
                <w:sz w:val="20"/>
                <w:szCs w:val="20"/>
              </w:rPr>
            </w:pPr>
            <w:proofErr w:type="spellStart"/>
            <w:r w:rsidRPr="002A3B3F">
              <w:rPr>
                <w:rFonts w:ascii="Verdana" w:hAnsi="Verdana"/>
                <w:sz w:val="20"/>
                <w:szCs w:val="20"/>
              </w:rPr>
              <w:t>Daiga</w:t>
            </w:r>
            <w:proofErr w:type="spellEnd"/>
            <w:r w:rsidRPr="002A3B3F">
              <w:rPr>
                <w:rFonts w:ascii="Verdana" w:hAnsi="Verdana"/>
                <w:sz w:val="20"/>
                <w:szCs w:val="20"/>
              </w:rPr>
              <w:t xml:space="preserve"> </w:t>
            </w:r>
            <w:proofErr w:type="spellStart"/>
            <w:r w:rsidRPr="002A3B3F">
              <w:rPr>
                <w:rFonts w:ascii="Verdana" w:hAnsi="Verdana"/>
                <w:sz w:val="20"/>
                <w:szCs w:val="20"/>
              </w:rPr>
              <w:t>Ivsina</w:t>
            </w:r>
            <w:proofErr w:type="spellEnd"/>
          </w:p>
        </w:tc>
      </w:tr>
      <w:tr w:rsidR="00162EE2" w:rsidRPr="002A3B3F" w14:paraId="15BB9A87" w14:textId="77777777" w:rsidTr="007F66F9">
        <w:trPr>
          <w:trHeight w:val="363"/>
        </w:trPr>
        <w:tc>
          <w:tcPr>
            <w:tcW w:w="817" w:type="dxa"/>
          </w:tcPr>
          <w:p w14:paraId="44453BE6"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2F17CA6F"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Lithuania</w:t>
            </w:r>
          </w:p>
        </w:tc>
        <w:tc>
          <w:tcPr>
            <w:tcW w:w="5387" w:type="dxa"/>
          </w:tcPr>
          <w:p w14:paraId="3EBDE309" w14:textId="77777777" w:rsidR="00162EE2" w:rsidRPr="002A3B3F" w:rsidRDefault="00162EE2" w:rsidP="007F66F9">
            <w:pPr>
              <w:ind w:left="80" w:right="-138"/>
              <w:jc w:val="center"/>
              <w:rPr>
                <w:rFonts w:ascii="Verdana" w:hAnsi="Verdana"/>
                <w:sz w:val="20"/>
                <w:szCs w:val="20"/>
              </w:rPr>
            </w:pPr>
            <w:r w:rsidRPr="002A3B3F">
              <w:rPr>
                <w:rFonts w:ascii="Verdana" w:hAnsi="Verdana"/>
                <w:sz w:val="20"/>
                <w:szCs w:val="20"/>
              </w:rPr>
              <w:t xml:space="preserve">Inga </w:t>
            </w:r>
            <w:proofErr w:type="spellStart"/>
            <w:r w:rsidRPr="002A3B3F">
              <w:rPr>
                <w:rFonts w:ascii="Verdana" w:hAnsi="Verdana"/>
                <w:sz w:val="20"/>
                <w:szCs w:val="20"/>
              </w:rPr>
              <w:t>Milisiunaite</w:t>
            </w:r>
            <w:proofErr w:type="spellEnd"/>
          </w:p>
        </w:tc>
      </w:tr>
      <w:tr w:rsidR="00162EE2" w:rsidRPr="002A3B3F" w14:paraId="6ECC76CE" w14:textId="77777777" w:rsidTr="007F66F9">
        <w:trPr>
          <w:trHeight w:val="363"/>
        </w:trPr>
        <w:tc>
          <w:tcPr>
            <w:tcW w:w="817" w:type="dxa"/>
          </w:tcPr>
          <w:p w14:paraId="5923E0BE"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sz w:val="20"/>
                <w:szCs w:val="20"/>
              </w:rPr>
            </w:pPr>
          </w:p>
        </w:tc>
        <w:tc>
          <w:tcPr>
            <w:tcW w:w="3969" w:type="dxa"/>
          </w:tcPr>
          <w:p w14:paraId="5071BF99" w14:textId="77777777" w:rsidR="00162EE2" w:rsidRPr="002A3B3F" w:rsidRDefault="00162EE2" w:rsidP="007F66F9">
            <w:pPr>
              <w:ind w:right="-138"/>
              <w:jc w:val="center"/>
              <w:rPr>
                <w:rFonts w:ascii="Verdana" w:hAnsi="Verdana"/>
                <w:sz w:val="20"/>
                <w:szCs w:val="20"/>
              </w:rPr>
            </w:pPr>
            <w:r w:rsidRPr="002A3B3F">
              <w:rPr>
                <w:rFonts w:ascii="Verdana" w:hAnsi="Verdana"/>
                <w:sz w:val="20"/>
                <w:szCs w:val="20"/>
              </w:rPr>
              <w:t>Norway</w:t>
            </w:r>
          </w:p>
        </w:tc>
        <w:tc>
          <w:tcPr>
            <w:tcW w:w="5387" w:type="dxa"/>
          </w:tcPr>
          <w:p w14:paraId="36D043F9" w14:textId="77777777" w:rsidR="00162EE2" w:rsidRPr="002A3B3F" w:rsidRDefault="00162EE2" w:rsidP="007F66F9">
            <w:pPr>
              <w:ind w:left="80" w:right="-138"/>
              <w:jc w:val="center"/>
              <w:rPr>
                <w:rFonts w:ascii="Verdana" w:hAnsi="Verdana" w:cs="Calibri Bold Italic"/>
                <w:sz w:val="20"/>
                <w:szCs w:val="20"/>
              </w:rPr>
            </w:pPr>
            <w:proofErr w:type="spellStart"/>
            <w:r w:rsidRPr="002A3B3F">
              <w:rPr>
                <w:rFonts w:ascii="Verdana" w:hAnsi="Verdana" w:cs="Calibri Bold Italic"/>
                <w:sz w:val="20"/>
                <w:szCs w:val="20"/>
              </w:rPr>
              <w:t>Gro</w:t>
            </w:r>
            <w:proofErr w:type="spellEnd"/>
            <w:r w:rsidRPr="002A3B3F">
              <w:rPr>
                <w:rFonts w:ascii="Verdana" w:hAnsi="Verdana" w:cs="Calibri Bold Italic"/>
                <w:sz w:val="20"/>
                <w:szCs w:val="20"/>
              </w:rPr>
              <w:t xml:space="preserve"> </w:t>
            </w:r>
            <w:proofErr w:type="spellStart"/>
            <w:r w:rsidRPr="002A3B3F">
              <w:rPr>
                <w:rFonts w:ascii="Verdana" w:hAnsi="Verdana" w:cs="Calibri Bold Italic"/>
                <w:sz w:val="20"/>
                <w:szCs w:val="20"/>
              </w:rPr>
              <w:t>Beate</w:t>
            </w:r>
            <w:proofErr w:type="spellEnd"/>
            <w:r w:rsidRPr="002A3B3F">
              <w:rPr>
                <w:rFonts w:ascii="Verdana" w:hAnsi="Verdana" w:cs="Calibri Bold Italic"/>
                <w:sz w:val="20"/>
                <w:szCs w:val="20"/>
              </w:rPr>
              <w:t xml:space="preserve"> </w:t>
            </w:r>
            <w:proofErr w:type="spellStart"/>
            <w:r w:rsidRPr="002A3B3F">
              <w:rPr>
                <w:rFonts w:ascii="Verdana" w:hAnsi="Verdana" w:cs="Calibri Bold Italic"/>
                <w:sz w:val="20"/>
                <w:szCs w:val="20"/>
              </w:rPr>
              <w:t>Vige</w:t>
            </w:r>
            <w:proofErr w:type="spellEnd"/>
          </w:p>
        </w:tc>
      </w:tr>
      <w:tr w:rsidR="00162EE2" w:rsidRPr="002A3B3F" w14:paraId="09667E05" w14:textId="77777777" w:rsidTr="007F66F9">
        <w:trPr>
          <w:trHeight w:val="363"/>
        </w:trPr>
        <w:tc>
          <w:tcPr>
            <w:tcW w:w="817" w:type="dxa"/>
          </w:tcPr>
          <w:p w14:paraId="34F6A463"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cs="Tahoma"/>
                <w:sz w:val="20"/>
                <w:szCs w:val="20"/>
              </w:rPr>
            </w:pPr>
          </w:p>
        </w:tc>
        <w:tc>
          <w:tcPr>
            <w:tcW w:w="3969" w:type="dxa"/>
          </w:tcPr>
          <w:p w14:paraId="750D4500" w14:textId="77777777" w:rsidR="00162EE2" w:rsidRPr="002A3B3F" w:rsidRDefault="00162EE2" w:rsidP="007F66F9">
            <w:pPr>
              <w:ind w:right="-138"/>
              <w:jc w:val="center"/>
              <w:rPr>
                <w:rFonts w:ascii="Verdana" w:hAnsi="Verdana"/>
                <w:sz w:val="20"/>
                <w:szCs w:val="20"/>
              </w:rPr>
            </w:pPr>
            <w:r w:rsidRPr="002A3B3F">
              <w:rPr>
                <w:rFonts w:ascii="Verdana" w:hAnsi="Verdana" w:cs="Tahoma"/>
                <w:sz w:val="20"/>
                <w:szCs w:val="20"/>
              </w:rPr>
              <w:t>PL4SD</w:t>
            </w:r>
          </w:p>
        </w:tc>
        <w:tc>
          <w:tcPr>
            <w:tcW w:w="5387" w:type="dxa"/>
          </w:tcPr>
          <w:p w14:paraId="191D0571" w14:textId="77777777" w:rsidR="00162EE2" w:rsidRPr="002A3B3F" w:rsidRDefault="00162EE2" w:rsidP="007F66F9">
            <w:pPr>
              <w:ind w:left="80" w:right="-138"/>
              <w:jc w:val="center"/>
              <w:rPr>
                <w:rFonts w:ascii="Verdana" w:hAnsi="Verdana"/>
                <w:sz w:val="20"/>
                <w:szCs w:val="20"/>
              </w:rPr>
            </w:pPr>
            <w:r w:rsidRPr="002A3B3F">
              <w:rPr>
                <w:rFonts w:ascii="Verdana" w:hAnsi="Verdana"/>
                <w:sz w:val="20"/>
                <w:szCs w:val="20"/>
              </w:rPr>
              <w:t>Martin Unger</w:t>
            </w:r>
          </w:p>
        </w:tc>
      </w:tr>
      <w:tr w:rsidR="00162EE2" w:rsidRPr="002A3B3F" w14:paraId="01C9B894" w14:textId="77777777" w:rsidTr="007F66F9">
        <w:trPr>
          <w:trHeight w:val="363"/>
        </w:trPr>
        <w:tc>
          <w:tcPr>
            <w:tcW w:w="817" w:type="dxa"/>
          </w:tcPr>
          <w:p w14:paraId="3BFD419C"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cs="Tahoma"/>
                <w:sz w:val="20"/>
                <w:szCs w:val="20"/>
              </w:rPr>
            </w:pPr>
          </w:p>
        </w:tc>
        <w:tc>
          <w:tcPr>
            <w:tcW w:w="3969" w:type="dxa"/>
          </w:tcPr>
          <w:p w14:paraId="7DCAD58F" w14:textId="77777777" w:rsidR="00162EE2" w:rsidRPr="002A3B3F" w:rsidRDefault="00162EE2" w:rsidP="007F66F9">
            <w:pPr>
              <w:ind w:right="-138"/>
              <w:jc w:val="center"/>
              <w:rPr>
                <w:rFonts w:ascii="Verdana" w:hAnsi="Verdana" w:cs="Tahoma"/>
                <w:sz w:val="20"/>
                <w:szCs w:val="20"/>
              </w:rPr>
            </w:pPr>
            <w:r>
              <w:rPr>
                <w:rFonts w:ascii="Verdana" w:hAnsi="Verdana" w:cs="Tahoma"/>
                <w:sz w:val="20"/>
                <w:szCs w:val="20"/>
              </w:rPr>
              <w:t>United Kingdom</w:t>
            </w:r>
          </w:p>
        </w:tc>
        <w:tc>
          <w:tcPr>
            <w:tcW w:w="5387" w:type="dxa"/>
          </w:tcPr>
          <w:p w14:paraId="696FD19F" w14:textId="77777777" w:rsidR="00162EE2" w:rsidRPr="002A3B3F" w:rsidRDefault="00162EE2" w:rsidP="007F66F9">
            <w:pPr>
              <w:ind w:left="80" w:right="-138"/>
              <w:jc w:val="center"/>
              <w:rPr>
                <w:rFonts w:ascii="Verdana" w:hAnsi="Verdana"/>
                <w:sz w:val="20"/>
                <w:szCs w:val="20"/>
              </w:rPr>
            </w:pPr>
            <w:r>
              <w:rPr>
                <w:rFonts w:ascii="Verdana" w:hAnsi="Verdana"/>
                <w:sz w:val="20"/>
                <w:szCs w:val="20"/>
              </w:rPr>
              <w:t>Andrea M. Nolan</w:t>
            </w:r>
          </w:p>
        </w:tc>
      </w:tr>
      <w:tr w:rsidR="00162EE2" w:rsidRPr="002A3B3F" w14:paraId="22227852" w14:textId="77777777" w:rsidTr="007F66F9">
        <w:trPr>
          <w:trHeight w:val="363"/>
        </w:trPr>
        <w:tc>
          <w:tcPr>
            <w:tcW w:w="817" w:type="dxa"/>
          </w:tcPr>
          <w:p w14:paraId="32BAA3E3"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cs="Tahoma"/>
                <w:sz w:val="20"/>
                <w:szCs w:val="20"/>
              </w:rPr>
            </w:pPr>
          </w:p>
        </w:tc>
        <w:tc>
          <w:tcPr>
            <w:tcW w:w="3969" w:type="dxa"/>
          </w:tcPr>
          <w:p w14:paraId="3D2E160E" w14:textId="77777777" w:rsidR="00162EE2" w:rsidRPr="002A3B3F" w:rsidRDefault="00162EE2" w:rsidP="007F66F9">
            <w:pPr>
              <w:ind w:right="-138"/>
              <w:jc w:val="center"/>
              <w:rPr>
                <w:rFonts w:ascii="Verdana" w:hAnsi="Verdana" w:cs="Tahoma"/>
                <w:sz w:val="20"/>
                <w:szCs w:val="20"/>
              </w:rPr>
            </w:pPr>
            <w:r w:rsidRPr="002A3B3F">
              <w:rPr>
                <w:rFonts w:ascii="Verdana" w:hAnsi="Verdana" w:cs="Tahoma"/>
                <w:sz w:val="20"/>
                <w:szCs w:val="20"/>
              </w:rPr>
              <w:t>United Kingdom</w:t>
            </w:r>
          </w:p>
        </w:tc>
        <w:tc>
          <w:tcPr>
            <w:tcW w:w="5387" w:type="dxa"/>
          </w:tcPr>
          <w:p w14:paraId="2C10F8B8" w14:textId="77777777" w:rsidR="00162EE2" w:rsidRPr="002A3B3F" w:rsidRDefault="00162EE2" w:rsidP="007F66F9">
            <w:pPr>
              <w:ind w:left="80" w:right="-138"/>
              <w:jc w:val="center"/>
              <w:rPr>
                <w:rFonts w:ascii="Verdana" w:hAnsi="Verdana"/>
                <w:sz w:val="20"/>
                <w:szCs w:val="20"/>
              </w:rPr>
            </w:pPr>
            <w:r w:rsidRPr="002A3B3F">
              <w:rPr>
                <w:rFonts w:ascii="Verdana" w:hAnsi="Verdana"/>
                <w:sz w:val="20"/>
                <w:szCs w:val="20"/>
              </w:rPr>
              <w:t xml:space="preserve">John </w:t>
            </w:r>
            <w:proofErr w:type="spellStart"/>
            <w:r w:rsidRPr="002A3B3F">
              <w:rPr>
                <w:rFonts w:ascii="Verdana" w:hAnsi="Verdana"/>
                <w:sz w:val="20"/>
                <w:szCs w:val="20"/>
              </w:rPr>
              <w:t>Storan</w:t>
            </w:r>
            <w:proofErr w:type="spellEnd"/>
          </w:p>
        </w:tc>
      </w:tr>
      <w:tr w:rsidR="00162EE2" w:rsidRPr="002A3B3F" w14:paraId="719A3AC2" w14:textId="77777777" w:rsidTr="007F66F9">
        <w:trPr>
          <w:trHeight w:val="363"/>
        </w:trPr>
        <w:tc>
          <w:tcPr>
            <w:tcW w:w="817" w:type="dxa"/>
          </w:tcPr>
          <w:p w14:paraId="1F6EB496"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cs="Tahoma"/>
                <w:sz w:val="20"/>
                <w:szCs w:val="20"/>
              </w:rPr>
            </w:pPr>
          </w:p>
        </w:tc>
        <w:tc>
          <w:tcPr>
            <w:tcW w:w="3969" w:type="dxa"/>
          </w:tcPr>
          <w:p w14:paraId="7512AD50" w14:textId="77777777" w:rsidR="00162EE2" w:rsidRPr="002A3B3F" w:rsidRDefault="00162EE2" w:rsidP="007F66F9">
            <w:pPr>
              <w:ind w:right="-138"/>
              <w:jc w:val="center"/>
              <w:rPr>
                <w:rFonts w:ascii="Verdana" w:hAnsi="Verdana" w:cs="Tahoma"/>
                <w:sz w:val="20"/>
                <w:szCs w:val="20"/>
              </w:rPr>
            </w:pPr>
            <w:r>
              <w:rPr>
                <w:rFonts w:ascii="Verdana" w:hAnsi="Verdana" w:cs="Tahoma"/>
                <w:sz w:val="20"/>
                <w:szCs w:val="20"/>
              </w:rPr>
              <w:t>BFUG Secretariat</w:t>
            </w:r>
          </w:p>
        </w:tc>
        <w:tc>
          <w:tcPr>
            <w:tcW w:w="5387" w:type="dxa"/>
          </w:tcPr>
          <w:p w14:paraId="688FD98F" w14:textId="77777777" w:rsidR="00162EE2" w:rsidRPr="002A3B3F" w:rsidRDefault="00162EE2" w:rsidP="007F66F9">
            <w:pPr>
              <w:ind w:left="80" w:right="-138"/>
              <w:jc w:val="center"/>
              <w:rPr>
                <w:rFonts w:ascii="Verdana" w:hAnsi="Verdana"/>
                <w:sz w:val="20"/>
                <w:szCs w:val="20"/>
              </w:rPr>
            </w:pPr>
            <w:proofErr w:type="spellStart"/>
            <w:r>
              <w:rPr>
                <w:rFonts w:ascii="Verdana" w:hAnsi="Verdana"/>
                <w:sz w:val="20"/>
                <w:szCs w:val="20"/>
              </w:rPr>
              <w:t>Gayane</w:t>
            </w:r>
            <w:proofErr w:type="spellEnd"/>
            <w:r>
              <w:rPr>
                <w:rFonts w:ascii="Verdana" w:hAnsi="Verdana"/>
                <w:sz w:val="20"/>
                <w:szCs w:val="20"/>
              </w:rPr>
              <w:t xml:space="preserve"> </w:t>
            </w:r>
            <w:proofErr w:type="spellStart"/>
            <w:r>
              <w:rPr>
                <w:rFonts w:ascii="Verdana" w:hAnsi="Verdana"/>
                <w:sz w:val="20"/>
                <w:szCs w:val="20"/>
              </w:rPr>
              <w:t>Harutyunyan</w:t>
            </w:r>
            <w:proofErr w:type="spellEnd"/>
          </w:p>
        </w:tc>
      </w:tr>
      <w:tr w:rsidR="00162EE2" w:rsidRPr="002A3B3F" w14:paraId="06D86CFF" w14:textId="77777777" w:rsidTr="007F66F9">
        <w:trPr>
          <w:trHeight w:val="363"/>
        </w:trPr>
        <w:tc>
          <w:tcPr>
            <w:tcW w:w="817" w:type="dxa"/>
          </w:tcPr>
          <w:p w14:paraId="44CD0F53" w14:textId="77777777" w:rsidR="00162EE2" w:rsidRPr="002A3B3F" w:rsidRDefault="00162EE2" w:rsidP="00162EE2">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ind w:right="-138"/>
              <w:jc w:val="center"/>
              <w:rPr>
                <w:rFonts w:ascii="Verdana" w:hAnsi="Verdana" w:cs="Tahoma"/>
                <w:sz w:val="20"/>
                <w:szCs w:val="20"/>
              </w:rPr>
            </w:pPr>
            <w:r>
              <w:rPr>
                <w:rFonts w:ascii="Verdana" w:hAnsi="Verdana" w:cs="Tahoma"/>
                <w:sz w:val="20"/>
                <w:szCs w:val="20"/>
              </w:rPr>
              <w:t>B</w:t>
            </w:r>
          </w:p>
        </w:tc>
        <w:tc>
          <w:tcPr>
            <w:tcW w:w="3969" w:type="dxa"/>
          </w:tcPr>
          <w:p w14:paraId="09D1BDE5" w14:textId="77777777" w:rsidR="00162EE2" w:rsidRDefault="00162EE2" w:rsidP="007F66F9">
            <w:pPr>
              <w:ind w:right="-138"/>
              <w:jc w:val="center"/>
              <w:rPr>
                <w:rFonts w:ascii="Verdana" w:hAnsi="Verdana" w:cs="Tahoma"/>
                <w:sz w:val="20"/>
                <w:szCs w:val="20"/>
              </w:rPr>
            </w:pPr>
            <w:r>
              <w:rPr>
                <w:rFonts w:ascii="Verdana" w:hAnsi="Verdana" w:cs="Tahoma"/>
                <w:sz w:val="20"/>
                <w:szCs w:val="20"/>
              </w:rPr>
              <w:t>BFUG Secretariat</w:t>
            </w:r>
          </w:p>
        </w:tc>
        <w:tc>
          <w:tcPr>
            <w:tcW w:w="5387" w:type="dxa"/>
          </w:tcPr>
          <w:p w14:paraId="4E6EAC65" w14:textId="77777777" w:rsidR="00162EE2" w:rsidRDefault="00162EE2" w:rsidP="007F66F9">
            <w:pPr>
              <w:ind w:left="80" w:right="-138"/>
              <w:jc w:val="center"/>
              <w:rPr>
                <w:rFonts w:ascii="Verdana" w:hAnsi="Verdana"/>
                <w:sz w:val="20"/>
                <w:szCs w:val="20"/>
              </w:rPr>
            </w:pPr>
            <w:r>
              <w:rPr>
                <w:rFonts w:ascii="Verdana" w:hAnsi="Verdana"/>
                <w:sz w:val="20"/>
                <w:szCs w:val="20"/>
              </w:rPr>
              <w:t>Sahakanush Sargsyan</w:t>
            </w:r>
          </w:p>
        </w:tc>
      </w:tr>
    </w:tbl>
    <w:p w14:paraId="37DA1EFF" w14:textId="77777777" w:rsidR="00162EE2" w:rsidRDefault="00162EE2" w:rsidP="00162EE2"/>
    <w:p w14:paraId="45E3E47E" w14:textId="77777777" w:rsidR="00162EE2" w:rsidRDefault="00162EE2" w:rsidP="00162EE2"/>
    <w:p w14:paraId="52C19708" w14:textId="77777777" w:rsidR="00162EE2" w:rsidRDefault="00162EE2" w:rsidP="00162EE2"/>
    <w:p w14:paraId="67CBDEE7" w14:textId="77777777" w:rsidR="00162EE2" w:rsidRDefault="00162EE2" w:rsidP="00162EE2"/>
    <w:p w14:paraId="13332B52" w14:textId="77777777" w:rsidR="00162EE2" w:rsidRDefault="00162EE2" w:rsidP="00162EE2"/>
    <w:p w14:paraId="2D11B5BE" w14:textId="77777777" w:rsidR="00162EE2" w:rsidRDefault="00162EE2" w:rsidP="00162EE2"/>
    <w:p w14:paraId="1B760268" w14:textId="77777777" w:rsidR="00162EE2" w:rsidRDefault="00162EE2" w:rsidP="00162EE2"/>
    <w:p w14:paraId="19471518" w14:textId="77777777" w:rsidR="00162EE2" w:rsidRDefault="00162EE2" w:rsidP="00162EE2"/>
    <w:p w14:paraId="5700EDDE" w14:textId="77777777" w:rsidR="00162EE2" w:rsidRDefault="00162EE2" w:rsidP="00162EE2"/>
    <w:p w14:paraId="59B247AC" w14:textId="77777777" w:rsidR="00162EE2" w:rsidRPr="003A3871" w:rsidRDefault="00162EE2" w:rsidP="00162EE2"/>
    <w:p w14:paraId="27746C26" w14:textId="77777777" w:rsidR="006075DC" w:rsidRDefault="006075DC"/>
    <w:sectPr w:rsidR="006075DC" w:rsidSect="007F66F9">
      <w:headerReference w:type="default" r:id="rId21"/>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2CD6F" w14:textId="77777777" w:rsidR="000D779F" w:rsidRDefault="000D779F" w:rsidP="00162EE2">
      <w:r>
        <w:separator/>
      </w:r>
    </w:p>
  </w:endnote>
  <w:endnote w:type="continuationSeparator" w:id="0">
    <w:p w14:paraId="3FCB8DD6" w14:textId="77777777" w:rsidR="000D779F" w:rsidRDefault="000D779F" w:rsidP="00162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panose1 w:val="02020803070505020304"/>
    <w:charset w:val="00"/>
    <w:family w:val="auto"/>
    <w:pitch w:val="variable"/>
    <w:sig w:usb0="E0002AFF" w:usb1="C0007841"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Unicode MS">
    <w:panose1 w:val="020B0604020202020204"/>
    <w:charset w:val="4E"/>
    <w:family w:val="auto"/>
    <w:pitch w:val="variable"/>
    <w:sig w:usb0="F7FFAFFF" w:usb1="E9DFFFFF" w:usb2="0000003F" w:usb3="00000000" w:csb0="003F01FF" w:csb1="00000000"/>
  </w:font>
  <w:font w:name="MS Gothic">
    <w:altName w:val="ＭＳ ゴシック"/>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DINPro-Medium">
    <w:altName w:val="Corbel"/>
    <w:panose1 w:val="00000000000000000000"/>
    <w:charset w:val="00"/>
    <w:family w:val="modern"/>
    <w:notTrueType/>
    <w:pitch w:val="variable"/>
    <w:sig w:usb0="00000001" w:usb1="4000206A"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Gill Sans Light">
    <w:panose1 w:val="020B0302020104020203"/>
    <w:charset w:val="00"/>
    <w:family w:val="auto"/>
    <w:pitch w:val="variable"/>
    <w:sig w:usb0="80000267" w:usb1="00000000" w:usb2="00000000" w:usb3="00000000" w:csb0="000001F7"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Quadraat-Regular">
    <w:altName w:val="Cambria"/>
    <w:panose1 w:val="00000000000000000000"/>
    <w:charset w:val="4D"/>
    <w:family w:val="swiss"/>
    <w:notTrueType/>
    <w:pitch w:val="default"/>
    <w:sig w:usb0="00000003" w:usb1="00000000" w:usb2="00000000" w:usb3="00000000" w:csb0="00000001" w:csb1="00000000"/>
  </w:font>
  <w:font w:name="Calibri Bold Italic">
    <w:panose1 w:val="020F07020304040A0204"/>
    <w:charset w:val="00"/>
    <w:family w:val="auto"/>
    <w:pitch w:val="variable"/>
    <w:sig w:usb0="E10002FF" w:usb1="4000ACFF" w:usb2="00000009" w:usb3="00000000" w:csb0="0000019F" w:csb1="00000000"/>
  </w:font>
  <w:font w:name="Sassoun AM">
    <w:panose1 w:val="02000500000000000000"/>
    <w:charset w:val="00"/>
    <w:family w:val="auto"/>
    <w:pitch w:val="variable"/>
    <w:sig w:usb0="00000003" w:usb1="00000000" w:usb2="00000000" w:usb3="00000000" w:csb0="00000001" w:csb1="00000000"/>
  </w:font>
  <w:font w:name="Russian 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94C7B" w14:textId="77777777" w:rsidR="000D779F" w:rsidRDefault="000D779F" w:rsidP="007F66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DA7E1AD" w14:textId="77777777" w:rsidR="000D779F" w:rsidRDefault="000D779F" w:rsidP="007F66F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4303E" w14:textId="77777777" w:rsidR="000D779F" w:rsidRDefault="000D779F" w:rsidP="007F66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1671">
      <w:rPr>
        <w:rStyle w:val="PageNumber"/>
        <w:noProof/>
      </w:rPr>
      <w:t>22</w:t>
    </w:r>
    <w:r>
      <w:rPr>
        <w:rStyle w:val="PageNumber"/>
      </w:rPr>
      <w:fldChar w:fldCharType="end"/>
    </w:r>
  </w:p>
  <w:p w14:paraId="7A1B7A82" w14:textId="77777777" w:rsidR="000D779F" w:rsidRDefault="000D779F" w:rsidP="007F66F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324D2" w14:textId="77777777" w:rsidR="000D779F" w:rsidRDefault="000D779F" w:rsidP="00162EE2">
      <w:r>
        <w:separator/>
      </w:r>
    </w:p>
  </w:footnote>
  <w:footnote w:type="continuationSeparator" w:id="0">
    <w:p w14:paraId="31C8065F" w14:textId="77777777" w:rsidR="000D779F" w:rsidRDefault="000D779F" w:rsidP="00162EE2">
      <w:r>
        <w:continuationSeparator/>
      </w:r>
    </w:p>
  </w:footnote>
  <w:footnote w:id="1">
    <w:p w14:paraId="17471D11" w14:textId="77777777" w:rsidR="000D779F" w:rsidRPr="004F778E"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w:t>
      </w:r>
      <w:proofErr w:type="gramStart"/>
      <w:r w:rsidRPr="004F778E">
        <w:rPr>
          <w:rFonts w:ascii="Verdana" w:hAnsi="Verdana"/>
          <w:sz w:val="18"/>
          <w:szCs w:val="18"/>
        </w:rPr>
        <w:t>Towards the European Higher Education Area.</w:t>
      </w:r>
      <w:proofErr w:type="gramEnd"/>
      <w:r w:rsidRPr="004F778E">
        <w:rPr>
          <w:rFonts w:ascii="Verdana" w:hAnsi="Verdana"/>
          <w:sz w:val="18"/>
          <w:szCs w:val="18"/>
        </w:rPr>
        <w:t xml:space="preserve"> Communiqué of the meeting of European Ministers in charge of Higher Education, Prague, 19 May 2001;</w:t>
      </w:r>
    </w:p>
  </w:footnote>
  <w:footnote w:id="2">
    <w:p w14:paraId="1E32DE75" w14:textId="77777777" w:rsidR="000D779F" w:rsidRPr="004F778E"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London Communiqué: Towards the European Higher Education Area: responding to challenges in a globalized world, 18 May 2007;</w:t>
      </w:r>
    </w:p>
  </w:footnote>
  <w:footnote w:id="3">
    <w:p w14:paraId="208CFAB5" w14:textId="77777777" w:rsidR="000D779F" w:rsidRPr="008B1266" w:rsidRDefault="000D779F" w:rsidP="00E05321">
      <w:pPr>
        <w:pStyle w:val="FootnoteText"/>
        <w:spacing w:line="288" w:lineRule="auto"/>
        <w:ind w:right="-772"/>
        <w:jc w:val="both"/>
        <w:rPr>
          <w:rFonts w:ascii="Verdana" w:hAnsi="Verdana"/>
        </w:rPr>
      </w:pPr>
      <w:r w:rsidRPr="004F778E">
        <w:rPr>
          <w:rStyle w:val="FootnoteReference"/>
          <w:rFonts w:ascii="Verdana" w:hAnsi="Verdana"/>
          <w:sz w:val="18"/>
        </w:rPr>
        <w:footnoteRef/>
      </w:r>
      <w:r w:rsidRPr="004F778E">
        <w:rPr>
          <w:rFonts w:ascii="Verdana" w:hAnsi="Verdana"/>
          <w:sz w:val="18"/>
        </w:rPr>
        <w:t xml:space="preserve"> </w:t>
      </w:r>
      <w:r w:rsidRPr="004F778E">
        <w:rPr>
          <w:rFonts w:ascii="Verdana" w:hAnsi="Verdana"/>
          <w:sz w:val="18"/>
          <w:szCs w:val="18"/>
        </w:rPr>
        <w:t>The Bologna Process 2020 – The European Higher Education Area in the new decade. Communiqué of the Conference of European Ministers Responsible for Higher Education, Leuven/Louvain-la-</w:t>
      </w:r>
      <w:proofErr w:type="spellStart"/>
      <w:r w:rsidRPr="004F778E">
        <w:rPr>
          <w:rFonts w:ascii="Verdana" w:hAnsi="Verdana"/>
          <w:sz w:val="18"/>
          <w:szCs w:val="18"/>
        </w:rPr>
        <w:t>Neuve</w:t>
      </w:r>
      <w:proofErr w:type="spellEnd"/>
      <w:r w:rsidRPr="004F778E">
        <w:rPr>
          <w:rFonts w:ascii="Verdana" w:hAnsi="Verdana"/>
          <w:sz w:val="18"/>
          <w:szCs w:val="18"/>
        </w:rPr>
        <w:t>, 28-29 April 2009.</w:t>
      </w:r>
    </w:p>
  </w:footnote>
  <w:footnote w:id="4">
    <w:p w14:paraId="5B7AC12D" w14:textId="77777777" w:rsidR="000D779F" w:rsidRPr="004F778E" w:rsidRDefault="000D779F" w:rsidP="00E05321">
      <w:pPr>
        <w:pStyle w:val="FootnoteText"/>
        <w:spacing w:line="288" w:lineRule="auto"/>
        <w:ind w:right="-772"/>
        <w:jc w:val="both"/>
        <w:rPr>
          <w:rFonts w:ascii="Verdana" w:hAnsi="Verdana"/>
          <w:sz w:val="18"/>
          <w:szCs w:val="18"/>
        </w:rPr>
      </w:pPr>
      <w:r>
        <w:rPr>
          <w:rStyle w:val="FootnoteReference"/>
        </w:rPr>
        <w:footnoteRef/>
      </w:r>
      <w:r>
        <w:t xml:space="preserve"> </w:t>
      </w:r>
      <w:r w:rsidRPr="004F778E">
        <w:rPr>
          <w:rFonts w:ascii="Verdana" w:hAnsi="Verdana"/>
          <w:sz w:val="18"/>
          <w:szCs w:val="18"/>
        </w:rPr>
        <w:t>Bucharest Communiqué: Making the Most of Our Potential: Consolidating the European Higher Education Area, 26-27 April 2012;</w:t>
      </w:r>
    </w:p>
  </w:footnote>
  <w:footnote w:id="5">
    <w:p w14:paraId="0F51C9DF" w14:textId="77777777" w:rsidR="000D779F" w:rsidRPr="004F778E"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w:t>
      </w:r>
      <w:proofErr w:type="spellStart"/>
      <w:r w:rsidRPr="004F778E">
        <w:rPr>
          <w:rFonts w:ascii="Verdana" w:hAnsi="Verdana"/>
          <w:sz w:val="18"/>
          <w:szCs w:val="18"/>
        </w:rPr>
        <w:t>Realising</w:t>
      </w:r>
      <w:proofErr w:type="spellEnd"/>
      <w:r w:rsidRPr="004F778E">
        <w:rPr>
          <w:rFonts w:ascii="Verdana" w:hAnsi="Verdana"/>
          <w:sz w:val="18"/>
          <w:szCs w:val="18"/>
        </w:rPr>
        <w:t xml:space="preserve"> the European Higher Education, Communiqué of the Conference of the Ministers Responsible for Higher Education, Berlin, 19 September 2003;</w:t>
      </w:r>
    </w:p>
  </w:footnote>
  <w:footnote w:id="6">
    <w:p w14:paraId="4FBA206A" w14:textId="77777777" w:rsidR="000D779F" w:rsidRPr="004F778E" w:rsidRDefault="000D779F" w:rsidP="00E05321">
      <w:pPr>
        <w:pStyle w:val="FootnoteText"/>
        <w:spacing w:line="288" w:lineRule="auto"/>
        <w:ind w:right="-772"/>
        <w:rPr>
          <w:rFonts w:ascii="Verdana" w:hAnsi="Verdana"/>
          <w:sz w:val="18"/>
        </w:rPr>
      </w:pPr>
      <w:r w:rsidRPr="004F778E">
        <w:rPr>
          <w:rStyle w:val="FootnoteReference"/>
          <w:rFonts w:ascii="Verdana" w:hAnsi="Verdana"/>
          <w:sz w:val="18"/>
        </w:rPr>
        <w:footnoteRef/>
      </w:r>
      <w:r w:rsidRPr="004F778E">
        <w:rPr>
          <w:rFonts w:ascii="Verdana" w:hAnsi="Verdana"/>
          <w:sz w:val="18"/>
        </w:rPr>
        <w:t xml:space="preserve"> </w:t>
      </w:r>
      <w:r w:rsidRPr="004F778E">
        <w:rPr>
          <w:rFonts w:ascii="Verdana" w:hAnsi="Verdana"/>
          <w:sz w:val="18"/>
          <w:szCs w:val="18"/>
        </w:rPr>
        <w:t>Bergen 2005, London 2007, Leuven/Louvain-la-</w:t>
      </w:r>
      <w:proofErr w:type="spellStart"/>
      <w:r w:rsidRPr="004F778E">
        <w:rPr>
          <w:rFonts w:ascii="Verdana" w:hAnsi="Verdana"/>
          <w:sz w:val="18"/>
          <w:szCs w:val="18"/>
        </w:rPr>
        <w:t>Neuve</w:t>
      </w:r>
      <w:proofErr w:type="spellEnd"/>
      <w:r w:rsidRPr="004F778E">
        <w:rPr>
          <w:rFonts w:ascii="Verdana" w:hAnsi="Verdana"/>
          <w:sz w:val="18"/>
          <w:szCs w:val="18"/>
        </w:rPr>
        <w:t xml:space="preserve"> 2009;</w:t>
      </w:r>
    </w:p>
  </w:footnote>
  <w:footnote w:id="7">
    <w:p w14:paraId="327A6963" w14:textId="77777777" w:rsidR="000D779F" w:rsidRPr="004F778E" w:rsidRDefault="000D779F" w:rsidP="00E05321">
      <w:pPr>
        <w:pStyle w:val="FootnoteText"/>
        <w:spacing w:line="288" w:lineRule="auto"/>
        <w:ind w:right="-772"/>
        <w:jc w:val="both"/>
        <w:rPr>
          <w:rFonts w:ascii="Verdana" w:hAnsi="Verdana"/>
          <w:sz w:val="18"/>
        </w:rPr>
      </w:pPr>
      <w:r w:rsidRPr="004F778E">
        <w:rPr>
          <w:rStyle w:val="FootnoteReference"/>
          <w:rFonts w:ascii="Verdana" w:hAnsi="Verdana"/>
          <w:sz w:val="18"/>
        </w:rPr>
        <w:footnoteRef/>
      </w:r>
      <w:r w:rsidRPr="004F778E">
        <w:rPr>
          <w:rFonts w:ascii="Verdana" w:hAnsi="Verdana"/>
          <w:sz w:val="18"/>
        </w:rPr>
        <w:t xml:space="preserve"> </w:t>
      </w:r>
      <w:r w:rsidRPr="004F778E">
        <w:rPr>
          <w:rFonts w:ascii="Verdana" w:hAnsi="Verdana"/>
          <w:sz w:val="18"/>
          <w:szCs w:val="18"/>
        </w:rPr>
        <w:t>The Bologna Process 2020 – The European Higher Education Area in the new decade. Communiqué of the Conference of European Ministers Responsible for Higher Education, Leuven/Louvain-la-</w:t>
      </w:r>
      <w:proofErr w:type="spellStart"/>
      <w:r w:rsidRPr="004F778E">
        <w:rPr>
          <w:rFonts w:ascii="Verdana" w:hAnsi="Verdana"/>
          <w:sz w:val="18"/>
          <w:szCs w:val="18"/>
        </w:rPr>
        <w:t>Neuve</w:t>
      </w:r>
      <w:proofErr w:type="spellEnd"/>
      <w:r w:rsidRPr="004F778E">
        <w:rPr>
          <w:rFonts w:ascii="Verdana" w:hAnsi="Verdana"/>
          <w:sz w:val="18"/>
          <w:szCs w:val="18"/>
        </w:rPr>
        <w:t>, 28-29 April 2009;</w:t>
      </w:r>
    </w:p>
  </w:footnote>
  <w:footnote w:id="8">
    <w:p w14:paraId="1D29BD81" w14:textId="77777777" w:rsidR="000D779F" w:rsidRPr="00801FC1"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Report of the 2009-2012 BFUG WG on the Social Dimension, p. 13.</w:t>
      </w:r>
    </w:p>
  </w:footnote>
  <w:footnote w:id="9">
    <w:p w14:paraId="6557BCBA" w14:textId="77777777" w:rsidR="000D779F" w:rsidRPr="004F778E"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Minutes of the 2012-2015 BFUG WG on the Social Dimension and Lifelong Learning, 17 April 2013, p. 2;</w:t>
      </w:r>
    </w:p>
  </w:footnote>
  <w:footnote w:id="10">
    <w:p w14:paraId="71F0149E" w14:textId="77777777" w:rsidR="000D779F" w:rsidRPr="004F778E"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Bucharest Communiqué: Making the Most of Our Potential: Consolidating the European Higher Education Area, 26-27 April 2012;</w:t>
      </w:r>
    </w:p>
  </w:footnote>
  <w:footnote w:id="11">
    <w:p w14:paraId="2253E491" w14:textId="77777777" w:rsidR="000D779F" w:rsidRPr="004F778E" w:rsidRDefault="000D779F" w:rsidP="00E05321">
      <w:pPr>
        <w:pStyle w:val="FootnoteText"/>
        <w:spacing w:line="288" w:lineRule="auto"/>
        <w:ind w:right="-772"/>
        <w:jc w:val="both"/>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Ibid;</w:t>
      </w:r>
    </w:p>
  </w:footnote>
  <w:footnote w:id="12">
    <w:p w14:paraId="366F7524" w14:textId="77777777" w:rsidR="000D779F" w:rsidRPr="00904688" w:rsidRDefault="000D779F" w:rsidP="00BC6F96">
      <w:pPr>
        <w:pStyle w:val="FootnoteText"/>
        <w:spacing w:line="288" w:lineRule="auto"/>
        <w:ind w:right="-772"/>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The European Higher Education Area in 2012: Bologna Proce</w:t>
      </w:r>
      <w:r>
        <w:rPr>
          <w:rFonts w:ascii="Verdana" w:hAnsi="Verdana"/>
          <w:sz w:val="18"/>
          <w:szCs w:val="18"/>
        </w:rPr>
        <w:t>ss Implementation Report, p.p. 79 and 101.</w:t>
      </w:r>
    </w:p>
  </w:footnote>
  <w:footnote w:id="13">
    <w:p w14:paraId="1328D7B0" w14:textId="77777777" w:rsidR="000D779F" w:rsidRPr="004F2FED" w:rsidRDefault="000D779F" w:rsidP="001E5F8C">
      <w:pPr>
        <w:pStyle w:val="FootnoteText"/>
        <w:spacing w:line="288" w:lineRule="auto"/>
        <w:ind w:right="-772"/>
        <w:jc w:val="both"/>
        <w:rPr>
          <w:rFonts w:ascii="Verdana" w:hAnsi="Verdana"/>
          <w:sz w:val="18"/>
          <w:szCs w:val="18"/>
        </w:rPr>
      </w:pPr>
      <w:r w:rsidRPr="004F2FED">
        <w:rPr>
          <w:rStyle w:val="FootnoteReference"/>
          <w:rFonts w:ascii="Verdana" w:hAnsi="Verdana"/>
          <w:sz w:val="18"/>
          <w:szCs w:val="18"/>
        </w:rPr>
        <w:footnoteRef/>
      </w:r>
      <w:r w:rsidRPr="004F2FED">
        <w:rPr>
          <w:rFonts w:ascii="Verdana" w:hAnsi="Verdana"/>
          <w:sz w:val="18"/>
          <w:szCs w:val="18"/>
        </w:rPr>
        <w:t xml:space="preserve"> Reporting on the Bologna Process Implementation WG, Social Dimension and Lifelong Learning WG, Structural Reforms WG, Mobility and </w:t>
      </w:r>
      <w:proofErr w:type="spellStart"/>
      <w:r w:rsidRPr="004F2FED">
        <w:rPr>
          <w:rFonts w:ascii="Verdana" w:hAnsi="Verdana"/>
          <w:sz w:val="18"/>
          <w:szCs w:val="18"/>
        </w:rPr>
        <w:t>Internationalisation</w:t>
      </w:r>
      <w:proofErr w:type="spellEnd"/>
      <w:r w:rsidRPr="004F2FED">
        <w:rPr>
          <w:rFonts w:ascii="Verdana" w:hAnsi="Verdana"/>
          <w:sz w:val="18"/>
          <w:szCs w:val="18"/>
        </w:rPr>
        <w:t xml:space="preserve"> WG.</w:t>
      </w:r>
    </w:p>
  </w:footnote>
  <w:footnote w:id="14">
    <w:p w14:paraId="57EB8B69" w14:textId="77777777" w:rsidR="000D779F" w:rsidRPr="00904688" w:rsidRDefault="000D779F" w:rsidP="00757D34">
      <w:pPr>
        <w:pStyle w:val="FootnoteText"/>
        <w:spacing w:line="288" w:lineRule="auto"/>
        <w:ind w:right="-772"/>
        <w:rPr>
          <w:rFonts w:ascii="Verdana" w:hAnsi="Verdana"/>
          <w:sz w:val="18"/>
          <w:szCs w:val="18"/>
        </w:rPr>
      </w:pPr>
      <w:r w:rsidRPr="004F778E">
        <w:rPr>
          <w:rStyle w:val="FootnoteReference"/>
          <w:rFonts w:ascii="Verdana" w:hAnsi="Verdana"/>
          <w:sz w:val="18"/>
          <w:szCs w:val="18"/>
        </w:rPr>
        <w:footnoteRef/>
      </w:r>
      <w:r w:rsidRPr="004F778E">
        <w:rPr>
          <w:rFonts w:ascii="Verdana" w:hAnsi="Verdana"/>
          <w:sz w:val="18"/>
          <w:szCs w:val="18"/>
        </w:rPr>
        <w:t xml:space="preserve"> The European Higher Education Area in 2012: Bologna Proce</w:t>
      </w:r>
      <w:r>
        <w:rPr>
          <w:rFonts w:ascii="Verdana" w:hAnsi="Verdana"/>
          <w:sz w:val="18"/>
          <w:szCs w:val="18"/>
        </w:rPr>
        <w:t>ss Implementation Report, p.p. 79 and 101.</w:t>
      </w:r>
    </w:p>
  </w:footnote>
  <w:footnote w:id="15">
    <w:p w14:paraId="5C88D393" w14:textId="77777777" w:rsidR="000D779F" w:rsidRPr="004F2FED" w:rsidRDefault="000D779F" w:rsidP="00C74E41">
      <w:pPr>
        <w:pStyle w:val="FootnoteText"/>
        <w:ind w:right="-772"/>
        <w:rPr>
          <w:rFonts w:ascii="Verdana" w:hAnsi="Verdana"/>
          <w:sz w:val="18"/>
          <w:szCs w:val="18"/>
        </w:rPr>
      </w:pPr>
      <w:r w:rsidRPr="004F2FED">
        <w:rPr>
          <w:rStyle w:val="FootnoteReference"/>
          <w:rFonts w:ascii="Verdana" w:hAnsi="Verdana"/>
          <w:sz w:val="18"/>
          <w:szCs w:val="18"/>
        </w:rPr>
        <w:footnoteRef/>
      </w:r>
      <w:r w:rsidRPr="004F2FED">
        <w:rPr>
          <w:rFonts w:ascii="Verdana" w:hAnsi="Verdana"/>
          <w:sz w:val="18"/>
          <w:szCs w:val="18"/>
        </w:rPr>
        <w:t xml:space="preserve"> For more information, please </w:t>
      </w:r>
      <w:r>
        <w:rPr>
          <w:rFonts w:ascii="Verdana" w:hAnsi="Verdana"/>
          <w:sz w:val="18"/>
          <w:szCs w:val="18"/>
        </w:rPr>
        <w:t>consult</w:t>
      </w:r>
      <w:r w:rsidRPr="004F2FED">
        <w:rPr>
          <w:rFonts w:ascii="Verdana" w:hAnsi="Verdana"/>
          <w:sz w:val="18"/>
          <w:szCs w:val="18"/>
        </w:rPr>
        <w:t xml:space="preserve"> the</w:t>
      </w:r>
      <w:r>
        <w:rPr>
          <w:rFonts w:ascii="Verdana" w:hAnsi="Verdana"/>
          <w:sz w:val="18"/>
          <w:szCs w:val="18"/>
        </w:rPr>
        <w:t xml:space="preserve"> project’s</w:t>
      </w:r>
      <w:r w:rsidRPr="004F2FED">
        <w:rPr>
          <w:rFonts w:ascii="Verdana" w:hAnsi="Verdana"/>
          <w:sz w:val="18"/>
          <w:szCs w:val="18"/>
        </w:rPr>
        <w:t xml:space="preserve"> website </w:t>
      </w:r>
      <w:r>
        <w:rPr>
          <w:rFonts w:ascii="Verdana" w:hAnsi="Verdana"/>
          <w:sz w:val="18"/>
          <w:szCs w:val="18"/>
        </w:rPr>
        <w:t xml:space="preserve">at </w:t>
      </w:r>
      <w:r w:rsidRPr="001E5F8C">
        <w:rPr>
          <w:rFonts w:ascii="Verdana" w:hAnsi="Verdana"/>
          <w:sz w:val="18"/>
          <w:szCs w:val="18"/>
        </w:rPr>
        <w:t>http://expandingopportunities.eu/page/project-summary</w:t>
      </w:r>
    </w:p>
  </w:footnote>
  <w:footnote w:id="16">
    <w:p w14:paraId="1ED0AE19" w14:textId="77777777" w:rsidR="000D779F" w:rsidRDefault="000D779F" w:rsidP="00C74E41">
      <w:pPr>
        <w:pStyle w:val="FootnoteText"/>
        <w:spacing w:line="288" w:lineRule="auto"/>
        <w:ind w:right="-772"/>
        <w:jc w:val="both"/>
      </w:pPr>
      <w:r w:rsidRPr="004F2FED">
        <w:rPr>
          <w:rStyle w:val="FootnoteReference"/>
          <w:rFonts w:ascii="Verdana" w:hAnsi="Verdana"/>
          <w:sz w:val="18"/>
          <w:szCs w:val="18"/>
        </w:rPr>
        <w:footnoteRef/>
      </w:r>
      <w:r w:rsidRPr="004F2FED">
        <w:rPr>
          <w:rFonts w:ascii="Verdana" w:hAnsi="Verdana"/>
          <w:sz w:val="18"/>
          <w:szCs w:val="18"/>
        </w:rPr>
        <w:t xml:space="preserve"> The European Higher Education Area in 2012: Bologna Process Implementation Report, pp. 71-101.</w:t>
      </w:r>
    </w:p>
  </w:footnote>
  <w:footnote w:id="17">
    <w:p w14:paraId="3F3B99A8" w14:textId="77777777" w:rsidR="000D779F" w:rsidRPr="004F778E" w:rsidRDefault="000D779F" w:rsidP="0091724A">
      <w:pPr>
        <w:spacing w:line="288" w:lineRule="auto"/>
        <w:ind w:right="-772"/>
        <w:jc w:val="both"/>
        <w:rPr>
          <w:rFonts w:ascii="Verdana" w:hAnsi="Verdana"/>
          <w:sz w:val="18"/>
        </w:rPr>
      </w:pPr>
      <w:r w:rsidRPr="004F778E">
        <w:rPr>
          <w:rStyle w:val="FootnoteReference"/>
          <w:rFonts w:ascii="Verdana" w:hAnsi="Verdana"/>
          <w:sz w:val="18"/>
        </w:rPr>
        <w:footnoteRef/>
      </w:r>
      <w:r w:rsidRPr="004F778E">
        <w:rPr>
          <w:rFonts w:ascii="Verdana" w:hAnsi="Verdana"/>
          <w:sz w:val="18"/>
        </w:rPr>
        <w:t xml:space="preserve"> EI/ETUCE, Quality Assurance in Higher education, Brussels, March 2014, revised after debate in HERSC</w:t>
      </w:r>
    </w:p>
  </w:footnote>
  <w:footnote w:id="18">
    <w:p w14:paraId="69722797" w14:textId="55165509" w:rsidR="000D779F" w:rsidRPr="00630FE8" w:rsidRDefault="000D779F">
      <w:pPr>
        <w:pStyle w:val="FootnoteText"/>
        <w:rPr>
          <w:lang w:val="sv-SE"/>
        </w:rPr>
      </w:pPr>
      <w:r>
        <w:rPr>
          <w:rStyle w:val="FootnoteReference"/>
        </w:rPr>
        <w:footnoteRef/>
      </w:r>
      <w:r>
        <w:t xml:space="preserve"> NESET report on Dropout and completion in Higher Education in Europe; </w:t>
      </w:r>
      <w:r w:rsidRPr="00630FE8">
        <w:t>http://www.nesetweb.eu/sites/default/files/HE%20Drop%20out%20AR%20Final.pdf</w:t>
      </w:r>
    </w:p>
  </w:footnote>
  <w:footnote w:id="19">
    <w:p w14:paraId="27D19E27" w14:textId="61E082F2" w:rsidR="000D779F" w:rsidRPr="00DA0F3C" w:rsidRDefault="000D779F" w:rsidP="00E05321">
      <w:pPr>
        <w:pStyle w:val="FootnoteText"/>
        <w:spacing w:line="288" w:lineRule="auto"/>
      </w:pPr>
      <w:r>
        <w:rPr>
          <w:rStyle w:val="FootnoteReference"/>
        </w:rPr>
        <w:footnoteRef/>
      </w:r>
      <w:r>
        <w:t xml:space="preserve">For more details, please consult the Project’s official website at </w:t>
      </w:r>
      <w:hyperlink r:id="rId1" w:history="1">
        <w:r w:rsidRPr="00A658F8">
          <w:rPr>
            <w:rStyle w:val="Hyperlink"/>
            <w:rFonts w:ascii="Verdana" w:hAnsi="Verdana"/>
            <w:sz w:val="16"/>
          </w:rPr>
          <w:t>http://www.pl4sd.eu/download/PL4SD_Questionnaire.pdf</w:t>
        </w:r>
      </w:hyperlink>
      <w:r w:rsidRPr="00A658F8">
        <w:rPr>
          <w:rFonts w:ascii="Verdana" w:hAnsi="Verdana"/>
          <w:sz w:val="16"/>
        </w:rPr>
        <w:t xml:space="preserve"> </w:t>
      </w:r>
    </w:p>
  </w:footnote>
  <w:footnote w:id="20">
    <w:p w14:paraId="2FACF431" w14:textId="77777777" w:rsidR="000D779F" w:rsidRPr="006D3FC0" w:rsidRDefault="000D779F" w:rsidP="00E05321">
      <w:pPr>
        <w:pStyle w:val="FootnoteText"/>
        <w:spacing w:line="288" w:lineRule="auto"/>
        <w:rPr>
          <w:sz w:val="16"/>
          <w:szCs w:val="16"/>
        </w:rPr>
      </w:pPr>
      <w:r>
        <w:rPr>
          <w:rStyle w:val="FootnoteReference"/>
        </w:rPr>
        <w:footnoteRef/>
      </w:r>
      <w:r>
        <w:t xml:space="preserve"> </w:t>
      </w:r>
      <w:r w:rsidRPr="006D3FC0">
        <w:rPr>
          <w:bCs/>
          <w:sz w:val="16"/>
          <w:szCs w:val="16"/>
        </w:rPr>
        <w:t xml:space="preserve">Report on the </w:t>
      </w:r>
      <w:proofErr w:type="spellStart"/>
      <w:r w:rsidRPr="006D3FC0">
        <w:rPr>
          <w:sz w:val="16"/>
          <w:szCs w:val="16"/>
        </w:rPr>
        <w:t>Modernisation</w:t>
      </w:r>
      <w:proofErr w:type="spellEnd"/>
      <w:r w:rsidRPr="006D3FC0">
        <w:rPr>
          <w:sz w:val="16"/>
          <w:szCs w:val="16"/>
        </w:rPr>
        <w:t xml:space="preserve"> of Higher Education in Europe: Access, Retention and Employability: </w:t>
      </w:r>
      <w:r w:rsidRPr="006D3FC0">
        <w:rPr>
          <w:bCs/>
          <w:sz w:val="16"/>
          <w:szCs w:val="16"/>
        </w:rPr>
        <w:t>Eurydice (</w:t>
      </w:r>
      <w:r w:rsidRPr="006D3FC0">
        <w:rPr>
          <w:sz w:val="16"/>
          <w:szCs w:val="16"/>
        </w:rPr>
        <w:t>2014)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2FEB0" w14:textId="77777777" w:rsidR="000D779F" w:rsidRPr="007F3A85" w:rsidRDefault="000D779F" w:rsidP="007F66F9">
    <w:pPr>
      <w:tabs>
        <w:tab w:val="left" w:pos="6640"/>
      </w:tabs>
    </w:pPr>
    <w:r>
      <w:rPr>
        <w:noProof/>
        <w:bdr w:val="none" w:sz="0" w:space="0" w:color="auto"/>
      </w:rPr>
      <w:drawing>
        <wp:anchor distT="0" distB="0" distL="114300" distR="114300" simplePos="0" relativeHeight="251658240" behindDoc="0" locked="0" layoutInCell="1" allowOverlap="1" wp14:anchorId="1ECD0249" wp14:editId="39DD6B1C">
          <wp:simplePos x="0" y="0"/>
          <wp:positionH relativeFrom="column">
            <wp:posOffset>800100</wp:posOffset>
          </wp:positionH>
          <wp:positionV relativeFrom="paragraph">
            <wp:posOffset>-278130</wp:posOffset>
          </wp:positionV>
          <wp:extent cx="1113790" cy="1107440"/>
          <wp:effectExtent l="0" t="0" r="3810" b="10160"/>
          <wp:wrapThrough wrapText="bothSides">
            <wp:wrapPolygon edited="0">
              <wp:start x="0" y="0"/>
              <wp:lineTo x="0" y="21303"/>
              <wp:lineTo x="21181" y="21303"/>
              <wp:lineTo x="21181" y="0"/>
              <wp:lineTo x="0" y="0"/>
            </wp:wrapPolygon>
          </wp:wrapThrough>
          <wp:docPr id="2" name="Picture 5" descr="Description: EHEA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EHEA_mi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3790" cy="1107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bdr w:val="none" w:sz="0" w:space="0" w:color="auto"/>
      </w:rPr>
      <w:drawing>
        <wp:anchor distT="0" distB="0" distL="114300" distR="114300" simplePos="0" relativeHeight="251657216" behindDoc="0" locked="0" layoutInCell="1" allowOverlap="1" wp14:anchorId="7E62DAAC" wp14:editId="316BFFF5">
          <wp:simplePos x="0" y="0"/>
          <wp:positionH relativeFrom="column">
            <wp:posOffset>0</wp:posOffset>
          </wp:positionH>
          <wp:positionV relativeFrom="paragraph">
            <wp:posOffset>-163830</wp:posOffset>
          </wp:positionV>
          <wp:extent cx="706120" cy="962025"/>
          <wp:effectExtent l="0" t="0" r="5080" b="3175"/>
          <wp:wrapThrough wrapText="bothSides">
            <wp:wrapPolygon edited="0">
              <wp:start x="0" y="0"/>
              <wp:lineTo x="0" y="21101"/>
              <wp:lineTo x="20978" y="21101"/>
              <wp:lineTo x="20978" y="0"/>
              <wp:lineTo x="0" y="0"/>
            </wp:wrapPolygon>
          </wp:wrapThrough>
          <wp:docPr id="1" name="Picture 0" descr="Description: BP_m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BP_mi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20" cy="9620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77719354" w14:textId="77777777" w:rsidR="000D779F" w:rsidRDefault="000D779F" w:rsidP="007F66F9">
    <w:pPr>
      <w:pStyle w:val="Header"/>
    </w:pPr>
  </w:p>
  <w:p w14:paraId="5B2E0536" w14:textId="77777777" w:rsidR="000D779F" w:rsidRPr="007F3A85" w:rsidRDefault="000D779F" w:rsidP="007F66F9">
    <w:pPr>
      <w:tabs>
        <w:tab w:val="left" w:pos="6640"/>
      </w:tabs>
    </w:pPr>
    <w:r>
      <w:tab/>
    </w:r>
  </w:p>
  <w:p w14:paraId="0F8AC0A9" w14:textId="77777777" w:rsidR="000D779F" w:rsidRDefault="000D779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5EB04" w14:textId="77777777" w:rsidR="000D779F" w:rsidRDefault="000D779F">
    <w:pPr>
      <w:pStyle w:val="HeaderFooter"/>
    </w:pPr>
  </w:p>
  <w:p w14:paraId="06E5F25E" w14:textId="77777777" w:rsidR="000D779F" w:rsidRDefault="000D779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771E"/>
    <w:multiLevelType w:val="multilevel"/>
    <w:tmpl w:val="3594C13E"/>
    <w:styleLink w:val="List12"/>
    <w:lvl w:ilvl="0">
      <w:start w:val="3"/>
      <w:numFmt w:val="upperRoman"/>
      <w:lvlText w:val="%1."/>
      <w:lvlJc w:val="left"/>
      <w:pPr>
        <w:tabs>
          <w:tab w:val="num" w:pos="993"/>
        </w:tabs>
        <w:ind w:left="993" w:hanging="993"/>
      </w:pPr>
      <w:rPr>
        <w:rFonts w:ascii="Times New Roman Bold" w:eastAsia="Times New Roman Bold" w:hAnsi="Times New Roman Bold" w:cs="Times New Roman Bold"/>
        <w:position w:val="0"/>
        <w:sz w:val="32"/>
        <w:szCs w:val="32"/>
      </w:rPr>
    </w:lvl>
    <w:lvl w:ilvl="1">
      <w:start w:val="1"/>
      <w:numFmt w:val="lowerLetter"/>
      <w:lvlText w:val="%2."/>
      <w:lvlJc w:val="left"/>
      <w:pPr>
        <w:tabs>
          <w:tab w:val="num" w:pos="1560"/>
        </w:tabs>
        <w:ind w:left="1560" w:hanging="480"/>
      </w:pPr>
      <w:rPr>
        <w:rFonts w:ascii="Times New Roman Bold" w:eastAsia="Times New Roman Bold" w:hAnsi="Times New Roman Bold" w:cs="Times New Roman Bold"/>
        <w:position w:val="0"/>
        <w:sz w:val="32"/>
        <w:szCs w:val="32"/>
      </w:rPr>
    </w:lvl>
    <w:lvl w:ilvl="2">
      <w:start w:val="1"/>
      <w:numFmt w:val="lowerRoman"/>
      <w:lvlText w:val="%3."/>
      <w:lvlJc w:val="left"/>
      <w:pPr>
        <w:tabs>
          <w:tab w:val="num" w:pos="2259"/>
        </w:tabs>
        <w:ind w:left="2259" w:hanging="395"/>
      </w:pPr>
      <w:rPr>
        <w:rFonts w:ascii="Times New Roman Bold" w:eastAsia="Times New Roman Bold" w:hAnsi="Times New Roman Bold" w:cs="Times New Roman Bold"/>
        <w:position w:val="0"/>
        <w:sz w:val="32"/>
        <w:szCs w:val="32"/>
      </w:rPr>
    </w:lvl>
    <w:lvl w:ilvl="3">
      <w:start w:val="1"/>
      <w:numFmt w:val="decimal"/>
      <w:lvlText w:val="%4."/>
      <w:lvlJc w:val="left"/>
      <w:pPr>
        <w:tabs>
          <w:tab w:val="num" w:pos="3000"/>
        </w:tabs>
        <w:ind w:left="3000" w:hanging="480"/>
      </w:pPr>
      <w:rPr>
        <w:rFonts w:ascii="Times New Roman Bold" w:eastAsia="Times New Roman Bold" w:hAnsi="Times New Roman Bold" w:cs="Times New Roman Bold"/>
        <w:position w:val="0"/>
        <w:sz w:val="32"/>
        <w:szCs w:val="32"/>
      </w:rPr>
    </w:lvl>
    <w:lvl w:ilvl="4">
      <w:start w:val="1"/>
      <w:numFmt w:val="lowerLetter"/>
      <w:lvlText w:val="%5."/>
      <w:lvlJc w:val="left"/>
      <w:pPr>
        <w:tabs>
          <w:tab w:val="num" w:pos="3720"/>
        </w:tabs>
        <w:ind w:left="3720" w:hanging="480"/>
      </w:pPr>
      <w:rPr>
        <w:rFonts w:ascii="Times New Roman Bold" w:eastAsia="Times New Roman Bold" w:hAnsi="Times New Roman Bold" w:cs="Times New Roman Bold"/>
        <w:position w:val="0"/>
        <w:sz w:val="32"/>
        <w:szCs w:val="32"/>
      </w:rPr>
    </w:lvl>
    <w:lvl w:ilvl="5">
      <w:start w:val="1"/>
      <w:numFmt w:val="lowerRoman"/>
      <w:lvlText w:val="%6."/>
      <w:lvlJc w:val="left"/>
      <w:pPr>
        <w:tabs>
          <w:tab w:val="num" w:pos="4419"/>
        </w:tabs>
        <w:ind w:left="4419" w:hanging="395"/>
      </w:pPr>
      <w:rPr>
        <w:rFonts w:ascii="Times New Roman Bold" w:eastAsia="Times New Roman Bold" w:hAnsi="Times New Roman Bold" w:cs="Times New Roman Bold"/>
        <w:position w:val="0"/>
        <w:sz w:val="32"/>
        <w:szCs w:val="32"/>
      </w:rPr>
    </w:lvl>
    <w:lvl w:ilvl="6">
      <w:start w:val="1"/>
      <w:numFmt w:val="decimal"/>
      <w:lvlText w:val="%7."/>
      <w:lvlJc w:val="left"/>
      <w:pPr>
        <w:tabs>
          <w:tab w:val="num" w:pos="5160"/>
        </w:tabs>
        <w:ind w:left="5160" w:hanging="480"/>
      </w:pPr>
      <w:rPr>
        <w:rFonts w:ascii="Times New Roman Bold" w:eastAsia="Times New Roman Bold" w:hAnsi="Times New Roman Bold" w:cs="Times New Roman Bold"/>
        <w:position w:val="0"/>
        <w:sz w:val="32"/>
        <w:szCs w:val="32"/>
      </w:rPr>
    </w:lvl>
    <w:lvl w:ilvl="7">
      <w:start w:val="1"/>
      <w:numFmt w:val="lowerLetter"/>
      <w:lvlText w:val="%8."/>
      <w:lvlJc w:val="left"/>
      <w:pPr>
        <w:tabs>
          <w:tab w:val="num" w:pos="5880"/>
        </w:tabs>
        <w:ind w:left="5880" w:hanging="480"/>
      </w:pPr>
      <w:rPr>
        <w:rFonts w:ascii="Times New Roman Bold" w:eastAsia="Times New Roman Bold" w:hAnsi="Times New Roman Bold" w:cs="Times New Roman Bold"/>
        <w:position w:val="0"/>
        <w:sz w:val="32"/>
        <w:szCs w:val="32"/>
      </w:rPr>
    </w:lvl>
    <w:lvl w:ilvl="8">
      <w:start w:val="1"/>
      <w:numFmt w:val="lowerRoman"/>
      <w:lvlText w:val="%9."/>
      <w:lvlJc w:val="left"/>
      <w:pPr>
        <w:tabs>
          <w:tab w:val="num" w:pos="6579"/>
        </w:tabs>
        <w:ind w:left="6579" w:hanging="395"/>
      </w:pPr>
      <w:rPr>
        <w:rFonts w:ascii="Times New Roman Bold" w:eastAsia="Times New Roman Bold" w:hAnsi="Times New Roman Bold" w:cs="Times New Roman Bold"/>
        <w:position w:val="0"/>
        <w:sz w:val="32"/>
        <w:szCs w:val="32"/>
      </w:rPr>
    </w:lvl>
  </w:abstractNum>
  <w:abstractNum w:abstractNumId="1">
    <w:nsid w:val="02BE55D5"/>
    <w:multiLevelType w:val="multilevel"/>
    <w:tmpl w:val="6E0C3D98"/>
    <w:styleLink w:val="List23"/>
    <w:lvl w:ilvl="0">
      <w:start w:val="14"/>
      <w:numFmt w:val="decimal"/>
      <w:lvlText w:val="%1."/>
      <w:lvlJc w:val="left"/>
      <w:pPr>
        <w:tabs>
          <w:tab w:val="num" w:pos="1211"/>
        </w:tabs>
        <w:ind w:left="1211" w:hanging="360"/>
      </w:pPr>
      <w:rPr>
        <w:position w:val="0"/>
        <w:sz w:val="20"/>
        <w:szCs w:val="20"/>
        <w:rtl w:val="0"/>
      </w:rPr>
    </w:lvl>
    <w:lvl w:ilvl="1">
      <w:start w:val="1"/>
      <w:numFmt w:val="lowerLetter"/>
      <w:lvlText w:val="%2."/>
      <w:lvlJc w:val="left"/>
      <w:pPr>
        <w:tabs>
          <w:tab w:val="num" w:pos="1871"/>
        </w:tabs>
        <w:ind w:left="1871" w:hanging="300"/>
      </w:pPr>
      <w:rPr>
        <w:position w:val="0"/>
        <w:sz w:val="20"/>
        <w:szCs w:val="20"/>
        <w:rtl w:val="0"/>
      </w:rPr>
    </w:lvl>
    <w:lvl w:ilvl="2">
      <w:start w:val="1"/>
      <w:numFmt w:val="lowerRoman"/>
      <w:lvlText w:val="%3."/>
      <w:lvlJc w:val="left"/>
      <w:pPr>
        <w:tabs>
          <w:tab w:val="num" w:pos="2602"/>
        </w:tabs>
        <w:ind w:left="2602" w:hanging="247"/>
      </w:pPr>
      <w:rPr>
        <w:position w:val="0"/>
        <w:sz w:val="20"/>
        <w:szCs w:val="20"/>
        <w:rtl w:val="0"/>
      </w:rPr>
    </w:lvl>
    <w:lvl w:ilvl="3">
      <w:start w:val="1"/>
      <w:numFmt w:val="decimal"/>
      <w:lvlText w:val="%4."/>
      <w:lvlJc w:val="left"/>
      <w:pPr>
        <w:tabs>
          <w:tab w:val="num" w:pos="3311"/>
        </w:tabs>
        <w:ind w:left="3311" w:hanging="300"/>
      </w:pPr>
      <w:rPr>
        <w:position w:val="0"/>
        <w:sz w:val="20"/>
        <w:szCs w:val="20"/>
        <w:rtl w:val="0"/>
      </w:rPr>
    </w:lvl>
    <w:lvl w:ilvl="4">
      <w:start w:val="1"/>
      <w:numFmt w:val="lowerLetter"/>
      <w:lvlText w:val="%5."/>
      <w:lvlJc w:val="left"/>
      <w:pPr>
        <w:tabs>
          <w:tab w:val="num" w:pos="4031"/>
        </w:tabs>
        <w:ind w:left="4031" w:hanging="300"/>
      </w:pPr>
      <w:rPr>
        <w:position w:val="0"/>
        <w:sz w:val="20"/>
        <w:szCs w:val="20"/>
        <w:rtl w:val="0"/>
      </w:rPr>
    </w:lvl>
    <w:lvl w:ilvl="5">
      <w:start w:val="1"/>
      <w:numFmt w:val="lowerRoman"/>
      <w:lvlText w:val="%6."/>
      <w:lvlJc w:val="left"/>
      <w:pPr>
        <w:tabs>
          <w:tab w:val="num" w:pos="4762"/>
        </w:tabs>
        <w:ind w:left="4762" w:hanging="247"/>
      </w:pPr>
      <w:rPr>
        <w:position w:val="0"/>
        <w:sz w:val="20"/>
        <w:szCs w:val="20"/>
        <w:rtl w:val="0"/>
      </w:rPr>
    </w:lvl>
    <w:lvl w:ilvl="6">
      <w:start w:val="1"/>
      <w:numFmt w:val="decimal"/>
      <w:lvlText w:val="%7."/>
      <w:lvlJc w:val="left"/>
      <w:pPr>
        <w:tabs>
          <w:tab w:val="num" w:pos="5471"/>
        </w:tabs>
        <w:ind w:left="5471" w:hanging="300"/>
      </w:pPr>
      <w:rPr>
        <w:position w:val="0"/>
        <w:sz w:val="20"/>
        <w:szCs w:val="20"/>
        <w:rtl w:val="0"/>
      </w:rPr>
    </w:lvl>
    <w:lvl w:ilvl="7">
      <w:start w:val="1"/>
      <w:numFmt w:val="lowerLetter"/>
      <w:lvlText w:val="%8."/>
      <w:lvlJc w:val="left"/>
      <w:pPr>
        <w:tabs>
          <w:tab w:val="num" w:pos="6191"/>
        </w:tabs>
        <w:ind w:left="6191" w:hanging="300"/>
      </w:pPr>
      <w:rPr>
        <w:position w:val="0"/>
        <w:sz w:val="20"/>
        <w:szCs w:val="20"/>
        <w:rtl w:val="0"/>
      </w:rPr>
    </w:lvl>
    <w:lvl w:ilvl="8">
      <w:start w:val="1"/>
      <w:numFmt w:val="lowerRoman"/>
      <w:lvlText w:val="%9."/>
      <w:lvlJc w:val="left"/>
      <w:pPr>
        <w:tabs>
          <w:tab w:val="num" w:pos="6922"/>
        </w:tabs>
        <w:ind w:left="6922" w:hanging="247"/>
      </w:pPr>
      <w:rPr>
        <w:position w:val="0"/>
        <w:sz w:val="20"/>
        <w:szCs w:val="20"/>
        <w:rtl w:val="0"/>
      </w:rPr>
    </w:lvl>
  </w:abstractNum>
  <w:abstractNum w:abstractNumId="2">
    <w:nsid w:val="097A41BC"/>
    <w:multiLevelType w:val="multilevel"/>
    <w:tmpl w:val="0BE0E07A"/>
    <w:styleLink w:val="List29"/>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
    <w:nsid w:val="0AF62355"/>
    <w:multiLevelType w:val="multilevel"/>
    <w:tmpl w:val="6A04B588"/>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nsid w:val="0C5D789E"/>
    <w:multiLevelType w:val="multilevel"/>
    <w:tmpl w:val="2DEC0434"/>
    <w:styleLink w:val="List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0C7B7BEB"/>
    <w:multiLevelType w:val="multilevel"/>
    <w:tmpl w:val="90C084DC"/>
    <w:styleLink w:val="List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
    <w:nsid w:val="0E4A52E6"/>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D35E00"/>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195FFA"/>
    <w:multiLevelType w:val="hybridMultilevel"/>
    <w:tmpl w:val="8DB02944"/>
    <w:lvl w:ilvl="0" w:tplc="249A6BDA">
      <w:start w:val="1"/>
      <w:numFmt w:val="bullet"/>
      <w:pStyle w:val="Bullet1"/>
      <w:lvlText w:val=""/>
      <w:lvlJc w:val="left"/>
      <w:pPr>
        <w:tabs>
          <w:tab w:val="num" w:pos="284"/>
        </w:tabs>
        <w:ind w:left="340" w:hanging="283"/>
      </w:pPr>
      <w:rPr>
        <w:rFonts w:ascii="Symbol" w:hAnsi="Symbol" w:hint="default"/>
        <w:sz w:val="16"/>
        <w:szCs w:val="16"/>
      </w:rPr>
    </w:lvl>
    <w:lvl w:ilvl="1" w:tplc="04130003">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100014B1"/>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D60498"/>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C9397B"/>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577E7A"/>
    <w:multiLevelType w:val="multilevel"/>
    <w:tmpl w:val="B322BA22"/>
    <w:styleLink w:val="List1"/>
    <w:lvl w:ilvl="0">
      <w:start w:val="1"/>
      <w:numFmt w:val="upperRoman"/>
      <w:lvlText w:val="%1."/>
      <w:lvlJc w:val="left"/>
      <w:pPr>
        <w:tabs>
          <w:tab w:val="num" w:pos="1080"/>
        </w:tabs>
        <w:ind w:left="1080" w:hanging="720"/>
      </w:pPr>
      <w:rPr>
        <w:rFonts w:ascii="Times New Roman Bold" w:eastAsia="Times New Roman Bold" w:hAnsi="Times New Roman Bold" w:cs="Times New Roman Bold"/>
        <w:position w:val="0"/>
        <w:sz w:val="32"/>
        <w:szCs w:val="32"/>
      </w:rPr>
    </w:lvl>
    <w:lvl w:ilvl="1">
      <w:start w:val="1"/>
      <w:numFmt w:val="lowerLetter"/>
      <w:lvlText w:val="%2."/>
      <w:lvlJc w:val="left"/>
      <w:pPr>
        <w:tabs>
          <w:tab w:val="num" w:pos="1560"/>
        </w:tabs>
        <w:ind w:left="1560" w:hanging="480"/>
      </w:pPr>
      <w:rPr>
        <w:rFonts w:ascii="Times New Roman Bold" w:eastAsia="Times New Roman Bold" w:hAnsi="Times New Roman Bold" w:cs="Times New Roman Bold"/>
        <w:position w:val="0"/>
        <w:sz w:val="32"/>
        <w:szCs w:val="32"/>
      </w:rPr>
    </w:lvl>
    <w:lvl w:ilvl="2">
      <w:start w:val="1"/>
      <w:numFmt w:val="lowerRoman"/>
      <w:lvlText w:val="%3."/>
      <w:lvlJc w:val="left"/>
      <w:pPr>
        <w:tabs>
          <w:tab w:val="num" w:pos="2259"/>
        </w:tabs>
        <w:ind w:left="2259" w:hanging="395"/>
      </w:pPr>
      <w:rPr>
        <w:rFonts w:ascii="Times New Roman Bold" w:eastAsia="Times New Roman Bold" w:hAnsi="Times New Roman Bold" w:cs="Times New Roman Bold"/>
        <w:position w:val="0"/>
        <w:sz w:val="32"/>
        <w:szCs w:val="32"/>
      </w:rPr>
    </w:lvl>
    <w:lvl w:ilvl="3">
      <w:start w:val="1"/>
      <w:numFmt w:val="decimal"/>
      <w:lvlText w:val="%4."/>
      <w:lvlJc w:val="left"/>
      <w:pPr>
        <w:tabs>
          <w:tab w:val="num" w:pos="3000"/>
        </w:tabs>
        <w:ind w:left="3000" w:hanging="480"/>
      </w:pPr>
      <w:rPr>
        <w:rFonts w:ascii="Times New Roman Bold" w:eastAsia="Times New Roman Bold" w:hAnsi="Times New Roman Bold" w:cs="Times New Roman Bold"/>
        <w:position w:val="0"/>
        <w:sz w:val="32"/>
        <w:szCs w:val="32"/>
      </w:rPr>
    </w:lvl>
    <w:lvl w:ilvl="4">
      <w:start w:val="1"/>
      <w:numFmt w:val="lowerLetter"/>
      <w:lvlText w:val="%5."/>
      <w:lvlJc w:val="left"/>
      <w:pPr>
        <w:tabs>
          <w:tab w:val="num" w:pos="3720"/>
        </w:tabs>
        <w:ind w:left="3720" w:hanging="480"/>
      </w:pPr>
      <w:rPr>
        <w:rFonts w:ascii="Times New Roman Bold" w:eastAsia="Times New Roman Bold" w:hAnsi="Times New Roman Bold" w:cs="Times New Roman Bold"/>
        <w:position w:val="0"/>
        <w:sz w:val="32"/>
        <w:szCs w:val="32"/>
      </w:rPr>
    </w:lvl>
    <w:lvl w:ilvl="5">
      <w:start w:val="1"/>
      <w:numFmt w:val="lowerRoman"/>
      <w:lvlText w:val="%6."/>
      <w:lvlJc w:val="left"/>
      <w:pPr>
        <w:tabs>
          <w:tab w:val="num" w:pos="4419"/>
        </w:tabs>
        <w:ind w:left="4419" w:hanging="395"/>
      </w:pPr>
      <w:rPr>
        <w:rFonts w:ascii="Times New Roman Bold" w:eastAsia="Times New Roman Bold" w:hAnsi="Times New Roman Bold" w:cs="Times New Roman Bold"/>
        <w:position w:val="0"/>
        <w:sz w:val="32"/>
        <w:szCs w:val="32"/>
      </w:rPr>
    </w:lvl>
    <w:lvl w:ilvl="6">
      <w:start w:val="1"/>
      <w:numFmt w:val="decimal"/>
      <w:lvlText w:val="%7."/>
      <w:lvlJc w:val="left"/>
      <w:pPr>
        <w:tabs>
          <w:tab w:val="num" w:pos="5160"/>
        </w:tabs>
        <w:ind w:left="5160" w:hanging="480"/>
      </w:pPr>
      <w:rPr>
        <w:rFonts w:ascii="Times New Roman Bold" w:eastAsia="Times New Roman Bold" w:hAnsi="Times New Roman Bold" w:cs="Times New Roman Bold"/>
        <w:position w:val="0"/>
        <w:sz w:val="32"/>
        <w:szCs w:val="32"/>
      </w:rPr>
    </w:lvl>
    <w:lvl w:ilvl="7">
      <w:start w:val="1"/>
      <w:numFmt w:val="lowerLetter"/>
      <w:lvlText w:val="%8."/>
      <w:lvlJc w:val="left"/>
      <w:pPr>
        <w:tabs>
          <w:tab w:val="num" w:pos="5880"/>
        </w:tabs>
        <w:ind w:left="5880" w:hanging="480"/>
      </w:pPr>
      <w:rPr>
        <w:rFonts w:ascii="Times New Roman Bold" w:eastAsia="Times New Roman Bold" w:hAnsi="Times New Roman Bold" w:cs="Times New Roman Bold"/>
        <w:position w:val="0"/>
        <w:sz w:val="32"/>
        <w:szCs w:val="32"/>
      </w:rPr>
    </w:lvl>
    <w:lvl w:ilvl="8">
      <w:start w:val="1"/>
      <w:numFmt w:val="lowerRoman"/>
      <w:lvlText w:val="%9."/>
      <w:lvlJc w:val="left"/>
      <w:pPr>
        <w:tabs>
          <w:tab w:val="num" w:pos="6579"/>
        </w:tabs>
        <w:ind w:left="6579" w:hanging="395"/>
      </w:pPr>
      <w:rPr>
        <w:rFonts w:ascii="Times New Roman Bold" w:eastAsia="Times New Roman Bold" w:hAnsi="Times New Roman Bold" w:cs="Times New Roman Bold"/>
        <w:position w:val="0"/>
        <w:sz w:val="32"/>
        <w:szCs w:val="32"/>
      </w:rPr>
    </w:lvl>
  </w:abstractNum>
  <w:abstractNum w:abstractNumId="13">
    <w:nsid w:val="1BB349C1"/>
    <w:multiLevelType w:val="multilevel"/>
    <w:tmpl w:val="8EEEAD6A"/>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
    <w:nsid w:val="1E6B192D"/>
    <w:multiLevelType w:val="multilevel"/>
    <w:tmpl w:val="563A46CC"/>
    <w:lvl w:ilvl="0">
      <w:start w:val="1"/>
      <w:numFmt w:val="decimal"/>
      <w:lvlText w:val="%1."/>
      <w:lvlJc w:val="left"/>
      <w:pPr>
        <w:ind w:left="928" w:hanging="360"/>
      </w:pPr>
      <w:rPr>
        <w:rFonts w:hint="default"/>
      </w:rPr>
    </w:lvl>
    <w:lvl w:ilvl="1">
      <w:start w:val="1"/>
      <w:numFmt w:val="lowerLetter"/>
      <w:lvlText w:val="%2)"/>
      <w:lvlJc w:val="left"/>
      <w:pPr>
        <w:ind w:left="1288" w:hanging="360"/>
      </w:pPr>
      <w:rPr>
        <w:rFonts w:hint="default"/>
      </w:rPr>
    </w:lvl>
    <w:lvl w:ilvl="2">
      <w:start w:val="1"/>
      <w:numFmt w:val="lowerRoman"/>
      <w:lvlText w:val="%3)"/>
      <w:lvlJc w:val="left"/>
      <w:pPr>
        <w:ind w:left="1648" w:hanging="360"/>
      </w:pPr>
      <w:rPr>
        <w:rFonts w:hint="default"/>
      </w:rPr>
    </w:lvl>
    <w:lvl w:ilvl="3">
      <w:start w:val="1"/>
      <w:numFmt w:val="decimal"/>
      <w:lvlText w:val="(%4)"/>
      <w:lvlJc w:val="left"/>
      <w:pPr>
        <w:ind w:left="2008" w:hanging="360"/>
      </w:pPr>
      <w:rPr>
        <w:rFonts w:hint="default"/>
      </w:rPr>
    </w:lvl>
    <w:lvl w:ilvl="4">
      <w:start w:val="1"/>
      <w:numFmt w:val="lowerLetter"/>
      <w:lvlText w:val="(%5)"/>
      <w:lvlJc w:val="left"/>
      <w:pPr>
        <w:ind w:left="2368" w:hanging="360"/>
      </w:pPr>
      <w:rPr>
        <w:rFonts w:hint="default"/>
      </w:rPr>
    </w:lvl>
    <w:lvl w:ilvl="5">
      <w:start w:val="1"/>
      <w:numFmt w:val="lowerRoman"/>
      <w:lvlText w:val="(%6)"/>
      <w:lvlJc w:val="left"/>
      <w:pPr>
        <w:ind w:left="2728" w:hanging="360"/>
      </w:pPr>
      <w:rPr>
        <w:rFonts w:hint="default"/>
      </w:rPr>
    </w:lvl>
    <w:lvl w:ilvl="6">
      <w:start w:val="1"/>
      <w:numFmt w:val="decimal"/>
      <w:lvlText w:val="%7."/>
      <w:lvlJc w:val="left"/>
      <w:pPr>
        <w:ind w:left="3088" w:hanging="360"/>
      </w:pPr>
      <w:rPr>
        <w:rFonts w:hint="default"/>
      </w:rPr>
    </w:lvl>
    <w:lvl w:ilvl="7">
      <w:start w:val="1"/>
      <w:numFmt w:val="lowerLetter"/>
      <w:lvlText w:val="%8."/>
      <w:lvlJc w:val="left"/>
      <w:pPr>
        <w:ind w:left="3448" w:hanging="360"/>
      </w:pPr>
      <w:rPr>
        <w:rFonts w:hint="default"/>
      </w:rPr>
    </w:lvl>
    <w:lvl w:ilvl="8">
      <w:start w:val="1"/>
      <w:numFmt w:val="lowerRoman"/>
      <w:lvlText w:val="%9."/>
      <w:lvlJc w:val="left"/>
      <w:pPr>
        <w:ind w:left="3808" w:hanging="360"/>
      </w:pPr>
      <w:rPr>
        <w:rFonts w:hint="default"/>
      </w:rPr>
    </w:lvl>
  </w:abstractNum>
  <w:abstractNum w:abstractNumId="15">
    <w:nsid w:val="22210F45"/>
    <w:multiLevelType w:val="multilevel"/>
    <w:tmpl w:val="E1FACDE0"/>
    <w:styleLink w:val="List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nsid w:val="23727F26"/>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3A7531"/>
    <w:multiLevelType w:val="multilevel"/>
    <w:tmpl w:val="578AD1F2"/>
    <w:styleLink w:val="List26"/>
    <w:lvl w:ilvl="0">
      <w:numFmt w:val="bullet"/>
      <w:lvlText w:val="•"/>
      <w:lvlJc w:val="left"/>
      <w:pPr>
        <w:tabs>
          <w:tab w:val="num" w:pos="720"/>
        </w:tabs>
        <w:ind w:left="720" w:hanging="360"/>
      </w:pPr>
      <w:rPr>
        <w:i/>
        <w:iCs/>
        <w:position w:val="0"/>
        <w:sz w:val="22"/>
        <w:szCs w:val="22"/>
        <w:lang w:val="en-US"/>
      </w:rPr>
    </w:lvl>
    <w:lvl w:ilvl="1">
      <w:start w:val="1"/>
      <w:numFmt w:val="bullet"/>
      <w:lvlText w:val="o"/>
      <w:lvlJc w:val="left"/>
      <w:pPr>
        <w:tabs>
          <w:tab w:val="num" w:pos="1440"/>
        </w:tabs>
        <w:ind w:left="1440" w:hanging="360"/>
      </w:pPr>
      <w:rPr>
        <w:i/>
        <w:iCs/>
        <w:position w:val="0"/>
        <w:sz w:val="24"/>
        <w:szCs w:val="24"/>
        <w:lang w:val="en-US"/>
      </w:rPr>
    </w:lvl>
    <w:lvl w:ilvl="2">
      <w:start w:val="1"/>
      <w:numFmt w:val="bullet"/>
      <w:lvlText w:val="▪"/>
      <w:lvlJc w:val="left"/>
      <w:pPr>
        <w:tabs>
          <w:tab w:val="num" w:pos="2160"/>
        </w:tabs>
        <w:ind w:left="2160" w:hanging="360"/>
      </w:pPr>
      <w:rPr>
        <w:i/>
        <w:iCs/>
        <w:position w:val="0"/>
        <w:sz w:val="24"/>
        <w:szCs w:val="24"/>
        <w:lang w:val="en-US"/>
      </w:rPr>
    </w:lvl>
    <w:lvl w:ilvl="3">
      <w:start w:val="1"/>
      <w:numFmt w:val="bullet"/>
      <w:lvlText w:val="•"/>
      <w:lvlJc w:val="left"/>
      <w:pPr>
        <w:tabs>
          <w:tab w:val="num" w:pos="2880"/>
        </w:tabs>
        <w:ind w:left="2880" w:hanging="360"/>
      </w:pPr>
      <w:rPr>
        <w:i/>
        <w:iCs/>
        <w:position w:val="0"/>
        <w:sz w:val="24"/>
        <w:szCs w:val="24"/>
        <w:lang w:val="en-US"/>
      </w:rPr>
    </w:lvl>
    <w:lvl w:ilvl="4">
      <w:start w:val="1"/>
      <w:numFmt w:val="bullet"/>
      <w:lvlText w:val="o"/>
      <w:lvlJc w:val="left"/>
      <w:pPr>
        <w:tabs>
          <w:tab w:val="num" w:pos="3600"/>
        </w:tabs>
        <w:ind w:left="3600" w:hanging="360"/>
      </w:pPr>
      <w:rPr>
        <w:i/>
        <w:iCs/>
        <w:position w:val="0"/>
        <w:sz w:val="24"/>
        <w:szCs w:val="24"/>
        <w:lang w:val="en-US"/>
      </w:rPr>
    </w:lvl>
    <w:lvl w:ilvl="5">
      <w:start w:val="1"/>
      <w:numFmt w:val="bullet"/>
      <w:lvlText w:val="▪"/>
      <w:lvlJc w:val="left"/>
      <w:pPr>
        <w:tabs>
          <w:tab w:val="num" w:pos="4320"/>
        </w:tabs>
        <w:ind w:left="4320" w:hanging="360"/>
      </w:pPr>
      <w:rPr>
        <w:i/>
        <w:iCs/>
        <w:position w:val="0"/>
        <w:sz w:val="24"/>
        <w:szCs w:val="24"/>
        <w:lang w:val="en-US"/>
      </w:rPr>
    </w:lvl>
    <w:lvl w:ilvl="6">
      <w:start w:val="1"/>
      <w:numFmt w:val="bullet"/>
      <w:lvlText w:val="•"/>
      <w:lvlJc w:val="left"/>
      <w:pPr>
        <w:tabs>
          <w:tab w:val="num" w:pos="5040"/>
        </w:tabs>
        <w:ind w:left="5040" w:hanging="360"/>
      </w:pPr>
      <w:rPr>
        <w:i/>
        <w:iCs/>
        <w:position w:val="0"/>
        <w:sz w:val="24"/>
        <w:szCs w:val="24"/>
        <w:lang w:val="en-US"/>
      </w:rPr>
    </w:lvl>
    <w:lvl w:ilvl="7">
      <w:start w:val="1"/>
      <w:numFmt w:val="bullet"/>
      <w:lvlText w:val="o"/>
      <w:lvlJc w:val="left"/>
      <w:pPr>
        <w:tabs>
          <w:tab w:val="num" w:pos="5760"/>
        </w:tabs>
        <w:ind w:left="5760" w:hanging="360"/>
      </w:pPr>
      <w:rPr>
        <w:i/>
        <w:iCs/>
        <w:position w:val="0"/>
        <w:sz w:val="24"/>
        <w:szCs w:val="24"/>
        <w:lang w:val="en-US"/>
      </w:rPr>
    </w:lvl>
    <w:lvl w:ilvl="8">
      <w:start w:val="1"/>
      <w:numFmt w:val="bullet"/>
      <w:lvlText w:val="▪"/>
      <w:lvlJc w:val="left"/>
      <w:pPr>
        <w:tabs>
          <w:tab w:val="num" w:pos="6480"/>
        </w:tabs>
        <w:ind w:left="6480" w:hanging="360"/>
      </w:pPr>
      <w:rPr>
        <w:i/>
        <w:iCs/>
        <w:position w:val="0"/>
        <w:sz w:val="24"/>
        <w:szCs w:val="24"/>
        <w:lang w:val="en-US"/>
      </w:rPr>
    </w:lvl>
  </w:abstractNum>
  <w:abstractNum w:abstractNumId="18">
    <w:nsid w:val="247E20D7"/>
    <w:multiLevelType w:val="hybridMultilevel"/>
    <w:tmpl w:val="3C968F6E"/>
    <w:lvl w:ilvl="0" w:tplc="04130001">
      <w:start w:val="1"/>
      <w:numFmt w:val="bullet"/>
      <w:lvlText w:val=""/>
      <w:lvlJc w:val="left"/>
      <w:pPr>
        <w:tabs>
          <w:tab w:val="num" w:pos="720"/>
        </w:tabs>
        <w:ind w:left="720" w:hanging="360"/>
      </w:pPr>
      <w:rPr>
        <w:rFonts w:ascii="Symbol" w:hAnsi="Symbol" w:hint="default"/>
      </w:rPr>
    </w:lvl>
    <w:lvl w:ilvl="1" w:tplc="0AF477C8">
      <w:start w:val="1"/>
      <w:numFmt w:val="bullet"/>
      <w:pStyle w:val="Bullet2"/>
      <w:lvlText w:val=""/>
      <w:lvlJc w:val="left"/>
      <w:pPr>
        <w:tabs>
          <w:tab w:val="num" w:pos="757"/>
        </w:tabs>
        <w:ind w:left="757" w:hanging="36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250F7820"/>
    <w:multiLevelType w:val="hybridMultilevel"/>
    <w:tmpl w:val="D55CE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BA25E9"/>
    <w:multiLevelType w:val="hybridMultilevel"/>
    <w:tmpl w:val="3A88BB9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29DB6BCC"/>
    <w:multiLevelType w:val="hybridMultilevel"/>
    <w:tmpl w:val="D09EFC82"/>
    <w:lvl w:ilvl="0" w:tplc="C106A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2421B5"/>
    <w:multiLevelType w:val="multilevel"/>
    <w:tmpl w:val="63368AE6"/>
    <w:styleLink w:val="List13"/>
    <w:lvl w:ilvl="0">
      <w:start w:val="1"/>
      <w:numFmt w:val="bullet"/>
      <w:lvlText w:val=""/>
      <w:lvlJc w:val="left"/>
      <w:rPr>
        <w:rFonts w:ascii="Symbol" w:hAnsi="Symbol" w:hint="default"/>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
    <w:nsid w:val="2ECB6B4C"/>
    <w:multiLevelType w:val="multilevel"/>
    <w:tmpl w:val="0A5E1B3C"/>
    <w:styleLink w:val="List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4">
    <w:nsid w:val="2F6D258E"/>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0944CD3"/>
    <w:multiLevelType w:val="multilevel"/>
    <w:tmpl w:val="203C2558"/>
    <w:styleLink w:val="List28"/>
    <w:lvl w:ilvl="0">
      <w:start w:val="5"/>
      <w:numFmt w:val="upperRoman"/>
      <w:lvlText w:val="%1."/>
      <w:lvlJc w:val="left"/>
      <w:rPr>
        <w:rFonts w:ascii="Times New Roman Bold" w:eastAsia="Times New Roman Bold" w:hAnsi="Times New Roman Bold" w:cs="Times New Roman Bold"/>
        <w:caps/>
        <w:position w:val="0"/>
      </w:rPr>
    </w:lvl>
    <w:lvl w:ilvl="1">
      <w:start w:val="1"/>
      <w:numFmt w:val="lowerLetter"/>
      <w:lvlText w:val="%2."/>
      <w:lvlJc w:val="left"/>
      <w:rPr>
        <w:rFonts w:ascii="Times New Roman Bold" w:eastAsia="Times New Roman Bold" w:hAnsi="Times New Roman Bold" w:cs="Times New Roman Bold"/>
        <w:caps/>
        <w:position w:val="0"/>
      </w:rPr>
    </w:lvl>
    <w:lvl w:ilvl="2">
      <w:start w:val="1"/>
      <w:numFmt w:val="lowerRoman"/>
      <w:lvlText w:val="%3."/>
      <w:lvlJc w:val="left"/>
      <w:rPr>
        <w:rFonts w:ascii="Times New Roman Bold" w:eastAsia="Times New Roman Bold" w:hAnsi="Times New Roman Bold" w:cs="Times New Roman Bold"/>
        <w:caps/>
        <w:position w:val="0"/>
      </w:rPr>
    </w:lvl>
    <w:lvl w:ilvl="3">
      <w:start w:val="1"/>
      <w:numFmt w:val="decimal"/>
      <w:lvlText w:val="%4."/>
      <w:lvlJc w:val="left"/>
      <w:rPr>
        <w:rFonts w:ascii="Times New Roman Bold" w:eastAsia="Times New Roman Bold" w:hAnsi="Times New Roman Bold" w:cs="Times New Roman Bold"/>
        <w:caps/>
        <w:position w:val="0"/>
      </w:rPr>
    </w:lvl>
    <w:lvl w:ilvl="4">
      <w:start w:val="1"/>
      <w:numFmt w:val="lowerLetter"/>
      <w:lvlText w:val="%5."/>
      <w:lvlJc w:val="left"/>
      <w:rPr>
        <w:rFonts w:ascii="Times New Roman Bold" w:eastAsia="Times New Roman Bold" w:hAnsi="Times New Roman Bold" w:cs="Times New Roman Bold"/>
        <w:caps/>
        <w:position w:val="0"/>
      </w:rPr>
    </w:lvl>
    <w:lvl w:ilvl="5">
      <w:start w:val="1"/>
      <w:numFmt w:val="lowerRoman"/>
      <w:lvlText w:val="%6."/>
      <w:lvlJc w:val="left"/>
      <w:rPr>
        <w:rFonts w:ascii="Times New Roman Bold" w:eastAsia="Times New Roman Bold" w:hAnsi="Times New Roman Bold" w:cs="Times New Roman Bold"/>
        <w:caps/>
        <w:position w:val="0"/>
      </w:rPr>
    </w:lvl>
    <w:lvl w:ilvl="6">
      <w:start w:val="1"/>
      <w:numFmt w:val="decimal"/>
      <w:lvlText w:val="%7."/>
      <w:lvlJc w:val="left"/>
      <w:rPr>
        <w:rFonts w:ascii="Times New Roman Bold" w:eastAsia="Times New Roman Bold" w:hAnsi="Times New Roman Bold" w:cs="Times New Roman Bold"/>
        <w:caps/>
        <w:position w:val="0"/>
      </w:rPr>
    </w:lvl>
    <w:lvl w:ilvl="7">
      <w:start w:val="1"/>
      <w:numFmt w:val="lowerLetter"/>
      <w:lvlText w:val="%8."/>
      <w:lvlJc w:val="left"/>
      <w:rPr>
        <w:rFonts w:ascii="Times New Roman Bold" w:eastAsia="Times New Roman Bold" w:hAnsi="Times New Roman Bold" w:cs="Times New Roman Bold"/>
        <w:caps/>
        <w:position w:val="0"/>
      </w:rPr>
    </w:lvl>
    <w:lvl w:ilvl="8">
      <w:start w:val="1"/>
      <w:numFmt w:val="lowerRoman"/>
      <w:lvlText w:val="%9."/>
      <w:lvlJc w:val="left"/>
      <w:rPr>
        <w:rFonts w:ascii="Times New Roman Bold" w:eastAsia="Times New Roman Bold" w:hAnsi="Times New Roman Bold" w:cs="Times New Roman Bold"/>
        <w:caps/>
        <w:position w:val="0"/>
      </w:rPr>
    </w:lvl>
  </w:abstractNum>
  <w:abstractNum w:abstractNumId="26">
    <w:nsid w:val="30F14EDE"/>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661181"/>
    <w:multiLevelType w:val="multilevel"/>
    <w:tmpl w:val="6B867380"/>
    <w:styleLink w:val="List1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8">
    <w:nsid w:val="35D61455"/>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5E5511C"/>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6953F12"/>
    <w:multiLevelType w:val="hybridMultilevel"/>
    <w:tmpl w:val="4C56F6C4"/>
    <w:lvl w:ilvl="0" w:tplc="49744898">
      <w:start w:val="1"/>
      <w:numFmt w:val="decimal"/>
      <w:lvlText w:val="%1."/>
      <w:lvlJc w:val="left"/>
      <w:pPr>
        <w:ind w:left="928" w:hanging="360"/>
      </w:pPr>
      <w:rPr>
        <w:rFonts w:ascii="Verdana" w:hAnsi="Verdana" w:hint="default"/>
        <w:b w:val="0"/>
        <w:sz w:val="20"/>
        <w:szCs w:val="2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nsid w:val="382E0188"/>
    <w:multiLevelType w:val="hybridMultilevel"/>
    <w:tmpl w:val="C78CCEDE"/>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392722"/>
    <w:multiLevelType w:val="multilevel"/>
    <w:tmpl w:val="ECB68AEE"/>
    <w:styleLink w:val="List2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3">
    <w:nsid w:val="3CEC6085"/>
    <w:multiLevelType w:val="multilevel"/>
    <w:tmpl w:val="28E6810C"/>
    <w:styleLink w:val="List24"/>
    <w:lvl w:ilvl="0">
      <w:numFmt w:val="bullet"/>
      <w:lvlText w:val="—"/>
      <w:lvlJc w:val="left"/>
      <w:pPr>
        <w:tabs>
          <w:tab w:val="num" w:pos="1134"/>
        </w:tabs>
        <w:ind w:left="1134" w:hanging="567"/>
      </w:pPr>
      <w:rPr>
        <w:position w:val="0"/>
        <w:sz w:val="24"/>
        <w:szCs w:val="24"/>
        <w:rtl w:val="0"/>
      </w:rPr>
    </w:lvl>
    <w:lvl w:ilvl="1">
      <w:start w:val="1"/>
      <w:numFmt w:val="bullet"/>
      <w:lvlText w:val="o"/>
      <w:lvlJc w:val="left"/>
      <w:pPr>
        <w:tabs>
          <w:tab w:val="num" w:pos="1410"/>
        </w:tabs>
        <w:ind w:left="1410" w:hanging="330"/>
      </w:pPr>
      <w:rPr>
        <w:position w:val="0"/>
        <w:sz w:val="22"/>
        <w:szCs w:val="22"/>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34">
    <w:nsid w:val="410A6753"/>
    <w:multiLevelType w:val="multilevel"/>
    <w:tmpl w:val="5E404E7C"/>
    <w:styleLink w:val="List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5">
    <w:nsid w:val="42771C53"/>
    <w:multiLevelType w:val="hybridMultilevel"/>
    <w:tmpl w:val="B1C2FECE"/>
    <w:lvl w:ilvl="0" w:tplc="7D583430">
      <w:start w:val="1"/>
      <w:numFmt w:val="bullet"/>
      <w:lvlText w:val=""/>
      <w:lvlJc w:val="left"/>
      <w:pPr>
        <w:tabs>
          <w:tab w:val="num" w:pos="516"/>
        </w:tabs>
        <w:ind w:left="515" w:hanging="515"/>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8C642E"/>
    <w:multiLevelType w:val="hybridMultilevel"/>
    <w:tmpl w:val="DD6CF876"/>
    <w:lvl w:ilvl="0" w:tplc="62B41C6C">
      <w:start w:val="1"/>
      <w:numFmt w:val="bullet"/>
      <w:lvlText w:val=""/>
      <w:lvlJc w:val="left"/>
      <w:pPr>
        <w:tabs>
          <w:tab w:val="num" w:pos="517"/>
        </w:tabs>
        <w:ind w:left="517" w:hanging="341"/>
      </w:pPr>
      <w:rPr>
        <w:rFonts w:ascii="Symbol" w:hAnsi="Symbol" w:hint="default"/>
        <w:sz w:val="20"/>
        <w:szCs w:val="20"/>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495C0F89"/>
    <w:multiLevelType w:val="multilevel"/>
    <w:tmpl w:val="563A46CC"/>
    <w:lvl w:ilvl="0">
      <w:start w:val="1"/>
      <w:numFmt w:val="decimal"/>
      <w:lvlText w:val="%1."/>
      <w:lvlJc w:val="left"/>
      <w:pPr>
        <w:ind w:left="928" w:hanging="360"/>
      </w:pPr>
      <w:rPr>
        <w:rFonts w:hint="default"/>
      </w:rPr>
    </w:lvl>
    <w:lvl w:ilvl="1">
      <w:start w:val="1"/>
      <w:numFmt w:val="lowerLetter"/>
      <w:lvlText w:val="%2)"/>
      <w:lvlJc w:val="left"/>
      <w:pPr>
        <w:ind w:left="1288" w:hanging="360"/>
      </w:pPr>
      <w:rPr>
        <w:rFonts w:hint="default"/>
      </w:rPr>
    </w:lvl>
    <w:lvl w:ilvl="2">
      <w:start w:val="1"/>
      <w:numFmt w:val="lowerRoman"/>
      <w:lvlText w:val="%3)"/>
      <w:lvlJc w:val="left"/>
      <w:pPr>
        <w:ind w:left="1648" w:hanging="360"/>
      </w:pPr>
      <w:rPr>
        <w:rFonts w:hint="default"/>
      </w:rPr>
    </w:lvl>
    <w:lvl w:ilvl="3">
      <w:start w:val="1"/>
      <w:numFmt w:val="decimal"/>
      <w:lvlText w:val="(%4)"/>
      <w:lvlJc w:val="left"/>
      <w:pPr>
        <w:ind w:left="2008" w:hanging="360"/>
      </w:pPr>
      <w:rPr>
        <w:rFonts w:hint="default"/>
      </w:rPr>
    </w:lvl>
    <w:lvl w:ilvl="4">
      <w:start w:val="1"/>
      <w:numFmt w:val="lowerLetter"/>
      <w:lvlText w:val="(%5)"/>
      <w:lvlJc w:val="left"/>
      <w:pPr>
        <w:ind w:left="2368" w:hanging="360"/>
      </w:pPr>
      <w:rPr>
        <w:rFonts w:hint="default"/>
      </w:rPr>
    </w:lvl>
    <w:lvl w:ilvl="5">
      <w:start w:val="1"/>
      <w:numFmt w:val="lowerRoman"/>
      <w:lvlText w:val="(%6)"/>
      <w:lvlJc w:val="left"/>
      <w:pPr>
        <w:ind w:left="2728" w:hanging="360"/>
      </w:pPr>
      <w:rPr>
        <w:rFonts w:hint="default"/>
      </w:rPr>
    </w:lvl>
    <w:lvl w:ilvl="6">
      <w:start w:val="1"/>
      <w:numFmt w:val="decimal"/>
      <w:lvlText w:val="%7."/>
      <w:lvlJc w:val="left"/>
      <w:pPr>
        <w:ind w:left="3088" w:hanging="360"/>
      </w:pPr>
      <w:rPr>
        <w:rFonts w:hint="default"/>
      </w:rPr>
    </w:lvl>
    <w:lvl w:ilvl="7">
      <w:start w:val="1"/>
      <w:numFmt w:val="lowerLetter"/>
      <w:lvlText w:val="%8."/>
      <w:lvlJc w:val="left"/>
      <w:pPr>
        <w:ind w:left="3448" w:hanging="360"/>
      </w:pPr>
      <w:rPr>
        <w:rFonts w:hint="default"/>
      </w:rPr>
    </w:lvl>
    <w:lvl w:ilvl="8">
      <w:start w:val="1"/>
      <w:numFmt w:val="lowerRoman"/>
      <w:lvlText w:val="%9."/>
      <w:lvlJc w:val="left"/>
      <w:pPr>
        <w:ind w:left="3808" w:hanging="360"/>
      </w:pPr>
      <w:rPr>
        <w:rFonts w:hint="default"/>
      </w:rPr>
    </w:lvl>
  </w:abstractNum>
  <w:abstractNum w:abstractNumId="38">
    <w:nsid w:val="4AA84F25"/>
    <w:multiLevelType w:val="hybridMultilevel"/>
    <w:tmpl w:val="161CA80E"/>
    <w:lvl w:ilvl="0" w:tplc="C3C03F68">
      <w:start w:val="1"/>
      <w:numFmt w:val="upperRoman"/>
      <w:lvlText w:val="%1."/>
      <w:lvlJc w:val="right"/>
      <w:pPr>
        <w:ind w:left="928" w:hanging="360"/>
      </w:pPr>
      <w:rPr>
        <w:b/>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9">
    <w:nsid w:val="4C5F0AC8"/>
    <w:multiLevelType w:val="multilevel"/>
    <w:tmpl w:val="9EE2BE62"/>
    <w:styleLink w:val="List22"/>
    <w:lvl w:ilvl="0">
      <w:start w:val="4"/>
      <w:numFmt w:val="upperRoman"/>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40">
    <w:nsid w:val="5086797A"/>
    <w:multiLevelType w:val="hybridMultilevel"/>
    <w:tmpl w:val="140A0C2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559F7465"/>
    <w:multiLevelType w:val="multilevel"/>
    <w:tmpl w:val="205485CA"/>
    <w:styleLink w:val="List1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2">
    <w:nsid w:val="55EE4AEE"/>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6C63EC6"/>
    <w:multiLevelType w:val="multilevel"/>
    <w:tmpl w:val="E89071D6"/>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4">
    <w:nsid w:val="580033BA"/>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AC16F13"/>
    <w:multiLevelType w:val="hybridMultilevel"/>
    <w:tmpl w:val="F620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EFC220E"/>
    <w:multiLevelType w:val="multilevel"/>
    <w:tmpl w:val="3B1C1F44"/>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7">
    <w:nsid w:val="6155468C"/>
    <w:multiLevelType w:val="multilevel"/>
    <w:tmpl w:val="79321A06"/>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8">
    <w:nsid w:val="6278577D"/>
    <w:multiLevelType w:val="multilevel"/>
    <w:tmpl w:val="6FE04AC6"/>
    <w:styleLink w:val="List25"/>
    <w:lvl w:ilvl="0">
      <w:start w:val="1"/>
      <w:numFmt w:val="bullet"/>
      <w:lvlText w:val="—"/>
      <w:lvlJc w:val="left"/>
      <w:pPr>
        <w:tabs>
          <w:tab w:val="num" w:pos="690"/>
        </w:tabs>
        <w:ind w:left="690" w:hanging="330"/>
      </w:pPr>
      <w:rPr>
        <w:position w:val="0"/>
        <w:sz w:val="22"/>
        <w:szCs w:val="22"/>
        <w:rtl w:val="0"/>
      </w:rPr>
    </w:lvl>
    <w:lvl w:ilvl="1">
      <w:numFmt w:val="bullet"/>
      <w:lvlText w:val="o"/>
      <w:lvlJc w:val="left"/>
      <w:pPr>
        <w:tabs>
          <w:tab w:val="num" w:pos="1843"/>
        </w:tabs>
        <w:ind w:left="1843" w:hanging="709"/>
      </w:pPr>
      <w:rPr>
        <w:position w:val="0"/>
        <w:sz w:val="24"/>
        <w:szCs w:val="24"/>
        <w:rtl w:val="0"/>
      </w:rPr>
    </w:lvl>
    <w:lvl w:ilvl="2">
      <w:start w:val="1"/>
      <w:numFmt w:val="bullet"/>
      <w:lvlText w:val="▪"/>
      <w:lvlJc w:val="left"/>
      <w:pPr>
        <w:tabs>
          <w:tab w:val="num" w:pos="2130"/>
        </w:tabs>
        <w:ind w:left="2130" w:hanging="330"/>
      </w:pPr>
      <w:rPr>
        <w:position w:val="0"/>
        <w:sz w:val="22"/>
        <w:szCs w:val="22"/>
        <w:rtl w:val="0"/>
      </w:rPr>
    </w:lvl>
    <w:lvl w:ilvl="3">
      <w:start w:val="1"/>
      <w:numFmt w:val="bullet"/>
      <w:lvlText w:val="•"/>
      <w:lvlJc w:val="left"/>
      <w:pPr>
        <w:tabs>
          <w:tab w:val="num" w:pos="2850"/>
        </w:tabs>
        <w:ind w:left="2850" w:hanging="330"/>
      </w:pPr>
      <w:rPr>
        <w:position w:val="0"/>
        <w:sz w:val="22"/>
        <w:szCs w:val="22"/>
        <w:rtl w:val="0"/>
      </w:rPr>
    </w:lvl>
    <w:lvl w:ilvl="4">
      <w:start w:val="1"/>
      <w:numFmt w:val="bullet"/>
      <w:lvlText w:val="o"/>
      <w:lvlJc w:val="left"/>
      <w:pPr>
        <w:tabs>
          <w:tab w:val="num" w:pos="3570"/>
        </w:tabs>
        <w:ind w:left="3570" w:hanging="330"/>
      </w:pPr>
      <w:rPr>
        <w:position w:val="0"/>
        <w:sz w:val="22"/>
        <w:szCs w:val="22"/>
        <w:rtl w:val="0"/>
      </w:rPr>
    </w:lvl>
    <w:lvl w:ilvl="5">
      <w:start w:val="1"/>
      <w:numFmt w:val="bullet"/>
      <w:lvlText w:val="▪"/>
      <w:lvlJc w:val="left"/>
      <w:pPr>
        <w:tabs>
          <w:tab w:val="num" w:pos="4290"/>
        </w:tabs>
        <w:ind w:left="4290" w:hanging="330"/>
      </w:pPr>
      <w:rPr>
        <w:position w:val="0"/>
        <w:sz w:val="22"/>
        <w:szCs w:val="22"/>
        <w:rtl w:val="0"/>
      </w:rPr>
    </w:lvl>
    <w:lvl w:ilvl="6">
      <w:start w:val="1"/>
      <w:numFmt w:val="bullet"/>
      <w:lvlText w:val="•"/>
      <w:lvlJc w:val="left"/>
      <w:pPr>
        <w:tabs>
          <w:tab w:val="num" w:pos="5010"/>
        </w:tabs>
        <w:ind w:left="5010" w:hanging="330"/>
      </w:pPr>
      <w:rPr>
        <w:position w:val="0"/>
        <w:sz w:val="22"/>
        <w:szCs w:val="22"/>
        <w:rtl w:val="0"/>
      </w:rPr>
    </w:lvl>
    <w:lvl w:ilvl="7">
      <w:start w:val="1"/>
      <w:numFmt w:val="bullet"/>
      <w:lvlText w:val="o"/>
      <w:lvlJc w:val="left"/>
      <w:pPr>
        <w:tabs>
          <w:tab w:val="num" w:pos="5730"/>
        </w:tabs>
        <w:ind w:left="5730" w:hanging="330"/>
      </w:pPr>
      <w:rPr>
        <w:position w:val="0"/>
        <w:sz w:val="22"/>
        <w:szCs w:val="22"/>
        <w:rtl w:val="0"/>
      </w:rPr>
    </w:lvl>
    <w:lvl w:ilvl="8">
      <w:start w:val="1"/>
      <w:numFmt w:val="bullet"/>
      <w:lvlText w:val="▪"/>
      <w:lvlJc w:val="left"/>
      <w:pPr>
        <w:tabs>
          <w:tab w:val="num" w:pos="6450"/>
        </w:tabs>
        <w:ind w:left="6450" w:hanging="330"/>
      </w:pPr>
      <w:rPr>
        <w:position w:val="0"/>
        <w:sz w:val="22"/>
        <w:szCs w:val="22"/>
        <w:rtl w:val="0"/>
      </w:rPr>
    </w:lvl>
  </w:abstractNum>
  <w:abstractNum w:abstractNumId="49">
    <w:nsid w:val="62B16359"/>
    <w:multiLevelType w:val="hybridMultilevel"/>
    <w:tmpl w:val="37AC40FE"/>
    <w:lvl w:ilvl="0" w:tplc="A3B27120">
      <w:start w:val="1"/>
      <w:numFmt w:val="bullet"/>
      <w:lvlText w:val=""/>
      <w:lvlJc w:val="left"/>
      <w:pPr>
        <w:tabs>
          <w:tab w:val="num" w:pos="720"/>
        </w:tabs>
        <w:ind w:left="720" w:hanging="36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6C442AD"/>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8F53CEF"/>
    <w:multiLevelType w:val="hybridMultilevel"/>
    <w:tmpl w:val="908850E6"/>
    <w:lvl w:ilvl="0" w:tplc="1C821AE0">
      <w:start w:val="1"/>
      <w:numFmt w:val="upp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691A4632"/>
    <w:multiLevelType w:val="multilevel"/>
    <w:tmpl w:val="06E02AD4"/>
    <w:styleLink w:val="Numbers"/>
    <w:lvl w:ilvl="0">
      <w:start w:val="1"/>
      <w:numFmt w:val="decimal"/>
      <w:lvlText w:val="%1."/>
      <w:lvlJc w:val="left"/>
      <w:pPr>
        <w:tabs>
          <w:tab w:val="num" w:pos="851"/>
        </w:tabs>
        <w:ind w:left="964" w:hanging="680"/>
      </w:pPr>
      <w:rPr>
        <w:rFonts w:hint="default"/>
        <w:sz w:val="20"/>
        <w:szCs w:val="24"/>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3">
    <w:nsid w:val="6AC85AF2"/>
    <w:multiLevelType w:val="multilevel"/>
    <w:tmpl w:val="8F6A3C30"/>
    <w:styleLink w:val="List6"/>
    <w:lvl w:ilvl="0">
      <w:numFmt w:val="bullet"/>
      <w:lvlText w:val="-"/>
      <w:lvlJc w:val="left"/>
      <w:pPr>
        <w:tabs>
          <w:tab w:val="num" w:pos="714"/>
        </w:tabs>
        <w:ind w:left="714" w:hanging="357"/>
      </w:pPr>
      <w:rPr>
        <w:position w:val="0"/>
        <w:sz w:val="24"/>
        <w:szCs w:val="24"/>
        <w:rtl w:val="0"/>
      </w:rPr>
    </w:lvl>
    <w:lvl w:ilvl="1">
      <w:start w:val="1"/>
      <w:numFmt w:val="bullet"/>
      <w:lvlText w:val="o"/>
      <w:lvlJc w:val="left"/>
      <w:pPr>
        <w:tabs>
          <w:tab w:val="num" w:pos="1380"/>
        </w:tabs>
        <w:ind w:left="1380" w:hanging="300"/>
      </w:pPr>
      <w:rPr>
        <w:position w:val="0"/>
        <w:sz w:val="20"/>
        <w:szCs w:val="20"/>
        <w:rtl w:val="0"/>
      </w:rPr>
    </w:lvl>
    <w:lvl w:ilvl="2">
      <w:start w:val="1"/>
      <w:numFmt w:val="bullet"/>
      <w:lvlText w:val="▪"/>
      <w:lvlJc w:val="left"/>
      <w:pPr>
        <w:tabs>
          <w:tab w:val="num" w:pos="2100"/>
        </w:tabs>
        <w:ind w:left="2100" w:hanging="300"/>
      </w:pPr>
      <w:rPr>
        <w:position w:val="0"/>
        <w:sz w:val="20"/>
        <w:szCs w:val="20"/>
        <w:rtl w:val="0"/>
      </w:rPr>
    </w:lvl>
    <w:lvl w:ilvl="3">
      <w:start w:val="1"/>
      <w:numFmt w:val="bullet"/>
      <w:lvlText w:val="•"/>
      <w:lvlJc w:val="left"/>
      <w:pPr>
        <w:tabs>
          <w:tab w:val="num" w:pos="2820"/>
        </w:tabs>
        <w:ind w:left="2820" w:hanging="300"/>
      </w:pPr>
      <w:rPr>
        <w:position w:val="0"/>
        <w:sz w:val="20"/>
        <w:szCs w:val="20"/>
        <w:rtl w:val="0"/>
      </w:rPr>
    </w:lvl>
    <w:lvl w:ilvl="4">
      <w:start w:val="1"/>
      <w:numFmt w:val="bullet"/>
      <w:lvlText w:val="o"/>
      <w:lvlJc w:val="left"/>
      <w:pPr>
        <w:tabs>
          <w:tab w:val="num" w:pos="3540"/>
        </w:tabs>
        <w:ind w:left="3540" w:hanging="300"/>
      </w:pPr>
      <w:rPr>
        <w:position w:val="0"/>
        <w:sz w:val="20"/>
        <w:szCs w:val="20"/>
        <w:rtl w:val="0"/>
      </w:rPr>
    </w:lvl>
    <w:lvl w:ilvl="5">
      <w:start w:val="1"/>
      <w:numFmt w:val="bullet"/>
      <w:lvlText w:val="▪"/>
      <w:lvlJc w:val="left"/>
      <w:pPr>
        <w:tabs>
          <w:tab w:val="num" w:pos="4260"/>
        </w:tabs>
        <w:ind w:left="4260" w:hanging="300"/>
      </w:pPr>
      <w:rPr>
        <w:position w:val="0"/>
        <w:sz w:val="20"/>
        <w:szCs w:val="20"/>
        <w:rtl w:val="0"/>
      </w:rPr>
    </w:lvl>
    <w:lvl w:ilvl="6">
      <w:start w:val="1"/>
      <w:numFmt w:val="bullet"/>
      <w:lvlText w:val="•"/>
      <w:lvlJc w:val="left"/>
      <w:pPr>
        <w:tabs>
          <w:tab w:val="num" w:pos="4980"/>
        </w:tabs>
        <w:ind w:left="4980" w:hanging="300"/>
      </w:pPr>
      <w:rPr>
        <w:position w:val="0"/>
        <w:sz w:val="20"/>
        <w:szCs w:val="20"/>
        <w:rtl w:val="0"/>
      </w:rPr>
    </w:lvl>
    <w:lvl w:ilvl="7">
      <w:start w:val="1"/>
      <w:numFmt w:val="bullet"/>
      <w:lvlText w:val="o"/>
      <w:lvlJc w:val="left"/>
      <w:pPr>
        <w:tabs>
          <w:tab w:val="num" w:pos="5700"/>
        </w:tabs>
        <w:ind w:left="5700" w:hanging="300"/>
      </w:pPr>
      <w:rPr>
        <w:position w:val="0"/>
        <w:sz w:val="20"/>
        <w:szCs w:val="20"/>
        <w:rtl w:val="0"/>
      </w:rPr>
    </w:lvl>
    <w:lvl w:ilvl="8">
      <w:start w:val="1"/>
      <w:numFmt w:val="bullet"/>
      <w:lvlText w:val="▪"/>
      <w:lvlJc w:val="left"/>
      <w:pPr>
        <w:tabs>
          <w:tab w:val="num" w:pos="6420"/>
        </w:tabs>
        <w:ind w:left="6420" w:hanging="300"/>
      </w:pPr>
      <w:rPr>
        <w:position w:val="0"/>
        <w:sz w:val="20"/>
        <w:szCs w:val="20"/>
        <w:rtl w:val="0"/>
      </w:rPr>
    </w:lvl>
  </w:abstractNum>
  <w:abstractNum w:abstractNumId="54">
    <w:nsid w:val="6AEA58F6"/>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0D60538"/>
    <w:multiLevelType w:val="multilevel"/>
    <w:tmpl w:val="E932BBB8"/>
    <w:styleLink w:val="List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6">
    <w:nsid w:val="718F43ED"/>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2FB55D5"/>
    <w:multiLevelType w:val="multilevel"/>
    <w:tmpl w:val="C3726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47461AC"/>
    <w:multiLevelType w:val="hybridMultilevel"/>
    <w:tmpl w:val="7A8CB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7473BAD"/>
    <w:multiLevelType w:val="multilevel"/>
    <w:tmpl w:val="A2088A78"/>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0">
    <w:nsid w:val="78372725"/>
    <w:multiLevelType w:val="multilevel"/>
    <w:tmpl w:val="D7C6506E"/>
    <w:styleLink w:val="List1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1">
    <w:nsid w:val="798F398C"/>
    <w:multiLevelType w:val="multilevel"/>
    <w:tmpl w:val="DC1EEECC"/>
    <w:styleLink w:val="List16"/>
    <w:lvl w:ilvl="0">
      <w:start w:val="1"/>
      <w:numFmt w:val="bullet"/>
      <w:lvlText w:val=""/>
      <w:lvlJc w:val="left"/>
      <w:rPr>
        <w:rFonts w:ascii="Wingdings" w:hAnsi="Wingdings" w:hint="default"/>
        <w:i/>
        <w:iCs/>
        <w:position w:val="0"/>
        <w:rtl w:val="0"/>
      </w:rPr>
    </w:lvl>
    <w:lvl w:ilvl="1">
      <w:start w:val="1"/>
      <w:numFmt w:val="lowerLetter"/>
      <w:lvlText w:val="%2."/>
      <w:lvlJc w:val="left"/>
      <w:rPr>
        <w:i/>
        <w:iCs/>
        <w:position w:val="0"/>
        <w:rtl w:val="0"/>
      </w:rPr>
    </w:lvl>
    <w:lvl w:ilvl="2">
      <w:start w:val="1"/>
      <w:numFmt w:val="lowerRoman"/>
      <w:lvlText w:val="%3."/>
      <w:lvlJc w:val="left"/>
      <w:rPr>
        <w:i/>
        <w:iCs/>
        <w:position w:val="0"/>
        <w:rtl w:val="0"/>
      </w:rPr>
    </w:lvl>
    <w:lvl w:ilvl="3">
      <w:start w:val="1"/>
      <w:numFmt w:val="decimal"/>
      <w:lvlText w:val="%4."/>
      <w:lvlJc w:val="left"/>
      <w:rPr>
        <w:i/>
        <w:iCs/>
        <w:position w:val="0"/>
        <w:rtl w:val="0"/>
      </w:rPr>
    </w:lvl>
    <w:lvl w:ilvl="4">
      <w:start w:val="1"/>
      <w:numFmt w:val="lowerLetter"/>
      <w:lvlText w:val="%5."/>
      <w:lvlJc w:val="left"/>
      <w:rPr>
        <w:i/>
        <w:iCs/>
        <w:position w:val="0"/>
        <w:rtl w:val="0"/>
      </w:rPr>
    </w:lvl>
    <w:lvl w:ilvl="5">
      <w:start w:val="1"/>
      <w:numFmt w:val="lowerRoman"/>
      <w:lvlText w:val="%6."/>
      <w:lvlJc w:val="left"/>
      <w:rPr>
        <w:i/>
        <w:iCs/>
        <w:position w:val="0"/>
        <w:rtl w:val="0"/>
      </w:rPr>
    </w:lvl>
    <w:lvl w:ilvl="6">
      <w:start w:val="1"/>
      <w:numFmt w:val="decimal"/>
      <w:lvlText w:val="%7."/>
      <w:lvlJc w:val="left"/>
      <w:rPr>
        <w:i/>
        <w:iCs/>
        <w:position w:val="0"/>
        <w:rtl w:val="0"/>
      </w:rPr>
    </w:lvl>
    <w:lvl w:ilvl="7">
      <w:start w:val="1"/>
      <w:numFmt w:val="lowerLetter"/>
      <w:lvlText w:val="%8."/>
      <w:lvlJc w:val="left"/>
      <w:rPr>
        <w:i/>
        <w:iCs/>
        <w:position w:val="0"/>
        <w:rtl w:val="0"/>
      </w:rPr>
    </w:lvl>
    <w:lvl w:ilvl="8">
      <w:start w:val="1"/>
      <w:numFmt w:val="lowerRoman"/>
      <w:lvlText w:val="%9."/>
      <w:lvlJc w:val="left"/>
      <w:rPr>
        <w:i/>
        <w:iCs/>
        <w:position w:val="0"/>
        <w:rtl w:val="0"/>
      </w:rPr>
    </w:lvl>
  </w:abstractNum>
  <w:abstractNum w:abstractNumId="62">
    <w:nsid w:val="7B7C1194"/>
    <w:multiLevelType w:val="multilevel"/>
    <w:tmpl w:val="204697EA"/>
    <w:styleLink w:val="List1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47"/>
  </w:num>
  <w:num w:numId="2">
    <w:abstractNumId w:val="3"/>
  </w:num>
  <w:num w:numId="3">
    <w:abstractNumId w:val="5"/>
  </w:num>
  <w:num w:numId="4">
    <w:abstractNumId w:val="43"/>
  </w:num>
  <w:num w:numId="5">
    <w:abstractNumId w:val="53"/>
  </w:num>
  <w:num w:numId="6">
    <w:abstractNumId w:val="23"/>
  </w:num>
  <w:num w:numId="7">
    <w:abstractNumId w:val="15"/>
  </w:num>
  <w:num w:numId="8">
    <w:abstractNumId w:val="55"/>
  </w:num>
  <w:num w:numId="9">
    <w:abstractNumId w:val="46"/>
  </w:num>
  <w:num w:numId="10">
    <w:abstractNumId w:val="34"/>
  </w:num>
  <w:num w:numId="11">
    <w:abstractNumId w:val="0"/>
  </w:num>
  <w:num w:numId="12">
    <w:abstractNumId w:val="22"/>
  </w:num>
  <w:num w:numId="13">
    <w:abstractNumId w:val="27"/>
  </w:num>
  <w:num w:numId="14">
    <w:abstractNumId w:val="60"/>
  </w:num>
  <w:num w:numId="15">
    <w:abstractNumId w:val="61"/>
  </w:num>
  <w:num w:numId="16">
    <w:abstractNumId w:val="62"/>
  </w:num>
  <w:num w:numId="17">
    <w:abstractNumId w:val="41"/>
  </w:num>
  <w:num w:numId="18">
    <w:abstractNumId w:val="59"/>
    <w:lvlOverride w:ilvl="0">
      <w:lvl w:ilvl="0">
        <w:numFmt w:val="bullet"/>
        <w:lvlText w:val="➢"/>
        <w:lvlJc w:val="left"/>
        <w:rPr>
          <w:position w:val="0"/>
          <w:sz w:val="24"/>
          <w:szCs w:val="24"/>
          <w:rtl w:val="0"/>
        </w:rPr>
      </w:lvl>
    </w:lvlOverride>
  </w:num>
  <w:num w:numId="19">
    <w:abstractNumId w:val="39"/>
  </w:num>
  <w:num w:numId="20">
    <w:abstractNumId w:val="33"/>
  </w:num>
  <w:num w:numId="21">
    <w:abstractNumId w:val="17"/>
  </w:num>
  <w:num w:numId="22">
    <w:abstractNumId w:val="25"/>
  </w:num>
  <w:num w:numId="23">
    <w:abstractNumId w:val="2"/>
  </w:num>
  <w:num w:numId="24">
    <w:abstractNumId w:val="35"/>
  </w:num>
  <w:num w:numId="25">
    <w:abstractNumId w:val="1"/>
  </w:num>
  <w:num w:numId="26">
    <w:abstractNumId w:val="4"/>
  </w:num>
  <w:num w:numId="27">
    <w:abstractNumId w:val="12"/>
  </w:num>
  <w:num w:numId="28">
    <w:abstractNumId w:val="13"/>
  </w:num>
  <w:num w:numId="29">
    <w:abstractNumId w:val="32"/>
  </w:num>
  <w:num w:numId="30">
    <w:abstractNumId w:val="48"/>
  </w:num>
  <w:num w:numId="31">
    <w:abstractNumId w:val="37"/>
  </w:num>
  <w:num w:numId="32">
    <w:abstractNumId w:val="20"/>
  </w:num>
  <w:num w:numId="33">
    <w:abstractNumId w:val="40"/>
  </w:num>
  <w:num w:numId="34">
    <w:abstractNumId w:val="36"/>
  </w:num>
  <w:num w:numId="35">
    <w:abstractNumId w:val="45"/>
  </w:num>
  <w:num w:numId="36">
    <w:abstractNumId w:val="21"/>
  </w:num>
  <w:num w:numId="37">
    <w:abstractNumId w:val="31"/>
  </w:num>
  <w:num w:numId="38">
    <w:abstractNumId w:val="14"/>
  </w:num>
  <w:num w:numId="39">
    <w:abstractNumId w:val="18"/>
  </w:num>
  <w:num w:numId="40">
    <w:abstractNumId w:val="52"/>
  </w:num>
  <w:num w:numId="41">
    <w:abstractNumId w:val="8"/>
  </w:num>
  <w:num w:numId="42">
    <w:abstractNumId w:val="19"/>
  </w:num>
  <w:num w:numId="43">
    <w:abstractNumId w:val="49"/>
  </w:num>
  <w:num w:numId="44">
    <w:abstractNumId w:val="7"/>
  </w:num>
  <w:num w:numId="45">
    <w:abstractNumId w:val="50"/>
  </w:num>
  <w:num w:numId="46">
    <w:abstractNumId w:val="16"/>
  </w:num>
  <w:num w:numId="47">
    <w:abstractNumId w:val="28"/>
  </w:num>
  <w:num w:numId="48">
    <w:abstractNumId w:val="26"/>
  </w:num>
  <w:num w:numId="49">
    <w:abstractNumId w:val="54"/>
  </w:num>
  <w:num w:numId="50">
    <w:abstractNumId w:val="9"/>
  </w:num>
  <w:num w:numId="51">
    <w:abstractNumId w:val="6"/>
  </w:num>
  <w:num w:numId="52">
    <w:abstractNumId w:val="11"/>
  </w:num>
  <w:num w:numId="53">
    <w:abstractNumId w:val="42"/>
  </w:num>
  <w:num w:numId="54">
    <w:abstractNumId w:val="44"/>
  </w:num>
  <w:num w:numId="55">
    <w:abstractNumId w:val="29"/>
  </w:num>
  <w:num w:numId="56">
    <w:abstractNumId w:val="57"/>
  </w:num>
  <w:num w:numId="57">
    <w:abstractNumId w:val="10"/>
  </w:num>
  <w:num w:numId="58">
    <w:abstractNumId w:val="56"/>
  </w:num>
  <w:num w:numId="59">
    <w:abstractNumId w:val="24"/>
  </w:num>
  <w:num w:numId="60">
    <w:abstractNumId w:val="58"/>
  </w:num>
  <w:num w:numId="61">
    <w:abstractNumId w:val="38"/>
  </w:num>
  <w:num w:numId="62">
    <w:abstractNumId w:val="51"/>
  </w:num>
  <w:num w:numId="63">
    <w:abstractNumId w:val="59"/>
  </w:num>
  <w:num w:numId="64">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EE2"/>
    <w:rsid w:val="00002CDF"/>
    <w:rsid w:val="00002F3A"/>
    <w:rsid w:val="00004150"/>
    <w:rsid w:val="000111D1"/>
    <w:rsid w:val="000119E7"/>
    <w:rsid w:val="000161C0"/>
    <w:rsid w:val="00022030"/>
    <w:rsid w:val="0003497D"/>
    <w:rsid w:val="00037184"/>
    <w:rsid w:val="00052C20"/>
    <w:rsid w:val="000740DF"/>
    <w:rsid w:val="00092204"/>
    <w:rsid w:val="00094A7A"/>
    <w:rsid w:val="000A63B6"/>
    <w:rsid w:val="000D4B17"/>
    <w:rsid w:val="000D779F"/>
    <w:rsid w:val="000E750B"/>
    <w:rsid w:val="00100B72"/>
    <w:rsid w:val="001016A5"/>
    <w:rsid w:val="001127E5"/>
    <w:rsid w:val="001257F0"/>
    <w:rsid w:val="00133A94"/>
    <w:rsid w:val="00140FA5"/>
    <w:rsid w:val="00142B8E"/>
    <w:rsid w:val="00162EE2"/>
    <w:rsid w:val="0016720A"/>
    <w:rsid w:val="00173F05"/>
    <w:rsid w:val="001742C6"/>
    <w:rsid w:val="00190F50"/>
    <w:rsid w:val="001A7D38"/>
    <w:rsid w:val="001B5A22"/>
    <w:rsid w:val="001D16B9"/>
    <w:rsid w:val="001E5F8C"/>
    <w:rsid w:val="001E73FC"/>
    <w:rsid w:val="001E778C"/>
    <w:rsid w:val="001E7F83"/>
    <w:rsid w:val="001F3DC5"/>
    <w:rsid w:val="002160DA"/>
    <w:rsid w:val="00223E8F"/>
    <w:rsid w:val="00226560"/>
    <w:rsid w:val="0023021E"/>
    <w:rsid w:val="00236D0F"/>
    <w:rsid w:val="002379AB"/>
    <w:rsid w:val="00247F1F"/>
    <w:rsid w:val="0025031F"/>
    <w:rsid w:val="00253102"/>
    <w:rsid w:val="00257C63"/>
    <w:rsid w:val="0029616A"/>
    <w:rsid w:val="00296E8E"/>
    <w:rsid w:val="002B2330"/>
    <w:rsid w:val="002D1BFD"/>
    <w:rsid w:val="002E7AE2"/>
    <w:rsid w:val="002F69BC"/>
    <w:rsid w:val="002F69E0"/>
    <w:rsid w:val="0033112A"/>
    <w:rsid w:val="00341C4A"/>
    <w:rsid w:val="0034489A"/>
    <w:rsid w:val="00344A79"/>
    <w:rsid w:val="00354494"/>
    <w:rsid w:val="00364159"/>
    <w:rsid w:val="003654AF"/>
    <w:rsid w:val="003749B4"/>
    <w:rsid w:val="0038144B"/>
    <w:rsid w:val="0038185E"/>
    <w:rsid w:val="003A4781"/>
    <w:rsid w:val="003C7011"/>
    <w:rsid w:val="003E2E43"/>
    <w:rsid w:val="003E7BC0"/>
    <w:rsid w:val="003F2570"/>
    <w:rsid w:val="00403CEB"/>
    <w:rsid w:val="00423CBC"/>
    <w:rsid w:val="00430F99"/>
    <w:rsid w:val="00431E6B"/>
    <w:rsid w:val="00447EDC"/>
    <w:rsid w:val="00451D2E"/>
    <w:rsid w:val="00454DA8"/>
    <w:rsid w:val="00461327"/>
    <w:rsid w:val="00463A20"/>
    <w:rsid w:val="004857E7"/>
    <w:rsid w:val="00485814"/>
    <w:rsid w:val="00496A2A"/>
    <w:rsid w:val="004D5226"/>
    <w:rsid w:val="004F29D1"/>
    <w:rsid w:val="004F2FED"/>
    <w:rsid w:val="00502895"/>
    <w:rsid w:val="00511338"/>
    <w:rsid w:val="00514C84"/>
    <w:rsid w:val="005536B7"/>
    <w:rsid w:val="0056533B"/>
    <w:rsid w:val="00582211"/>
    <w:rsid w:val="005A1CCC"/>
    <w:rsid w:val="005B4DFF"/>
    <w:rsid w:val="005D6601"/>
    <w:rsid w:val="006075DC"/>
    <w:rsid w:val="00630FE8"/>
    <w:rsid w:val="006459D3"/>
    <w:rsid w:val="00657A84"/>
    <w:rsid w:val="0066540E"/>
    <w:rsid w:val="00666C74"/>
    <w:rsid w:val="0068473C"/>
    <w:rsid w:val="00687D69"/>
    <w:rsid w:val="00694267"/>
    <w:rsid w:val="006A6FEC"/>
    <w:rsid w:val="006B6ECD"/>
    <w:rsid w:val="006C0CC1"/>
    <w:rsid w:val="006C5D9B"/>
    <w:rsid w:val="006D4D4F"/>
    <w:rsid w:val="006E05F8"/>
    <w:rsid w:val="006F31E0"/>
    <w:rsid w:val="007363A3"/>
    <w:rsid w:val="00744466"/>
    <w:rsid w:val="00752317"/>
    <w:rsid w:val="00755CA5"/>
    <w:rsid w:val="00757D34"/>
    <w:rsid w:val="007712B9"/>
    <w:rsid w:val="00771E89"/>
    <w:rsid w:val="007963B7"/>
    <w:rsid w:val="007B2B3E"/>
    <w:rsid w:val="007D6578"/>
    <w:rsid w:val="007E4EB0"/>
    <w:rsid w:val="007F1F3F"/>
    <w:rsid w:val="007F4DB8"/>
    <w:rsid w:val="007F66F9"/>
    <w:rsid w:val="00805B57"/>
    <w:rsid w:val="008109F6"/>
    <w:rsid w:val="008317FF"/>
    <w:rsid w:val="00836444"/>
    <w:rsid w:val="00850039"/>
    <w:rsid w:val="00852F86"/>
    <w:rsid w:val="00865946"/>
    <w:rsid w:val="008768E5"/>
    <w:rsid w:val="00896A73"/>
    <w:rsid w:val="008C106F"/>
    <w:rsid w:val="008C1451"/>
    <w:rsid w:val="008C2667"/>
    <w:rsid w:val="008D0301"/>
    <w:rsid w:val="008E53B4"/>
    <w:rsid w:val="008F3B6E"/>
    <w:rsid w:val="0091724A"/>
    <w:rsid w:val="0093759C"/>
    <w:rsid w:val="00952BC8"/>
    <w:rsid w:val="0097342F"/>
    <w:rsid w:val="0098503A"/>
    <w:rsid w:val="009925AE"/>
    <w:rsid w:val="009A25BD"/>
    <w:rsid w:val="009B1CBC"/>
    <w:rsid w:val="009B2172"/>
    <w:rsid w:val="009B66D3"/>
    <w:rsid w:val="009C57E0"/>
    <w:rsid w:val="009D7941"/>
    <w:rsid w:val="009E2663"/>
    <w:rsid w:val="009F0CA5"/>
    <w:rsid w:val="009F2668"/>
    <w:rsid w:val="009F4D6F"/>
    <w:rsid w:val="00A04330"/>
    <w:rsid w:val="00A06C39"/>
    <w:rsid w:val="00A21671"/>
    <w:rsid w:val="00A24110"/>
    <w:rsid w:val="00A31B4F"/>
    <w:rsid w:val="00A40551"/>
    <w:rsid w:val="00A76D24"/>
    <w:rsid w:val="00A93DC7"/>
    <w:rsid w:val="00A963E4"/>
    <w:rsid w:val="00AA1E23"/>
    <w:rsid w:val="00AA6518"/>
    <w:rsid w:val="00AB57AE"/>
    <w:rsid w:val="00AB64C4"/>
    <w:rsid w:val="00AF1B59"/>
    <w:rsid w:val="00B06DFF"/>
    <w:rsid w:val="00B449CC"/>
    <w:rsid w:val="00B64558"/>
    <w:rsid w:val="00B82650"/>
    <w:rsid w:val="00B8498F"/>
    <w:rsid w:val="00B9770F"/>
    <w:rsid w:val="00BB47E6"/>
    <w:rsid w:val="00BC6F96"/>
    <w:rsid w:val="00BD587A"/>
    <w:rsid w:val="00C043AF"/>
    <w:rsid w:val="00C244A5"/>
    <w:rsid w:val="00C3393C"/>
    <w:rsid w:val="00C374CB"/>
    <w:rsid w:val="00C41ED1"/>
    <w:rsid w:val="00C61409"/>
    <w:rsid w:val="00C74E41"/>
    <w:rsid w:val="00C85887"/>
    <w:rsid w:val="00C872BE"/>
    <w:rsid w:val="00C95409"/>
    <w:rsid w:val="00C95F2F"/>
    <w:rsid w:val="00C95FFA"/>
    <w:rsid w:val="00CA19A4"/>
    <w:rsid w:val="00CA6A6A"/>
    <w:rsid w:val="00CB3920"/>
    <w:rsid w:val="00CE6475"/>
    <w:rsid w:val="00D075DE"/>
    <w:rsid w:val="00D13B01"/>
    <w:rsid w:val="00D32DD5"/>
    <w:rsid w:val="00D50537"/>
    <w:rsid w:val="00D61531"/>
    <w:rsid w:val="00D752D7"/>
    <w:rsid w:val="00D77A27"/>
    <w:rsid w:val="00D8024E"/>
    <w:rsid w:val="00DA3CDA"/>
    <w:rsid w:val="00DA647D"/>
    <w:rsid w:val="00DC22AA"/>
    <w:rsid w:val="00DC3438"/>
    <w:rsid w:val="00DC5ED1"/>
    <w:rsid w:val="00DC7092"/>
    <w:rsid w:val="00DE56F8"/>
    <w:rsid w:val="00DF6D09"/>
    <w:rsid w:val="00E012CD"/>
    <w:rsid w:val="00E05321"/>
    <w:rsid w:val="00E111C8"/>
    <w:rsid w:val="00E12728"/>
    <w:rsid w:val="00E13F83"/>
    <w:rsid w:val="00E25D22"/>
    <w:rsid w:val="00E41ACC"/>
    <w:rsid w:val="00E526D8"/>
    <w:rsid w:val="00E6073B"/>
    <w:rsid w:val="00E61822"/>
    <w:rsid w:val="00E628F3"/>
    <w:rsid w:val="00E97345"/>
    <w:rsid w:val="00EA6649"/>
    <w:rsid w:val="00EB1747"/>
    <w:rsid w:val="00EB3531"/>
    <w:rsid w:val="00EE58B6"/>
    <w:rsid w:val="00F03DFD"/>
    <w:rsid w:val="00F10CFD"/>
    <w:rsid w:val="00F162A5"/>
    <w:rsid w:val="00F610A8"/>
    <w:rsid w:val="00F800B1"/>
    <w:rsid w:val="00F81CE6"/>
    <w:rsid w:val="00FA24D2"/>
    <w:rsid w:val="00FA342D"/>
    <w:rsid w:val="00FA51D5"/>
    <w:rsid w:val="00FD05C4"/>
    <w:rsid w:val="00FD244D"/>
    <w:rsid w:val="00FD3533"/>
    <w:rsid w:val="00FE658A"/>
    <w:rsid w:val="00FE724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878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EE2"/>
    <w:pPr>
      <w:pBdr>
        <w:top w:val="nil"/>
        <w:left w:val="nil"/>
        <w:bottom w:val="nil"/>
        <w:right w:val="nil"/>
        <w:between w:val="nil"/>
        <w:bar w:val="nil"/>
      </w:pBdr>
    </w:pPr>
    <w:rPr>
      <w:rFonts w:ascii="Times New Roman" w:eastAsia="Arial Unicode MS" w:hAnsi="Times New Roman"/>
      <w:sz w:val="24"/>
      <w:szCs w:val="24"/>
      <w:bdr w:val="nil"/>
      <w:lang w:val="en-US"/>
    </w:rPr>
  </w:style>
  <w:style w:type="paragraph" w:styleId="Heading1">
    <w:name w:val="heading 1"/>
    <w:basedOn w:val="Normal"/>
    <w:next w:val="Normal"/>
    <w:link w:val="Heading1Char"/>
    <w:qFormat/>
    <w:rsid w:val="00162EE2"/>
    <w:pPr>
      <w:keepNext/>
      <w:keepLines/>
      <w:spacing w:before="48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unhideWhenUsed/>
    <w:qFormat/>
    <w:rsid w:val="00162EE2"/>
    <w:pPr>
      <w:keepNext/>
      <w:spacing w:before="240" w:after="60"/>
      <w:outlineLvl w:val="1"/>
    </w:pPr>
    <w:rPr>
      <w:rFonts w:ascii="Calibri" w:eastAsia="ＭＳ ゴシック" w:hAnsi="Calibri"/>
      <w:b/>
      <w:bCs/>
      <w:i/>
      <w:iCs/>
      <w:sz w:val="28"/>
      <w:szCs w:val="28"/>
    </w:rPr>
  </w:style>
  <w:style w:type="paragraph" w:styleId="Heading3">
    <w:name w:val="heading 3"/>
    <w:next w:val="BodyText"/>
    <w:link w:val="Heading3Char"/>
    <w:qFormat/>
    <w:rsid w:val="00162EE2"/>
    <w:pPr>
      <w:keepNext/>
      <w:pBdr>
        <w:top w:val="nil"/>
        <w:left w:val="nil"/>
        <w:bottom w:val="nil"/>
        <w:right w:val="nil"/>
        <w:between w:val="nil"/>
        <w:bar w:val="nil"/>
      </w:pBdr>
      <w:spacing w:before="180" w:after="60"/>
      <w:outlineLvl w:val="2"/>
    </w:pPr>
    <w:rPr>
      <w:rFonts w:ascii="DINPro-Medium" w:eastAsia="DINPro-Medium" w:hAnsi="DINPro-Medium" w:cs="DINPro-Medium"/>
      <w:color w:val="000000"/>
      <w:sz w:val="22"/>
      <w:szCs w:val="22"/>
      <w:u w:color="000000"/>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62EE2"/>
    <w:rPr>
      <w:rFonts w:ascii="Cambria" w:eastAsia="MS Gothic" w:hAnsi="Cambria" w:cs="Times New Roman"/>
      <w:b/>
      <w:bCs/>
      <w:color w:val="365F91"/>
      <w:sz w:val="28"/>
      <w:szCs w:val="28"/>
      <w:bdr w:val="nil"/>
    </w:rPr>
  </w:style>
  <w:style w:type="character" w:customStyle="1" w:styleId="Heading2Char">
    <w:name w:val="Heading 2 Char"/>
    <w:link w:val="Heading2"/>
    <w:uiPriority w:val="9"/>
    <w:rsid w:val="00162EE2"/>
    <w:rPr>
      <w:rFonts w:ascii="Calibri" w:eastAsia="ＭＳ ゴシック" w:hAnsi="Calibri" w:cs="Times New Roman"/>
      <w:b/>
      <w:bCs/>
      <w:i/>
      <w:iCs/>
      <w:sz w:val="28"/>
      <w:szCs w:val="28"/>
      <w:bdr w:val="nil"/>
    </w:rPr>
  </w:style>
  <w:style w:type="character" w:customStyle="1" w:styleId="Heading3Char">
    <w:name w:val="Heading 3 Char"/>
    <w:link w:val="Heading3"/>
    <w:rsid w:val="00162EE2"/>
    <w:rPr>
      <w:rFonts w:ascii="DINPro-Medium" w:eastAsia="DINPro-Medium" w:hAnsi="DINPro-Medium" w:cs="DINPro-Medium"/>
      <w:color w:val="000000"/>
      <w:sz w:val="22"/>
      <w:szCs w:val="22"/>
      <w:u w:color="000000"/>
      <w:bdr w:val="nil"/>
    </w:rPr>
  </w:style>
  <w:style w:type="character" w:styleId="Hyperlink">
    <w:name w:val="Hyperlink"/>
    <w:rsid w:val="00162EE2"/>
    <w:rPr>
      <w:u w:val="single"/>
    </w:rPr>
  </w:style>
  <w:style w:type="paragraph" w:customStyle="1" w:styleId="HeaderFooter">
    <w:name w:val="Header &amp; Footer"/>
    <w:rsid w:val="00162EE2"/>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en-US"/>
    </w:rPr>
  </w:style>
  <w:style w:type="paragraph" w:customStyle="1" w:styleId="Body">
    <w:name w:val="Body"/>
    <w:rsid w:val="00162EE2"/>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val="en-US"/>
    </w:rPr>
  </w:style>
  <w:style w:type="numbering" w:customStyle="1" w:styleId="List0">
    <w:name w:val="List 0"/>
    <w:basedOn w:val="ImportedStyle1"/>
    <w:rsid w:val="00162EE2"/>
    <w:pPr>
      <w:numPr>
        <w:numId w:val="1"/>
      </w:numPr>
    </w:pPr>
  </w:style>
  <w:style w:type="numbering" w:customStyle="1" w:styleId="ImportedStyle1">
    <w:name w:val="Imported Style 1"/>
    <w:rsid w:val="00162EE2"/>
  </w:style>
  <w:style w:type="numbering" w:customStyle="1" w:styleId="List1">
    <w:name w:val="List 1"/>
    <w:basedOn w:val="ImportedStyle2"/>
    <w:rsid w:val="00162EE2"/>
    <w:pPr>
      <w:numPr>
        <w:numId w:val="27"/>
      </w:numPr>
    </w:pPr>
  </w:style>
  <w:style w:type="numbering" w:customStyle="1" w:styleId="ImportedStyle2">
    <w:name w:val="Imported Style 2"/>
    <w:rsid w:val="00162EE2"/>
  </w:style>
  <w:style w:type="numbering" w:customStyle="1" w:styleId="List21">
    <w:name w:val="List 21"/>
    <w:basedOn w:val="ImportedStyle3"/>
    <w:rsid w:val="00162EE2"/>
    <w:pPr>
      <w:numPr>
        <w:numId w:val="2"/>
      </w:numPr>
    </w:pPr>
  </w:style>
  <w:style w:type="numbering" w:customStyle="1" w:styleId="ImportedStyle3">
    <w:name w:val="Imported Style 3"/>
    <w:rsid w:val="00162EE2"/>
  </w:style>
  <w:style w:type="paragraph" w:styleId="FootnoteText">
    <w:name w:val="footnote text"/>
    <w:aliases w:val="Footnote Text Char1,Footnote Text Char Char"/>
    <w:link w:val="FootnoteTextChar"/>
    <w:uiPriority w:val="99"/>
    <w:rsid w:val="00162EE2"/>
    <w:pPr>
      <w:pBdr>
        <w:top w:val="nil"/>
        <w:left w:val="nil"/>
        <w:bottom w:val="nil"/>
        <w:right w:val="nil"/>
        <w:between w:val="nil"/>
        <w:bar w:val="nil"/>
      </w:pBdr>
    </w:pPr>
    <w:rPr>
      <w:rFonts w:ascii="Times New Roman" w:eastAsia="Times New Roman" w:hAnsi="Times New Roman"/>
      <w:color w:val="000000"/>
      <w:u w:color="000000"/>
      <w:bdr w:val="nil"/>
      <w:lang w:val="en-US"/>
    </w:rPr>
  </w:style>
  <w:style w:type="character" w:customStyle="1" w:styleId="FootnoteTextChar">
    <w:name w:val="Footnote Text Char"/>
    <w:aliases w:val="Footnote Text Char1 Char,Footnote Text Char Char Char"/>
    <w:link w:val="FootnoteText"/>
    <w:uiPriority w:val="99"/>
    <w:rsid w:val="00162EE2"/>
    <w:rPr>
      <w:rFonts w:ascii="Times New Roman" w:eastAsia="Times New Roman" w:hAnsi="Times New Roman" w:cs="Times New Roman"/>
      <w:color w:val="000000"/>
      <w:sz w:val="20"/>
      <w:szCs w:val="20"/>
      <w:u w:color="000000"/>
      <w:bdr w:val="nil"/>
    </w:rPr>
  </w:style>
  <w:style w:type="paragraph" w:customStyle="1" w:styleId="Default">
    <w:name w:val="Default"/>
    <w:uiPriority w:val="99"/>
    <w:rsid w:val="00162EE2"/>
    <w:pPr>
      <w:pBdr>
        <w:top w:val="nil"/>
        <w:left w:val="nil"/>
        <w:bottom w:val="nil"/>
        <w:right w:val="nil"/>
        <w:between w:val="nil"/>
        <w:bar w:val="nil"/>
      </w:pBdr>
    </w:pPr>
    <w:rPr>
      <w:rFonts w:ascii="Arial" w:eastAsia="Arial" w:hAnsi="Arial" w:cs="Arial"/>
      <w:color w:val="000000"/>
      <w:sz w:val="24"/>
      <w:szCs w:val="24"/>
      <w:u w:color="000000"/>
      <w:bdr w:val="nil"/>
      <w:lang w:val="en-US"/>
    </w:rPr>
  </w:style>
  <w:style w:type="character" w:customStyle="1" w:styleId="Link">
    <w:name w:val="Link"/>
    <w:rsid w:val="00162EE2"/>
    <w:rPr>
      <w:color w:val="0000FF"/>
      <w:u w:val="single" w:color="0000FF"/>
    </w:rPr>
  </w:style>
  <w:style w:type="character" w:customStyle="1" w:styleId="Hyperlink0">
    <w:name w:val="Hyperlink.0"/>
    <w:rsid w:val="00162EE2"/>
    <w:rPr>
      <w:color w:val="0000FF"/>
      <w:u w:val="single" w:color="0000FF"/>
      <w:lang w:val="de-DE"/>
    </w:rPr>
  </w:style>
  <w:style w:type="numbering" w:customStyle="1" w:styleId="List31">
    <w:name w:val="List 31"/>
    <w:basedOn w:val="ImportedStyle4"/>
    <w:rsid w:val="00162EE2"/>
    <w:pPr>
      <w:numPr>
        <w:numId w:val="26"/>
      </w:numPr>
    </w:pPr>
  </w:style>
  <w:style w:type="numbering" w:customStyle="1" w:styleId="ImportedStyle4">
    <w:name w:val="Imported Style 4"/>
    <w:rsid w:val="00162EE2"/>
  </w:style>
  <w:style w:type="character" w:customStyle="1" w:styleId="Hyperlink1">
    <w:name w:val="Hyperlink.1"/>
    <w:rsid w:val="00162EE2"/>
    <w:rPr>
      <w:color w:val="0000FF"/>
      <w:u w:val="single" w:color="0000FF"/>
    </w:rPr>
  </w:style>
  <w:style w:type="numbering" w:customStyle="1" w:styleId="List41">
    <w:name w:val="List 41"/>
    <w:basedOn w:val="ImportedStyle5"/>
    <w:rsid w:val="00162EE2"/>
    <w:pPr>
      <w:numPr>
        <w:numId w:val="3"/>
      </w:numPr>
    </w:pPr>
  </w:style>
  <w:style w:type="numbering" w:customStyle="1" w:styleId="ImportedStyle5">
    <w:name w:val="Imported Style 5"/>
    <w:rsid w:val="00162EE2"/>
  </w:style>
  <w:style w:type="paragraph" w:customStyle="1" w:styleId="BodyA">
    <w:name w:val="Body A"/>
    <w:rsid w:val="00162EE2"/>
    <w:pPr>
      <w:pBdr>
        <w:top w:val="nil"/>
        <w:left w:val="nil"/>
        <w:bottom w:val="nil"/>
        <w:right w:val="nil"/>
        <w:between w:val="nil"/>
        <w:bar w:val="nil"/>
      </w:pBdr>
    </w:pPr>
    <w:rPr>
      <w:rFonts w:ascii="Times New Roman" w:eastAsia="Times New Roman" w:hAnsi="Times New Roman"/>
      <w:color w:val="000000"/>
      <w:sz w:val="24"/>
      <w:szCs w:val="24"/>
      <w:u w:color="000000"/>
      <w:bdr w:val="nil"/>
      <w:lang w:val="en-US"/>
    </w:rPr>
  </w:style>
  <w:style w:type="numbering" w:customStyle="1" w:styleId="List51">
    <w:name w:val="List 51"/>
    <w:basedOn w:val="ImportedStyle6"/>
    <w:rsid w:val="00162EE2"/>
    <w:pPr>
      <w:numPr>
        <w:numId w:val="4"/>
      </w:numPr>
    </w:pPr>
  </w:style>
  <w:style w:type="numbering" w:customStyle="1" w:styleId="ImportedStyle6">
    <w:name w:val="Imported Style 6"/>
    <w:rsid w:val="00162EE2"/>
  </w:style>
  <w:style w:type="numbering" w:customStyle="1" w:styleId="List6">
    <w:name w:val="List 6"/>
    <w:basedOn w:val="ImportedStyle7"/>
    <w:rsid w:val="00162EE2"/>
    <w:pPr>
      <w:numPr>
        <w:numId w:val="5"/>
      </w:numPr>
    </w:pPr>
  </w:style>
  <w:style w:type="numbering" w:customStyle="1" w:styleId="ImportedStyle7">
    <w:name w:val="Imported Style 7"/>
    <w:rsid w:val="00162EE2"/>
  </w:style>
  <w:style w:type="numbering" w:customStyle="1" w:styleId="List7">
    <w:name w:val="List 7"/>
    <w:basedOn w:val="ImportedStyle8"/>
    <w:rsid w:val="00162EE2"/>
    <w:pPr>
      <w:numPr>
        <w:numId w:val="6"/>
      </w:numPr>
    </w:pPr>
  </w:style>
  <w:style w:type="numbering" w:customStyle="1" w:styleId="ImportedStyle8">
    <w:name w:val="Imported Style 8"/>
    <w:rsid w:val="00162EE2"/>
  </w:style>
  <w:style w:type="numbering" w:customStyle="1" w:styleId="List8">
    <w:name w:val="List 8"/>
    <w:basedOn w:val="ImportedStyle7"/>
    <w:rsid w:val="00162EE2"/>
    <w:pPr>
      <w:numPr>
        <w:numId w:val="7"/>
      </w:numPr>
    </w:pPr>
  </w:style>
  <w:style w:type="numbering" w:customStyle="1" w:styleId="List9">
    <w:name w:val="List 9"/>
    <w:basedOn w:val="ImportedStyle9"/>
    <w:rsid w:val="00162EE2"/>
    <w:pPr>
      <w:numPr>
        <w:numId w:val="8"/>
      </w:numPr>
    </w:pPr>
  </w:style>
  <w:style w:type="numbering" w:customStyle="1" w:styleId="ImportedStyle9">
    <w:name w:val="Imported Style 9"/>
    <w:rsid w:val="00162EE2"/>
  </w:style>
  <w:style w:type="numbering" w:customStyle="1" w:styleId="List10">
    <w:name w:val="List 10"/>
    <w:basedOn w:val="ImportedStyle10"/>
    <w:rsid w:val="00162EE2"/>
    <w:pPr>
      <w:numPr>
        <w:numId w:val="9"/>
      </w:numPr>
    </w:pPr>
  </w:style>
  <w:style w:type="numbering" w:customStyle="1" w:styleId="ImportedStyle10">
    <w:name w:val="Imported Style 10"/>
    <w:rsid w:val="00162EE2"/>
  </w:style>
  <w:style w:type="numbering" w:customStyle="1" w:styleId="List11">
    <w:name w:val="List 11"/>
    <w:basedOn w:val="ImportedStyle11"/>
    <w:rsid w:val="00162EE2"/>
    <w:pPr>
      <w:numPr>
        <w:numId w:val="10"/>
      </w:numPr>
    </w:pPr>
  </w:style>
  <w:style w:type="numbering" w:customStyle="1" w:styleId="ImportedStyle11">
    <w:name w:val="Imported Style 11"/>
    <w:rsid w:val="00162EE2"/>
  </w:style>
  <w:style w:type="numbering" w:customStyle="1" w:styleId="List12">
    <w:name w:val="List 12"/>
    <w:basedOn w:val="ImportedStyle2"/>
    <w:rsid w:val="00162EE2"/>
    <w:pPr>
      <w:numPr>
        <w:numId w:val="11"/>
      </w:numPr>
    </w:pPr>
  </w:style>
  <w:style w:type="numbering" w:customStyle="1" w:styleId="List13">
    <w:name w:val="List 13"/>
    <w:basedOn w:val="ImportedStyle12"/>
    <w:rsid w:val="00162EE2"/>
    <w:pPr>
      <w:numPr>
        <w:numId w:val="12"/>
      </w:numPr>
    </w:pPr>
  </w:style>
  <w:style w:type="numbering" w:customStyle="1" w:styleId="ImportedStyle12">
    <w:name w:val="Imported Style 12"/>
    <w:rsid w:val="00162EE2"/>
  </w:style>
  <w:style w:type="numbering" w:customStyle="1" w:styleId="List14">
    <w:name w:val="List 14"/>
    <w:basedOn w:val="ImportedStyle13"/>
    <w:rsid w:val="00162EE2"/>
    <w:pPr>
      <w:numPr>
        <w:numId w:val="13"/>
      </w:numPr>
    </w:pPr>
  </w:style>
  <w:style w:type="numbering" w:customStyle="1" w:styleId="ImportedStyle13">
    <w:name w:val="Imported Style 13"/>
    <w:rsid w:val="00162EE2"/>
  </w:style>
  <w:style w:type="numbering" w:customStyle="1" w:styleId="List15">
    <w:name w:val="List 15"/>
    <w:basedOn w:val="ImportedStyle15"/>
    <w:rsid w:val="00162EE2"/>
    <w:pPr>
      <w:numPr>
        <w:numId w:val="14"/>
      </w:numPr>
    </w:pPr>
  </w:style>
  <w:style w:type="numbering" w:customStyle="1" w:styleId="ImportedStyle15">
    <w:name w:val="Imported Style 15"/>
    <w:rsid w:val="00162EE2"/>
  </w:style>
  <w:style w:type="numbering" w:customStyle="1" w:styleId="List16">
    <w:name w:val="List 16"/>
    <w:basedOn w:val="ImportedStyle16"/>
    <w:rsid w:val="00162EE2"/>
    <w:pPr>
      <w:numPr>
        <w:numId w:val="15"/>
      </w:numPr>
    </w:pPr>
  </w:style>
  <w:style w:type="numbering" w:customStyle="1" w:styleId="ImportedStyle16">
    <w:name w:val="Imported Style 16"/>
    <w:rsid w:val="00162EE2"/>
  </w:style>
  <w:style w:type="numbering" w:customStyle="1" w:styleId="List17">
    <w:name w:val="List 17"/>
    <w:basedOn w:val="ImportedStyle17"/>
    <w:rsid w:val="00162EE2"/>
    <w:pPr>
      <w:numPr>
        <w:numId w:val="16"/>
      </w:numPr>
    </w:pPr>
  </w:style>
  <w:style w:type="numbering" w:customStyle="1" w:styleId="ImportedStyle17">
    <w:name w:val="Imported Style 17"/>
    <w:rsid w:val="00162EE2"/>
  </w:style>
  <w:style w:type="numbering" w:customStyle="1" w:styleId="List18">
    <w:name w:val="List 18"/>
    <w:basedOn w:val="ImportedStyle18"/>
    <w:rsid w:val="00162EE2"/>
    <w:pPr>
      <w:numPr>
        <w:numId w:val="17"/>
      </w:numPr>
    </w:pPr>
  </w:style>
  <w:style w:type="numbering" w:customStyle="1" w:styleId="ImportedStyle18">
    <w:name w:val="Imported Style 18"/>
    <w:rsid w:val="00162EE2"/>
  </w:style>
  <w:style w:type="character" w:customStyle="1" w:styleId="Hyperlink2">
    <w:name w:val="Hyperlink.2"/>
    <w:rsid w:val="00162EE2"/>
    <w:rPr>
      <w:color w:val="0000FF"/>
      <w:sz w:val="20"/>
      <w:szCs w:val="20"/>
      <w:u w:val="single" w:color="0000FF"/>
    </w:rPr>
  </w:style>
  <w:style w:type="numbering" w:customStyle="1" w:styleId="List19">
    <w:name w:val="List 19"/>
    <w:basedOn w:val="ImportedStyle19"/>
    <w:rsid w:val="00162EE2"/>
    <w:pPr>
      <w:numPr>
        <w:numId w:val="28"/>
      </w:numPr>
    </w:pPr>
  </w:style>
  <w:style w:type="numbering" w:customStyle="1" w:styleId="ImportedStyle19">
    <w:name w:val="Imported Style 19"/>
    <w:rsid w:val="00162EE2"/>
  </w:style>
  <w:style w:type="character" w:customStyle="1" w:styleId="Hyperlink3">
    <w:name w:val="Hyperlink.3"/>
    <w:rsid w:val="00162EE2"/>
    <w:rPr>
      <w:color w:val="0000FF"/>
      <w:u w:val="single" w:color="0000FF"/>
      <w:lang w:val="en-US"/>
    </w:rPr>
  </w:style>
  <w:style w:type="numbering" w:customStyle="1" w:styleId="List20">
    <w:name w:val="List 20"/>
    <w:basedOn w:val="ImportedStyle20"/>
    <w:rsid w:val="00162EE2"/>
    <w:pPr>
      <w:numPr>
        <w:numId w:val="63"/>
      </w:numPr>
    </w:pPr>
  </w:style>
  <w:style w:type="numbering" w:customStyle="1" w:styleId="ImportedStyle20">
    <w:name w:val="Imported Style 20"/>
    <w:rsid w:val="00162EE2"/>
  </w:style>
  <w:style w:type="numbering" w:customStyle="1" w:styleId="ImportedStyle21">
    <w:name w:val="Imported Style 21"/>
    <w:rsid w:val="00162EE2"/>
  </w:style>
  <w:style w:type="numbering" w:customStyle="1" w:styleId="List22">
    <w:name w:val="List 22"/>
    <w:basedOn w:val="ImportedStyle2"/>
    <w:rsid w:val="00162EE2"/>
    <w:pPr>
      <w:numPr>
        <w:numId w:val="19"/>
      </w:numPr>
    </w:pPr>
  </w:style>
  <w:style w:type="numbering" w:customStyle="1" w:styleId="List23">
    <w:name w:val="List 23"/>
    <w:basedOn w:val="ImportedStyle22"/>
    <w:rsid w:val="00162EE2"/>
    <w:pPr>
      <w:numPr>
        <w:numId w:val="25"/>
      </w:numPr>
    </w:pPr>
  </w:style>
  <w:style w:type="numbering" w:customStyle="1" w:styleId="ImportedStyle22">
    <w:name w:val="Imported Style 22"/>
    <w:rsid w:val="00162EE2"/>
  </w:style>
  <w:style w:type="numbering" w:customStyle="1" w:styleId="List24">
    <w:name w:val="List 24"/>
    <w:basedOn w:val="ImportedStyle23"/>
    <w:rsid w:val="00162EE2"/>
    <w:pPr>
      <w:numPr>
        <w:numId w:val="20"/>
      </w:numPr>
    </w:pPr>
  </w:style>
  <w:style w:type="numbering" w:customStyle="1" w:styleId="ImportedStyle23">
    <w:name w:val="Imported Style 23"/>
    <w:rsid w:val="00162EE2"/>
  </w:style>
  <w:style w:type="numbering" w:customStyle="1" w:styleId="List25">
    <w:name w:val="List 25"/>
    <w:basedOn w:val="ImportedStyle23"/>
    <w:rsid w:val="00162EE2"/>
    <w:pPr>
      <w:numPr>
        <w:numId w:val="30"/>
      </w:numPr>
    </w:pPr>
  </w:style>
  <w:style w:type="paragraph" w:styleId="BodyText">
    <w:name w:val="Body Text"/>
    <w:link w:val="BodyTextChar"/>
    <w:rsid w:val="00162EE2"/>
    <w:pPr>
      <w:pBdr>
        <w:top w:val="nil"/>
        <w:left w:val="nil"/>
        <w:bottom w:val="nil"/>
        <w:right w:val="nil"/>
        <w:between w:val="nil"/>
        <w:bar w:val="nil"/>
      </w:pBdr>
      <w:spacing w:after="120"/>
    </w:pPr>
    <w:rPr>
      <w:rFonts w:ascii="Gill Sans Light" w:eastAsia="Arial Unicode MS" w:hAnsi="Arial Unicode MS" w:cs="Arial Unicode MS"/>
      <w:color w:val="000000"/>
      <w:sz w:val="22"/>
      <w:szCs w:val="22"/>
      <w:u w:color="000000"/>
      <w:bdr w:val="nil"/>
      <w:lang w:val="en-US"/>
    </w:rPr>
  </w:style>
  <w:style w:type="character" w:customStyle="1" w:styleId="BodyTextChar">
    <w:name w:val="Body Text Char"/>
    <w:link w:val="BodyText"/>
    <w:rsid w:val="00162EE2"/>
    <w:rPr>
      <w:rFonts w:ascii="Gill Sans Light" w:eastAsia="Arial Unicode MS" w:hAnsi="Arial Unicode MS" w:cs="Arial Unicode MS"/>
      <w:color w:val="000000"/>
      <w:sz w:val="22"/>
      <w:szCs w:val="22"/>
      <w:u w:color="000000"/>
      <w:bdr w:val="nil"/>
    </w:rPr>
  </w:style>
  <w:style w:type="paragraph" w:styleId="CommentText">
    <w:name w:val="annotation text"/>
    <w:link w:val="CommentTextChar"/>
    <w:rsid w:val="00162EE2"/>
    <w:pPr>
      <w:pBdr>
        <w:top w:val="nil"/>
        <w:left w:val="nil"/>
        <w:bottom w:val="nil"/>
        <w:right w:val="nil"/>
        <w:between w:val="nil"/>
        <w:bar w:val="nil"/>
      </w:pBdr>
    </w:pPr>
    <w:rPr>
      <w:rFonts w:ascii="Times New Roman" w:eastAsia="Times New Roman" w:hAnsi="Times New Roman"/>
      <w:color w:val="000000"/>
      <w:u w:color="000000"/>
      <w:bdr w:val="nil"/>
      <w:lang w:val="en-US"/>
    </w:rPr>
  </w:style>
  <w:style w:type="character" w:customStyle="1" w:styleId="CommentTextChar">
    <w:name w:val="Comment Text Char"/>
    <w:link w:val="CommentText"/>
    <w:rsid w:val="00162EE2"/>
    <w:rPr>
      <w:rFonts w:ascii="Times New Roman" w:eastAsia="Times New Roman" w:hAnsi="Times New Roman" w:cs="Times New Roman"/>
      <w:color w:val="000000"/>
      <w:sz w:val="20"/>
      <w:szCs w:val="20"/>
      <w:u w:color="000000"/>
      <w:bdr w:val="nil"/>
    </w:rPr>
  </w:style>
  <w:style w:type="numbering" w:customStyle="1" w:styleId="List26">
    <w:name w:val="List 26"/>
    <w:basedOn w:val="ImportedStyle24"/>
    <w:rsid w:val="00162EE2"/>
    <w:pPr>
      <w:numPr>
        <w:numId w:val="21"/>
      </w:numPr>
    </w:pPr>
  </w:style>
  <w:style w:type="numbering" w:customStyle="1" w:styleId="ImportedStyle24">
    <w:name w:val="Imported Style 24"/>
    <w:rsid w:val="00162EE2"/>
  </w:style>
  <w:style w:type="numbering" w:customStyle="1" w:styleId="List27">
    <w:name w:val="List 27"/>
    <w:basedOn w:val="ImportedStyle25"/>
    <w:rsid w:val="00162EE2"/>
    <w:pPr>
      <w:numPr>
        <w:numId w:val="29"/>
      </w:numPr>
    </w:pPr>
  </w:style>
  <w:style w:type="numbering" w:customStyle="1" w:styleId="ImportedStyle25">
    <w:name w:val="Imported Style 25"/>
    <w:rsid w:val="00162EE2"/>
  </w:style>
  <w:style w:type="numbering" w:customStyle="1" w:styleId="List28">
    <w:name w:val="List 28"/>
    <w:basedOn w:val="ImportedStyle2"/>
    <w:rsid w:val="00162EE2"/>
    <w:pPr>
      <w:numPr>
        <w:numId w:val="22"/>
      </w:numPr>
    </w:pPr>
  </w:style>
  <w:style w:type="numbering" w:customStyle="1" w:styleId="List29">
    <w:name w:val="List 29"/>
    <w:basedOn w:val="ImportedStyle26"/>
    <w:rsid w:val="00162EE2"/>
    <w:pPr>
      <w:numPr>
        <w:numId w:val="23"/>
      </w:numPr>
    </w:pPr>
  </w:style>
  <w:style w:type="numbering" w:customStyle="1" w:styleId="ImportedStyle26">
    <w:name w:val="Imported Style 26"/>
    <w:rsid w:val="00162EE2"/>
  </w:style>
  <w:style w:type="character" w:styleId="CommentReference">
    <w:name w:val="annotation reference"/>
    <w:semiHidden/>
    <w:unhideWhenUsed/>
    <w:rsid w:val="00162EE2"/>
    <w:rPr>
      <w:sz w:val="16"/>
      <w:szCs w:val="16"/>
    </w:rPr>
  </w:style>
  <w:style w:type="paragraph" w:styleId="BalloonText">
    <w:name w:val="Balloon Text"/>
    <w:basedOn w:val="Normal"/>
    <w:link w:val="BalloonTextChar"/>
    <w:semiHidden/>
    <w:unhideWhenUsed/>
    <w:rsid w:val="00162EE2"/>
    <w:rPr>
      <w:rFonts w:ascii="Tahoma" w:hAnsi="Tahoma" w:cs="Tahoma"/>
      <w:sz w:val="16"/>
      <w:szCs w:val="16"/>
    </w:rPr>
  </w:style>
  <w:style w:type="character" w:customStyle="1" w:styleId="BalloonTextChar">
    <w:name w:val="Balloon Text Char"/>
    <w:link w:val="BalloonText"/>
    <w:semiHidden/>
    <w:rsid w:val="00162EE2"/>
    <w:rPr>
      <w:rFonts w:ascii="Tahoma" w:eastAsia="Arial Unicode MS" w:hAnsi="Tahoma" w:cs="Tahoma"/>
      <w:sz w:val="16"/>
      <w:szCs w:val="16"/>
      <w:bdr w:val="nil"/>
    </w:rPr>
  </w:style>
  <w:style w:type="paragraph" w:styleId="CommentSubject">
    <w:name w:val="annotation subject"/>
    <w:basedOn w:val="CommentText"/>
    <w:next w:val="CommentText"/>
    <w:link w:val="CommentSubjectChar"/>
    <w:semiHidden/>
    <w:unhideWhenUsed/>
    <w:rsid w:val="00162EE2"/>
    <w:rPr>
      <w:rFonts w:eastAsia="Arial Unicode MS"/>
      <w:b/>
      <w:bCs/>
      <w:color w:val="auto"/>
    </w:rPr>
  </w:style>
  <w:style w:type="character" w:customStyle="1" w:styleId="CommentSubjectChar">
    <w:name w:val="Comment Subject Char"/>
    <w:link w:val="CommentSubject"/>
    <w:semiHidden/>
    <w:rsid w:val="00162EE2"/>
    <w:rPr>
      <w:rFonts w:ascii="Times New Roman" w:eastAsia="Arial Unicode MS" w:hAnsi="Times New Roman" w:cs="Times New Roman"/>
      <w:b/>
      <w:bCs/>
      <w:color w:val="000000"/>
      <w:sz w:val="20"/>
      <w:szCs w:val="20"/>
      <w:u w:color="000000"/>
      <w:bdr w:val="nil"/>
    </w:rPr>
  </w:style>
  <w:style w:type="character" w:styleId="FootnoteReference">
    <w:name w:val="footnote reference"/>
    <w:uiPriority w:val="99"/>
    <w:unhideWhenUsed/>
    <w:rsid w:val="00162EE2"/>
    <w:rPr>
      <w:vertAlign w:val="superscript"/>
    </w:rPr>
  </w:style>
  <w:style w:type="character" w:customStyle="1" w:styleId="FootnoteReference1">
    <w:name w:val="Footnote Reference1"/>
    <w:rsid w:val="00162EE2"/>
    <w:rPr>
      <w:vertAlign w:val="superscript"/>
    </w:rPr>
  </w:style>
  <w:style w:type="character" w:customStyle="1" w:styleId="FootnoteCharacters">
    <w:name w:val="Footnote Characters"/>
    <w:rsid w:val="00162EE2"/>
  </w:style>
  <w:style w:type="paragraph" w:customStyle="1" w:styleId="FootnoteText1">
    <w:name w:val="Footnote Text1"/>
    <w:basedOn w:val="Normal"/>
    <w:rsid w:val="00162EE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100" w:lineRule="atLeast"/>
    </w:pPr>
    <w:rPr>
      <w:kern w:val="1"/>
      <w:sz w:val="20"/>
      <w:szCs w:val="20"/>
      <w:bdr w:val="none" w:sz="0" w:space="0" w:color="auto"/>
      <w:lang w:eastAsia="ar-SA"/>
    </w:rPr>
  </w:style>
  <w:style w:type="character" w:styleId="Strong">
    <w:name w:val="Strong"/>
    <w:uiPriority w:val="22"/>
    <w:qFormat/>
    <w:rsid w:val="00162EE2"/>
    <w:rPr>
      <w:rFonts w:ascii="DINPro-Medium" w:hAnsi="DINPro-Medium" w:cs="DINPro-Medium" w:hint="default"/>
      <w:b w:val="0"/>
      <w:bCs w:val="0"/>
      <w:sz w:val="22"/>
      <w:lang w:val="en-GB"/>
    </w:rPr>
  </w:style>
  <w:style w:type="character" w:customStyle="1" w:styleId="Funotenzeichen">
    <w:name w:val="Fußnotenzeichen"/>
    <w:rsid w:val="00162EE2"/>
    <w:rPr>
      <w:vertAlign w:val="superscript"/>
    </w:rPr>
  </w:style>
  <w:style w:type="paragraph" w:styleId="Header">
    <w:name w:val="header"/>
    <w:basedOn w:val="Normal"/>
    <w:link w:val="HeaderChar"/>
    <w:unhideWhenUsed/>
    <w:rsid w:val="00162EE2"/>
    <w:pPr>
      <w:tabs>
        <w:tab w:val="center" w:pos="4680"/>
        <w:tab w:val="right" w:pos="9360"/>
      </w:tabs>
    </w:pPr>
  </w:style>
  <w:style w:type="character" w:customStyle="1" w:styleId="HeaderChar">
    <w:name w:val="Header Char"/>
    <w:link w:val="Header"/>
    <w:rsid w:val="00162EE2"/>
    <w:rPr>
      <w:rFonts w:ascii="Times New Roman" w:eastAsia="Arial Unicode MS" w:hAnsi="Times New Roman" w:cs="Times New Roman"/>
      <w:bdr w:val="nil"/>
    </w:rPr>
  </w:style>
  <w:style w:type="paragraph" w:styleId="Footer">
    <w:name w:val="footer"/>
    <w:basedOn w:val="Normal"/>
    <w:link w:val="FooterChar"/>
    <w:unhideWhenUsed/>
    <w:rsid w:val="00162EE2"/>
    <w:pPr>
      <w:tabs>
        <w:tab w:val="center" w:pos="4680"/>
        <w:tab w:val="right" w:pos="9360"/>
      </w:tabs>
    </w:pPr>
  </w:style>
  <w:style w:type="character" w:customStyle="1" w:styleId="FooterChar">
    <w:name w:val="Footer Char"/>
    <w:link w:val="Footer"/>
    <w:rsid w:val="00162EE2"/>
    <w:rPr>
      <w:rFonts w:ascii="Times New Roman" w:eastAsia="Arial Unicode MS" w:hAnsi="Times New Roman" w:cs="Times New Roman"/>
      <w:bdr w:val="nil"/>
    </w:rPr>
  </w:style>
  <w:style w:type="paragraph" w:customStyle="1" w:styleId="ZCom">
    <w:name w:val="Z_Com"/>
    <w:basedOn w:val="Normal"/>
    <w:next w:val="ZDGName"/>
    <w:uiPriority w:val="99"/>
    <w:rsid w:val="00162EE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jc w:val="both"/>
    </w:pPr>
    <w:rPr>
      <w:rFonts w:ascii="Arial" w:eastAsia="MS Mincho" w:hAnsi="Arial" w:cs="Arial"/>
      <w:bdr w:val="none" w:sz="0" w:space="0" w:color="auto"/>
      <w:lang w:val="en-GB" w:eastAsia="en-GB"/>
    </w:rPr>
  </w:style>
  <w:style w:type="paragraph" w:customStyle="1" w:styleId="ZDGName">
    <w:name w:val="Z_DGName"/>
    <w:basedOn w:val="Normal"/>
    <w:uiPriority w:val="99"/>
    <w:rsid w:val="00162EE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pPr>
    <w:rPr>
      <w:rFonts w:ascii="Arial" w:eastAsia="MS Mincho" w:hAnsi="Arial" w:cs="Arial"/>
      <w:sz w:val="16"/>
      <w:szCs w:val="16"/>
      <w:bdr w:val="none" w:sz="0" w:space="0" w:color="auto"/>
      <w:lang w:val="en-GB" w:eastAsia="en-GB"/>
    </w:rPr>
  </w:style>
  <w:style w:type="table" w:styleId="TableGrid">
    <w:name w:val="Table Grid"/>
    <w:basedOn w:val="TableNormal"/>
    <w:rsid w:val="00162EE2"/>
    <w:rPr>
      <w:rFonts w:ascii="Calibri" w:eastAsia="MS Mincho"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62EE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MS Mincho" w:hAnsi="Times"/>
      <w:sz w:val="20"/>
      <w:szCs w:val="20"/>
      <w:bdr w:val="none" w:sz="0" w:space="0" w:color="auto"/>
    </w:rPr>
  </w:style>
  <w:style w:type="paragraph" w:styleId="TOCHeading">
    <w:name w:val="TOC Heading"/>
    <w:basedOn w:val="Heading1"/>
    <w:next w:val="Normal"/>
    <w:uiPriority w:val="39"/>
    <w:unhideWhenUsed/>
    <w:qFormat/>
    <w:rsid w:val="00162EE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9"/>
    </w:pPr>
    <w:rPr>
      <w:bdr w:val="none" w:sz="0" w:space="0" w:color="auto"/>
    </w:rPr>
  </w:style>
  <w:style w:type="paragraph" w:styleId="TOC3">
    <w:name w:val="toc 3"/>
    <w:basedOn w:val="Normal"/>
    <w:next w:val="Normal"/>
    <w:autoRedefine/>
    <w:uiPriority w:val="39"/>
    <w:unhideWhenUsed/>
    <w:rsid w:val="00162EE2"/>
    <w:pPr>
      <w:ind w:left="240"/>
    </w:pPr>
    <w:rPr>
      <w:rFonts w:asciiTheme="minorHAnsi" w:hAnsiTheme="minorHAnsi"/>
      <w:i/>
      <w:sz w:val="22"/>
      <w:szCs w:val="22"/>
    </w:rPr>
  </w:style>
  <w:style w:type="paragraph" w:styleId="TOC1">
    <w:name w:val="toc 1"/>
    <w:basedOn w:val="Normal"/>
    <w:next w:val="Normal"/>
    <w:autoRedefine/>
    <w:uiPriority w:val="39"/>
    <w:unhideWhenUsed/>
    <w:rsid w:val="00162EE2"/>
    <w:pPr>
      <w:spacing w:before="120"/>
    </w:pPr>
    <w:rPr>
      <w:rFonts w:asciiTheme="majorHAnsi" w:hAnsiTheme="majorHAnsi"/>
      <w:b/>
      <w:color w:val="548DD4"/>
    </w:rPr>
  </w:style>
  <w:style w:type="paragraph" w:styleId="TOC2">
    <w:name w:val="toc 2"/>
    <w:basedOn w:val="Normal"/>
    <w:next w:val="Normal"/>
    <w:autoRedefine/>
    <w:uiPriority w:val="39"/>
    <w:unhideWhenUsed/>
    <w:rsid w:val="00162EE2"/>
    <w:rPr>
      <w:rFonts w:asciiTheme="minorHAnsi" w:hAnsiTheme="minorHAnsi"/>
      <w:sz w:val="22"/>
      <w:szCs w:val="22"/>
    </w:rPr>
  </w:style>
  <w:style w:type="character" w:styleId="PageNumber">
    <w:name w:val="page number"/>
    <w:unhideWhenUsed/>
    <w:rsid w:val="00162EE2"/>
  </w:style>
  <w:style w:type="paragraph" w:styleId="ListParagraph">
    <w:name w:val="List Paragraph"/>
    <w:basedOn w:val="Normal"/>
    <w:uiPriority w:val="34"/>
    <w:qFormat/>
    <w:rsid w:val="00162EE2"/>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Cambria" w:eastAsia="MS Mincho" w:hAnsi="Cambria"/>
      <w:bdr w:val="none" w:sz="0" w:space="0" w:color="auto"/>
      <w:lang w:val="en-GB"/>
    </w:rPr>
  </w:style>
  <w:style w:type="paragraph" w:customStyle="1" w:styleId="Sombreadovistoso-nfasis3">
    <w:name w:val="Sombreado vistoso - Énfasis 3"/>
    <w:basedOn w:val="Normal"/>
    <w:qFormat/>
    <w:rsid w:val="00162EE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Calibri" w:hAnsi="Calibri" w:cs="Calibri"/>
      <w:sz w:val="22"/>
      <w:szCs w:val="22"/>
      <w:bdr w:val="none" w:sz="0" w:space="0" w:color="auto"/>
    </w:rPr>
  </w:style>
  <w:style w:type="character" w:customStyle="1" w:styleId="BalloonTextChar1">
    <w:name w:val="Balloon Text Char1"/>
    <w:uiPriority w:val="99"/>
    <w:semiHidden/>
    <w:rsid w:val="00162EE2"/>
    <w:rPr>
      <w:rFonts w:ascii="Lucida Grande" w:eastAsia="MS Mincho" w:hAnsi="Lucida Grande" w:cs="Lucida Grande"/>
      <w:sz w:val="18"/>
      <w:szCs w:val="18"/>
      <w:lang w:val="en-GB"/>
    </w:rPr>
  </w:style>
  <w:style w:type="paragraph" w:customStyle="1" w:styleId="Bullet1">
    <w:name w:val="Bullet 1"/>
    <w:basedOn w:val="Normal"/>
    <w:rsid w:val="00162EE2"/>
    <w:pPr>
      <w:numPr>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jc w:val="both"/>
    </w:pPr>
    <w:rPr>
      <w:rFonts w:eastAsia="Times New Roman"/>
      <w:szCs w:val="20"/>
      <w:bdr w:val="none" w:sz="0" w:space="0" w:color="auto"/>
      <w:lang w:val="en-GB" w:eastAsia="en-GB"/>
    </w:rPr>
  </w:style>
  <w:style w:type="paragraph" w:customStyle="1" w:styleId="Bullet2">
    <w:name w:val="Bullet 2"/>
    <w:basedOn w:val="Normal"/>
    <w:rsid w:val="00162EE2"/>
    <w:pPr>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60"/>
      <w:jc w:val="both"/>
    </w:pPr>
    <w:rPr>
      <w:rFonts w:eastAsia="Times New Roman"/>
      <w:szCs w:val="20"/>
      <w:bdr w:val="none" w:sz="0" w:space="0" w:color="auto"/>
      <w:lang w:val="de-DE" w:eastAsia="ja-JP"/>
    </w:rPr>
  </w:style>
  <w:style w:type="numbering" w:customStyle="1" w:styleId="Numbers">
    <w:name w:val="Numbers"/>
    <w:rsid w:val="00162EE2"/>
    <w:pPr>
      <w:numPr>
        <w:numId w:val="40"/>
      </w:numPr>
    </w:pPr>
  </w:style>
  <w:style w:type="paragraph" w:customStyle="1" w:styleId="tablenarrow">
    <w:name w:val="table narrow"/>
    <w:basedOn w:val="Normal"/>
    <w:rsid w:val="00162EE2"/>
    <w:pPr>
      <w:pBdr>
        <w:top w:val="none" w:sz="0" w:space="0" w:color="auto"/>
        <w:left w:val="none" w:sz="0" w:space="0" w:color="auto"/>
        <w:bottom w:val="none" w:sz="0" w:space="0" w:color="auto"/>
        <w:right w:val="none" w:sz="0" w:space="0" w:color="auto"/>
        <w:between w:val="none" w:sz="0" w:space="0" w:color="auto"/>
        <w:bar w:val="none" w:sz="0" w:color="auto"/>
      </w:pBdr>
      <w:spacing w:after="60"/>
      <w:jc w:val="both"/>
    </w:pPr>
    <w:rPr>
      <w:rFonts w:ascii="Arial Narrow" w:eastAsia="Times New Roman" w:hAnsi="Arial Narrow"/>
      <w:sz w:val="20"/>
      <w:szCs w:val="20"/>
      <w:bdr w:val="none" w:sz="0" w:space="0" w:color="auto"/>
      <w:lang w:val="en-GB" w:eastAsia="de-DE"/>
    </w:rPr>
  </w:style>
  <w:style w:type="paragraph" w:customStyle="1" w:styleId="ColorfulList-Accent11">
    <w:name w:val="Colorful List - Accent 11"/>
    <w:basedOn w:val="Normal"/>
    <w:uiPriority w:val="34"/>
    <w:qFormat/>
    <w:rsid w:val="00162EE2"/>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Cambria" w:eastAsia="MS Mincho" w:hAnsi="Cambria"/>
      <w:bdr w:val="none" w:sz="0" w:space="0" w:color="auto"/>
    </w:rPr>
  </w:style>
  <w:style w:type="character" w:styleId="FollowedHyperlink">
    <w:name w:val="FollowedHyperlink"/>
    <w:rsid w:val="00162EE2"/>
    <w:rPr>
      <w:color w:val="800080"/>
      <w:u w:val="single"/>
    </w:rPr>
  </w:style>
  <w:style w:type="character" w:customStyle="1" w:styleId="apple-tab-span">
    <w:name w:val="apple-tab-span"/>
    <w:rsid w:val="00162EE2"/>
  </w:style>
  <w:style w:type="paragraph" w:styleId="Revision">
    <w:name w:val="Revision"/>
    <w:hidden/>
    <w:uiPriority w:val="99"/>
    <w:rsid w:val="00162EE2"/>
    <w:rPr>
      <w:rFonts w:ascii="Times New Roman" w:eastAsia="Times New Roman" w:hAnsi="Times New Roman"/>
      <w:sz w:val="24"/>
      <w:lang w:eastAsia="ja-JP"/>
    </w:rPr>
  </w:style>
  <w:style w:type="paragraph" w:customStyle="1" w:styleId="normal0">
    <w:name w:val="normal"/>
    <w:rsid w:val="00162EE2"/>
    <w:pPr>
      <w:spacing w:line="276" w:lineRule="auto"/>
    </w:pPr>
    <w:rPr>
      <w:rFonts w:ascii="Arial" w:eastAsia="Times New Roman" w:hAnsi="Arial" w:cs="Arial"/>
      <w:color w:val="000000"/>
      <w:sz w:val="22"/>
      <w:szCs w:val="22"/>
      <w:lang w:val="en-IE" w:eastAsia="en-IE"/>
    </w:rPr>
  </w:style>
  <w:style w:type="character" w:customStyle="1" w:styleId="apple-converted-space">
    <w:name w:val="apple-converted-space"/>
    <w:rsid w:val="00162EE2"/>
  </w:style>
  <w:style w:type="character" w:customStyle="1" w:styleId="given-name">
    <w:name w:val="given-name"/>
    <w:rsid w:val="00162EE2"/>
  </w:style>
  <w:style w:type="character" w:customStyle="1" w:styleId="family-name">
    <w:name w:val="family-name"/>
    <w:rsid w:val="00162EE2"/>
  </w:style>
  <w:style w:type="paragraph" w:styleId="Caption">
    <w:name w:val="caption"/>
    <w:basedOn w:val="Normal"/>
    <w:next w:val="Normal"/>
    <w:rsid w:val="00162EE2"/>
    <w:pPr>
      <w:keepNext/>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Verdana" w:eastAsia="MS Mincho" w:hAnsi="Verdana"/>
      <w:b/>
      <w:bCs/>
      <w:sz w:val="20"/>
      <w:szCs w:val="18"/>
      <w:bdr w:val="none" w:sz="0" w:space="0" w:color="auto"/>
      <w:lang w:val="en-GB"/>
    </w:rPr>
  </w:style>
  <w:style w:type="paragraph" w:styleId="TOC4">
    <w:name w:val="toc 4"/>
    <w:basedOn w:val="Normal"/>
    <w:next w:val="Normal"/>
    <w:autoRedefine/>
    <w:rsid w:val="00162EE2"/>
    <w:pPr>
      <w:pBdr>
        <w:between w:val="double" w:sz="6" w:space="0" w:color="auto"/>
      </w:pBdr>
      <w:ind w:left="480"/>
    </w:pPr>
    <w:rPr>
      <w:rFonts w:asciiTheme="minorHAnsi" w:hAnsiTheme="minorHAnsi"/>
      <w:sz w:val="20"/>
      <w:szCs w:val="20"/>
    </w:rPr>
  </w:style>
  <w:style w:type="paragraph" w:styleId="TOC5">
    <w:name w:val="toc 5"/>
    <w:basedOn w:val="Normal"/>
    <w:next w:val="Normal"/>
    <w:autoRedefine/>
    <w:rsid w:val="00162EE2"/>
    <w:pPr>
      <w:pBdr>
        <w:between w:val="double" w:sz="6" w:space="0" w:color="auto"/>
      </w:pBdr>
      <w:ind w:left="720"/>
    </w:pPr>
    <w:rPr>
      <w:rFonts w:asciiTheme="minorHAnsi" w:hAnsiTheme="minorHAnsi"/>
      <w:sz w:val="20"/>
      <w:szCs w:val="20"/>
    </w:rPr>
  </w:style>
  <w:style w:type="paragraph" w:styleId="TOC6">
    <w:name w:val="toc 6"/>
    <w:basedOn w:val="Normal"/>
    <w:next w:val="Normal"/>
    <w:autoRedefine/>
    <w:rsid w:val="00162EE2"/>
    <w:pPr>
      <w:pBdr>
        <w:between w:val="double" w:sz="6" w:space="0" w:color="auto"/>
      </w:pBdr>
      <w:ind w:left="960"/>
    </w:pPr>
    <w:rPr>
      <w:rFonts w:asciiTheme="minorHAnsi" w:hAnsiTheme="minorHAnsi"/>
      <w:sz w:val="20"/>
      <w:szCs w:val="20"/>
    </w:rPr>
  </w:style>
  <w:style w:type="paragraph" w:styleId="TOC7">
    <w:name w:val="toc 7"/>
    <w:basedOn w:val="Normal"/>
    <w:next w:val="Normal"/>
    <w:autoRedefine/>
    <w:rsid w:val="00162EE2"/>
    <w:pPr>
      <w:pBdr>
        <w:between w:val="double" w:sz="6" w:space="0" w:color="auto"/>
      </w:pBdr>
      <w:ind w:left="1200"/>
    </w:pPr>
    <w:rPr>
      <w:rFonts w:asciiTheme="minorHAnsi" w:hAnsiTheme="minorHAnsi"/>
      <w:sz w:val="20"/>
      <w:szCs w:val="20"/>
    </w:rPr>
  </w:style>
  <w:style w:type="paragraph" w:styleId="TOC8">
    <w:name w:val="toc 8"/>
    <w:basedOn w:val="Normal"/>
    <w:next w:val="Normal"/>
    <w:autoRedefine/>
    <w:rsid w:val="00162EE2"/>
    <w:pPr>
      <w:pBdr>
        <w:between w:val="double" w:sz="6" w:space="0" w:color="auto"/>
      </w:pBdr>
      <w:ind w:left="1440"/>
    </w:pPr>
    <w:rPr>
      <w:rFonts w:asciiTheme="minorHAnsi" w:hAnsiTheme="minorHAnsi"/>
      <w:sz w:val="20"/>
      <w:szCs w:val="20"/>
    </w:rPr>
  </w:style>
  <w:style w:type="paragraph" w:styleId="TOC9">
    <w:name w:val="toc 9"/>
    <w:basedOn w:val="Normal"/>
    <w:next w:val="Normal"/>
    <w:autoRedefine/>
    <w:rsid w:val="00162EE2"/>
    <w:pPr>
      <w:pBdr>
        <w:between w:val="double" w:sz="6" w:space="0" w:color="auto"/>
      </w:pBdr>
      <w:ind w:left="168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EE2"/>
    <w:pPr>
      <w:pBdr>
        <w:top w:val="nil"/>
        <w:left w:val="nil"/>
        <w:bottom w:val="nil"/>
        <w:right w:val="nil"/>
        <w:between w:val="nil"/>
        <w:bar w:val="nil"/>
      </w:pBdr>
    </w:pPr>
    <w:rPr>
      <w:rFonts w:ascii="Times New Roman" w:eastAsia="Arial Unicode MS" w:hAnsi="Times New Roman"/>
      <w:sz w:val="24"/>
      <w:szCs w:val="24"/>
      <w:bdr w:val="nil"/>
      <w:lang w:val="en-US"/>
    </w:rPr>
  </w:style>
  <w:style w:type="paragraph" w:styleId="Heading1">
    <w:name w:val="heading 1"/>
    <w:basedOn w:val="Normal"/>
    <w:next w:val="Normal"/>
    <w:link w:val="Heading1Char"/>
    <w:qFormat/>
    <w:rsid w:val="00162EE2"/>
    <w:pPr>
      <w:keepNext/>
      <w:keepLines/>
      <w:spacing w:before="48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unhideWhenUsed/>
    <w:qFormat/>
    <w:rsid w:val="00162EE2"/>
    <w:pPr>
      <w:keepNext/>
      <w:spacing w:before="240" w:after="60"/>
      <w:outlineLvl w:val="1"/>
    </w:pPr>
    <w:rPr>
      <w:rFonts w:ascii="Calibri" w:eastAsia="ＭＳ ゴシック" w:hAnsi="Calibri"/>
      <w:b/>
      <w:bCs/>
      <w:i/>
      <w:iCs/>
      <w:sz w:val="28"/>
      <w:szCs w:val="28"/>
    </w:rPr>
  </w:style>
  <w:style w:type="paragraph" w:styleId="Heading3">
    <w:name w:val="heading 3"/>
    <w:next w:val="BodyText"/>
    <w:link w:val="Heading3Char"/>
    <w:qFormat/>
    <w:rsid w:val="00162EE2"/>
    <w:pPr>
      <w:keepNext/>
      <w:pBdr>
        <w:top w:val="nil"/>
        <w:left w:val="nil"/>
        <w:bottom w:val="nil"/>
        <w:right w:val="nil"/>
        <w:between w:val="nil"/>
        <w:bar w:val="nil"/>
      </w:pBdr>
      <w:spacing w:before="180" w:after="60"/>
      <w:outlineLvl w:val="2"/>
    </w:pPr>
    <w:rPr>
      <w:rFonts w:ascii="DINPro-Medium" w:eastAsia="DINPro-Medium" w:hAnsi="DINPro-Medium" w:cs="DINPro-Medium"/>
      <w:color w:val="000000"/>
      <w:sz w:val="22"/>
      <w:szCs w:val="22"/>
      <w:u w:color="000000"/>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62EE2"/>
    <w:rPr>
      <w:rFonts w:ascii="Cambria" w:eastAsia="MS Gothic" w:hAnsi="Cambria" w:cs="Times New Roman"/>
      <w:b/>
      <w:bCs/>
      <w:color w:val="365F91"/>
      <w:sz w:val="28"/>
      <w:szCs w:val="28"/>
      <w:bdr w:val="nil"/>
    </w:rPr>
  </w:style>
  <w:style w:type="character" w:customStyle="1" w:styleId="Heading2Char">
    <w:name w:val="Heading 2 Char"/>
    <w:link w:val="Heading2"/>
    <w:uiPriority w:val="9"/>
    <w:rsid w:val="00162EE2"/>
    <w:rPr>
      <w:rFonts w:ascii="Calibri" w:eastAsia="ＭＳ ゴシック" w:hAnsi="Calibri" w:cs="Times New Roman"/>
      <w:b/>
      <w:bCs/>
      <w:i/>
      <w:iCs/>
      <w:sz w:val="28"/>
      <w:szCs w:val="28"/>
      <w:bdr w:val="nil"/>
    </w:rPr>
  </w:style>
  <w:style w:type="character" w:customStyle="1" w:styleId="Heading3Char">
    <w:name w:val="Heading 3 Char"/>
    <w:link w:val="Heading3"/>
    <w:rsid w:val="00162EE2"/>
    <w:rPr>
      <w:rFonts w:ascii="DINPro-Medium" w:eastAsia="DINPro-Medium" w:hAnsi="DINPro-Medium" w:cs="DINPro-Medium"/>
      <w:color w:val="000000"/>
      <w:sz w:val="22"/>
      <w:szCs w:val="22"/>
      <w:u w:color="000000"/>
      <w:bdr w:val="nil"/>
    </w:rPr>
  </w:style>
  <w:style w:type="character" w:styleId="Hyperlink">
    <w:name w:val="Hyperlink"/>
    <w:rsid w:val="00162EE2"/>
    <w:rPr>
      <w:u w:val="single"/>
    </w:rPr>
  </w:style>
  <w:style w:type="paragraph" w:customStyle="1" w:styleId="HeaderFooter">
    <w:name w:val="Header &amp; Footer"/>
    <w:rsid w:val="00162EE2"/>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en-US"/>
    </w:rPr>
  </w:style>
  <w:style w:type="paragraph" w:customStyle="1" w:styleId="Body">
    <w:name w:val="Body"/>
    <w:rsid w:val="00162EE2"/>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val="en-US"/>
    </w:rPr>
  </w:style>
  <w:style w:type="numbering" w:customStyle="1" w:styleId="List0">
    <w:name w:val="List 0"/>
    <w:basedOn w:val="ImportedStyle1"/>
    <w:rsid w:val="00162EE2"/>
    <w:pPr>
      <w:numPr>
        <w:numId w:val="1"/>
      </w:numPr>
    </w:pPr>
  </w:style>
  <w:style w:type="numbering" w:customStyle="1" w:styleId="ImportedStyle1">
    <w:name w:val="Imported Style 1"/>
    <w:rsid w:val="00162EE2"/>
  </w:style>
  <w:style w:type="numbering" w:customStyle="1" w:styleId="List1">
    <w:name w:val="List 1"/>
    <w:basedOn w:val="ImportedStyle2"/>
    <w:rsid w:val="00162EE2"/>
    <w:pPr>
      <w:numPr>
        <w:numId w:val="27"/>
      </w:numPr>
    </w:pPr>
  </w:style>
  <w:style w:type="numbering" w:customStyle="1" w:styleId="ImportedStyle2">
    <w:name w:val="Imported Style 2"/>
    <w:rsid w:val="00162EE2"/>
  </w:style>
  <w:style w:type="numbering" w:customStyle="1" w:styleId="List21">
    <w:name w:val="List 21"/>
    <w:basedOn w:val="ImportedStyle3"/>
    <w:rsid w:val="00162EE2"/>
    <w:pPr>
      <w:numPr>
        <w:numId w:val="2"/>
      </w:numPr>
    </w:pPr>
  </w:style>
  <w:style w:type="numbering" w:customStyle="1" w:styleId="ImportedStyle3">
    <w:name w:val="Imported Style 3"/>
    <w:rsid w:val="00162EE2"/>
  </w:style>
  <w:style w:type="paragraph" w:styleId="FootnoteText">
    <w:name w:val="footnote text"/>
    <w:aliases w:val="Footnote Text Char1,Footnote Text Char Char"/>
    <w:link w:val="FootnoteTextChar"/>
    <w:uiPriority w:val="99"/>
    <w:rsid w:val="00162EE2"/>
    <w:pPr>
      <w:pBdr>
        <w:top w:val="nil"/>
        <w:left w:val="nil"/>
        <w:bottom w:val="nil"/>
        <w:right w:val="nil"/>
        <w:between w:val="nil"/>
        <w:bar w:val="nil"/>
      </w:pBdr>
    </w:pPr>
    <w:rPr>
      <w:rFonts w:ascii="Times New Roman" w:eastAsia="Times New Roman" w:hAnsi="Times New Roman"/>
      <w:color w:val="000000"/>
      <w:u w:color="000000"/>
      <w:bdr w:val="nil"/>
      <w:lang w:val="en-US"/>
    </w:rPr>
  </w:style>
  <w:style w:type="character" w:customStyle="1" w:styleId="FootnoteTextChar">
    <w:name w:val="Footnote Text Char"/>
    <w:aliases w:val="Footnote Text Char1 Char,Footnote Text Char Char Char"/>
    <w:link w:val="FootnoteText"/>
    <w:uiPriority w:val="99"/>
    <w:rsid w:val="00162EE2"/>
    <w:rPr>
      <w:rFonts w:ascii="Times New Roman" w:eastAsia="Times New Roman" w:hAnsi="Times New Roman" w:cs="Times New Roman"/>
      <w:color w:val="000000"/>
      <w:sz w:val="20"/>
      <w:szCs w:val="20"/>
      <w:u w:color="000000"/>
      <w:bdr w:val="nil"/>
    </w:rPr>
  </w:style>
  <w:style w:type="paragraph" w:customStyle="1" w:styleId="Default">
    <w:name w:val="Default"/>
    <w:uiPriority w:val="99"/>
    <w:rsid w:val="00162EE2"/>
    <w:pPr>
      <w:pBdr>
        <w:top w:val="nil"/>
        <w:left w:val="nil"/>
        <w:bottom w:val="nil"/>
        <w:right w:val="nil"/>
        <w:between w:val="nil"/>
        <w:bar w:val="nil"/>
      </w:pBdr>
    </w:pPr>
    <w:rPr>
      <w:rFonts w:ascii="Arial" w:eastAsia="Arial" w:hAnsi="Arial" w:cs="Arial"/>
      <w:color w:val="000000"/>
      <w:sz w:val="24"/>
      <w:szCs w:val="24"/>
      <w:u w:color="000000"/>
      <w:bdr w:val="nil"/>
      <w:lang w:val="en-US"/>
    </w:rPr>
  </w:style>
  <w:style w:type="character" w:customStyle="1" w:styleId="Link">
    <w:name w:val="Link"/>
    <w:rsid w:val="00162EE2"/>
    <w:rPr>
      <w:color w:val="0000FF"/>
      <w:u w:val="single" w:color="0000FF"/>
    </w:rPr>
  </w:style>
  <w:style w:type="character" w:customStyle="1" w:styleId="Hyperlink0">
    <w:name w:val="Hyperlink.0"/>
    <w:rsid w:val="00162EE2"/>
    <w:rPr>
      <w:color w:val="0000FF"/>
      <w:u w:val="single" w:color="0000FF"/>
      <w:lang w:val="de-DE"/>
    </w:rPr>
  </w:style>
  <w:style w:type="numbering" w:customStyle="1" w:styleId="List31">
    <w:name w:val="List 31"/>
    <w:basedOn w:val="ImportedStyle4"/>
    <w:rsid w:val="00162EE2"/>
    <w:pPr>
      <w:numPr>
        <w:numId w:val="26"/>
      </w:numPr>
    </w:pPr>
  </w:style>
  <w:style w:type="numbering" w:customStyle="1" w:styleId="ImportedStyle4">
    <w:name w:val="Imported Style 4"/>
    <w:rsid w:val="00162EE2"/>
  </w:style>
  <w:style w:type="character" w:customStyle="1" w:styleId="Hyperlink1">
    <w:name w:val="Hyperlink.1"/>
    <w:rsid w:val="00162EE2"/>
    <w:rPr>
      <w:color w:val="0000FF"/>
      <w:u w:val="single" w:color="0000FF"/>
    </w:rPr>
  </w:style>
  <w:style w:type="numbering" w:customStyle="1" w:styleId="List41">
    <w:name w:val="List 41"/>
    <w:basedOn w:val="ImportedStyle5"/>
    <w:rsid w:val="00162EE2"/>
    <w:pPr>
      <w:numPr>
        <w:numId w:val="3"/>
      </w:numPr>
    </w:pPr>
  </w:style>
  <w:style w:type="numbering" w:customStyle="1" w:styleId="ImportedStyle5">
    <w:name w:val="Imported Style 5"/>
    <w:rsid w:val="00162EE2"/>
  </w:style>
  <w:style w:type="paragraph" w:customStyle="1" w:styleId="BodyA">
    <w:name w:val="Body A"/>
    <w:rsid w:val="00162EE2"/>
    <w:pPr>
      <w:pBdr>
        <w:top w:val="nil"/>
        <w:left w:val="nil"/>
        <w:bottom w:val="nil"/>
        <w:right w:val="nil"/>
        <w:between w:val="nil"/>
        <w:bar w:val="nil"/>
      </w:pBdr>
    </w:pPr>
    <w:rPr>
      <w:rFonts w:ascii="Times New Roman" w:eastAsia="Times New Roman" w:hAnsi="Times New Roman"/>
      <w:color w:val="000000"/>
      <w:sz w:val="24"/>
      <w:szCs w:val="24"/>
      <w:u w:color="000000"/>
      <w:bdr w:val="nil"/>
      <w:lang w:val="en-US"/>
    </w:rPr>
  </w:style>
  <w:style w:type="numbering" w:customStyle="1" w:styleId="List51">
    <w:name w:val="List 51"/>
    <w:basedOn w:val="ImportedStyle6"/>
    <w:rsid w:val="00162EE2"/>
    <w:pPr>
      <w:numPr>
        <w:numId w:val="4"/>
      </w:numPr>
    </w:pPr>
  </w:style>
  <w:style w:type="numbering" w:customStyle="1" w:styleId="ImportedStyle6">
    <w:name w:val="Imported Style 6"/>
    <w:rsid w:val="00162EE2"/>
  </w:style>
  <w:style w:type="numbering" w:customStyle="1" w:styleId="List6">
    <w:name w:val="List 6"/>
    <w:basedOn w:val="ImportedStyle7"/>
    <w:rsid w:val="00162EE2"/>
    <w:pPr>
      <w:numPr>
        <w:numId w:val="5"/>
      </w:numPr>
    </w:pPr>
  </w:style>
  <w:style w:type="numbering" w:customStyle="1" w:styleId="ImportedStyle7">
    <w:name w:val="Imported Style 7"/>
    <w:rsid w:val="00162EE2"/>
  </w:style>
  <w:style w:type="numbering" w:customStyle="1" w:styleId="List7">
    <w:name w:val="List 7"/>
    <w:basedOn w:val="ImportedStyle8"/>
    <w:rsid w:val="00162EE2"/>
    <w:pPr>
      <w:numPr>
        <w:numId w:val="6"/>
      </w:numPr>
    </w:pPr>
  </w:style>
  <w:style w:type="numbering" w:customStyle="1" w:styleId="ImportedStyle8">
    <w:name w:val="Imported Style 8"/>
    <w:rsid w:val="00162EE2"/>
  </w:style>
  <w:style w:type="numbering" w:customStyle="1" w:styleId="List8">
    <w:name w:val="List 8"/>
    <w:basedOn w:val="ImportedStyle7"/>
    <w:rsid w:val="00162EE2"/>
    <w:pPr>
      <w:numPr>
        <w:numId w:val="7"/>
      </w:numPr>
    </w:pPr>
  </w:style>
  <w:style w:type="numbering" w:customStyle="1" w:styleId="List9">
    <w:name w:val="List 9"/>
    <w:basedOn w:val="ImportedStyle9"/>
    <w:rsid w:val="00162EE2"/>
    <w:pPr>
      <w:numPr>
        <w:numId w:val="8"/>
      </w:numPr>
    </w:pPr>
  </w:style>
  <w:style w:type="numbering" w:customStyle="1" w:styleId="ImportedStyle9">
    <w:name w:val="Imported Style 9"/>
    <w:rsid w:val="00162EE2"/>
  </w:style>
  <w:style w:type="numbering" w:customStyle="1" w:styleId="List10">
    <w:name w:val="List 10"/>
    <w:basedOn w:val="ImportedStyle10"/>
    <w:rsid w:val="00162EE2"/>
    <w:pPr>
      <w:numPr>
        <w:numId w:val="9"/>
      </w:numPr>
    </w:pPr>
  </w:style>
  <w:style w:type="numbering" w:customStyle="1" w:styleId="ImportedStyle10">
    <w:name w:val="Imported Style 10"/>
    <w:rsid w:val="00162EE2"/>
  </w:style>
  <w:style w:type="numbering" w:customStyle="1" w:styleId="List11">
    <w:name w:val="List 11"/>
    <w:basedOn w:val="ImportedStyle11"/>
    <w:rsid w:val="00162EE2"/>
    <w:pPr>
      <w:numPr>
        <w:numId w:val="10"/>
      </w:numPr>
    </w:pPr>
  </w:style>
  <w:style w:type="numbering" w:customStyle="1" w:styleId="ImportedStyle11">
    <w:name w:val="Imported Style 11"/>
    <w:rsid w:val="00162EE2"/>
  </w:style>
  <w:style w:type="numbering" w:customStyle="1" w:styleId="List12">
    <w:name w:val="List 12"/>
    <w:basedOn w:val="ImportedStyle2"/>
    <w:rsid w:val="00162EE2"/>
    <w:pPr>
      <w:numPr>
        <w:numId w:val="11"/>
      </w:numPr>
    </w:pPr>
  </w:style>
  <w:style w:type="numbering" w:customStyle="1" w:styleId="List13">
    <w:name w:val="List 13"/>
    <w:basedOn w:val="ImportedStyle12"/>
    <w:rsid w:val="00162EE2"/>
    <w:pPr>
      <w:numPr>
        <w:numId w:val="12"/>
      </w:numPr>
    </w:pPr>
  </w:style>
  <w:style w:type="numbering" w:customStyle="1" w:styleId="ImportedStyle12">
    <w:name w:val="Imported Style 12"/>
    <w:rsid w:val="00162EE2"/>
  </w:style>
  <w:style w:type="numbering" w:customStyle="1" w:styleId="List14">
    <w:name w:val="List 14"/>
    <w:basedOn w:val="ImportedStyle13"/>
    <w:rsid w:val="00162EE2"/>
    <w:pPr>
      <w:numPr>
        <w:numId w:val="13"/>
      </w:numPr>
    </w:pPr>
  </w:style>
  <w:style w:type="numbering" w:customStyle="1" w:styleId="ImportedStyle13">
    <w:name w:val="Imported Style 13"/>
    <w:rsid w:val="00162EE2"/>
  </w:style>
  <w:style w:type="numbering" w:customStyle="1" w:styleId="List15">
    <w:name w:val="List 15"/>
    <w:basedOn w:val="ImportedStyle15"/>
    <w:rsid w:val="00162EE2"/>
    <w:pPr>
      <w:numPr>
        <w:numId w:val="14"/>
      </w:numPr>
    </w:pPr>
  </w:style>
  <w:style w:type="numbering" w:customStyle="1" w:styleId="ImportedStyle15">
    <w:name w:val="Imported Style 15"/>
    <w:rsid w:val="00162EE2"/>
  </w:style>
  <w:style w:type="numbering" w:customStyle="1" w:styleId="List16">
    <w:name w:val="List 16"/>
    <w:basedOn w:val="ImportedStyle16"/>
    <w:rsid w:val="00162EE2"/>
    <w:pPr>
      <w:numPr>
        <w:numId w:val="15"/>
      </w:numPr>
    </w:pPr>
  </w:style>
  <w:style w:type="numbering" w:customStyle="1" w:styleId="ImportedStyle16">
    <w:name w:val="Imported Style 16"/>
    <w:rsid w:val="00162EE2"/>
  </w:style>
  <w:style w:type="numbering" w:customStyle="1" w:styleId="List17">
    <w:name w:val="List 17"/>
    <w:basedOn w:val="ImportedStyle17"/>
    <w:rsid w:val="00162EE2"/>
    <w:pPr>
      <w:numPr>
        <w:numId w:val="16"/>
      </w:numPr>
    </w:pPr>
  </w:style>
  <w:style w:type="numbering" w:customStyle="1" w:styleId="ImportedStyle17">
    <w:name w:val="Imported Style 17"/>
    <w:rsid w:val="00162EE2"/>
  </w:style>
  <w:style w:type="numbering" w:customStyle="1" w:styleId="List18">
    <w:name w:val="List 18"/>
    <w:basedOn w:val="ImportedStyle18"/>
    <w:rsid w:val="00162EE2"/>
    <w:pPr>
      <w:numPr>
        <w:numId w:val="17"/>
      </w:numPr>
    </w:pPr>
  </w:style>
  <w:style w:type="numbering" w:customStyle="1" w:styleId="ImportedStyle18">
    <w:name w:val="Imported Style 18"/>
    <w:rsid w:val="00162EE2"/>
  </w:style>
  <w:style w:type="character" w:customStyle="1" w:styleId="Hyperlink2">
    <w:name w:val="Hyperlink.2"/>
    <w:rsid w:val="00162EE2"/>
    <w:rPr>
      <w:color w:val="0000FF"/>
      <w:sz w:val="20"/>
      <w:szCs w:val="20"/>
      <w:u w:val="single" w:color="0000FF"/>
    </w:rPr>
  </w:style>
  <w:style w:type="numbering" w:customStyle="1" w:styleId="List19">
    <w:name w:val="List 19"/>
    <w:basedOn w:val="ImportedStyle19"/>
    <w:rsid w:val="00162EE2"/>
    <w:pPr>
      <w:numPr>
        <w:numId w:val="28"/>
      </w:numPr>
    </w:pPr>
  </w:style>
  <w:style w:type="numbering" w:customStyle="1" w:styleId="ImportedStyle19">
    <w:name w:val="Imported Style 19"/>
    <w:rsid w:val="00162EE2"/>
  </w:style>
  <w:style w:type="character" w:customStyle="1" w:styleId="Hyperlink3">
    <w:name w:val="Hyperlink.3"/>
    <w:rsid w:val="00162EE2"/>
    <w:rPr>
      <w:color w:val="0000FF"/>
      <w:u w:val="single" w:color="0000FF"/>
      <w:lang w:val="en-US"/>
    </w:rPr>
  </w:style>
  <w:style w:type="numbering" w:customStyle="1" w:styleId="List20">
    <w:name w:val="List 20"/>
    <w:basedOn w:val="ImportedStyle20"/>
    <w:rsid w:val="00162EE2"/>
    <w:pPr>
      <w:numPr>
        <w:numId w:val="63"/>
      </w:numPr>
    </w:pPr>
  </w:style>
  <w:style w:type="numbering" w:customStyle="1" w:styleId="ImportedStyle20">
    <w:name w:val="Imported Style 20"/>
    <w:rsid w:val="00162EE2"/>
  </w:style>
  <w:style w:type="numbering" w:customStyle="1" w:styleId="ImportedStyle21">
    <w:name w:val="Imported Style 21"/>
    <w:rsid w:val="00162EE2"/>
  </w:style>
  <w:style w:type="numbering" w:customStyle="1" w:styleId="List22">
    <w:name w:val="List 22"/>
    <w:basedOn w:val="ImportedStyle2"/>
    <w:rsid w:val="00162EE2"/>
    <w:pPr>
      <w:numPr>
        <w:numId w:val="19"/>
      </w:numPr>
    </w:pPr>
  </w:style>
  <w:style w:type="numbering" w:customStyle="1" w:styleId="List23">
    <w:name w:val="List 23"/>
    <w:basedOn w:val="ImportedStyle22"/>
    <w:rsid w:val="00162EE2"/>
    <w:pPr>
      <w:numPr>
        <w:numId w:val="25"/>
      </w:numPr>
    </w:pPr>
  </w:style>
  <w:style w:type="numbering" w:customStyle="1" w:styleId="ImportedStyle22">
    <w:name w:val="Imported Style 22"/>
    <w:rsid w:val="00162EE2"/>
  </w:style>
  <w:style w:type="numbering" w:customStyle="1" w:styleId="List24">
    <w:name w:val="List 24"/>
    <w:basedOn w:val="ImportedStyle23"/>
    <w:rsid w:val="00162EE2"/>
    <w:pPr>
      <w:numPr>
        <w:numId w:val="20"/>
      </w:numPr>
    </w:pPr>
  </w:style>
  <w:style w:type="numbering" w:customStyle="1" w:styleId="ImportedStyle23">
    <w:name w:val="Imported Style 23"/>
    <w:rsid w:val="00162EE2"/>
  </w:style>
  <w:style w:type="numbering" w:customStyle="1" w:styleId="List25">
    <w:name w:val="List 25"/>
    <w:basedOn w:val="ImportedStyle23"/>
    <w:rsid w:val="00162EE2"/>
    <w:pPr>
      <w:numPr>
        <w:numId w:val="30"/>
      </w:numPr>
    </w:pPr>
  </w:style>
  <w:style w:type="paragraph" w:styleId="BodyText">
    <w:name w:val="Body Text"/>
    <w:link w:val="BodyTextChar"/>
    <w:rsid w:val="00162EE2"/>
    <w:pPr>
      <w:pBdr>
        <w:top w:val="nil"/>
        <w:left w:val="nil"/>
        <w:bottom w:val="nil"/>
        <w:right w:val="nil"/>
        <w:between w:val="nil"/>
        <w:bar w:val="nil"/>
      </w:pBdr>
      <w:spacing w:after="120"/>
    </w:pPr>
    <w:rPr>
      <w:rFonts w:ascii="Gill Sans Light" w:eastAsia="Arial Unicode MS" w:hAnsi="Arial Unicode MS" w:cs="Arial Unicode MS"/>
      <w:color w:val="000000"/>
      <w:sz w:val="22"/>
      <w:szCs w:val="22"/>
      <w:u w:color="000000"/>
      <w:bdr w:val="nil"/>
      <w:lang w:val="en-US"/>
    </w:rPr>
  </w:style>
  <w:style w:type="character" w:customStyle="1" w:styleId="BodyTextChar">
    <w:name w:val="Body Text Char"/>
    <w:link w:val="BodyText"/>
    <w:rsid w:val="00162EE2"/>
    <w:rPr>
      <w:rFonts w:ascii="Gill Sans Light" w:eastAsia="Arial Unicode MS" w:hAnsi="Arial Unicode MS" w:cs="Arial Unicode MS"/>
      <w:color w:val="000000"/>
      <w:sz w:val="22"/>
      <w:szCs w:val="22"/>
      <w:u w:color="000000"/>
      <w:bdr w:val="nil"/>
    </w:rPr>
  </w:style>
  <w:style w:type="paragraph" w:styleId="CommentText">
    <w:name w:val="annotation text"/>
    <w:link w:val="CommentTextChar"/>
    <w:rsid w:val="00162EE2"/>
    <w:pPr>
      <w:pBdr>
        <w:top w:val="nil"/>
        <w:left w:val="nil"/>
        <w:bottom w:val="nil"/>
        <w:right w:val="nil"/>
        <w:between w:val="nil"/>
        <w:bar w:val="nil"/>
      </w:pBdr>
    </w:pPr>
    <w:rPr>
      <w:rFonts w:ascii="Times New Roman" w:eastAsia="Times New Roman" w:hAnsi="Times New Roman"/>
      <w:color w:val="000000"/>
      <w:u w:color="000000"/>
      <w:bdr w:val="nil"/>
      <w:lang w:val="en-US"/>
    </w:rPr>
  </w:style>
  <w:style w:type="character" w:customStyle="1" w:styleId="CommentTextChar">
    <w:name w:val="Comment Text Char"/>
    <w:link w:val="CommentText"/>
    <w:rsid w:val="00162EE2"/>
    <w:rPr>
      <w:rFonts w:ascii="Times New Roman" w:eastAsia="Times New Roman" w:hAnsi="Times New Roman" w:cs="Times New Roman"/>
      <w:color w:val="000000"/>
      <w:sz w:val="20"/>
      <w:szCs w:val="20"/>
      <w:u w:color="000000"/>
      <w:bdr w:val="nil"/>
    </w:rPr>
  </w:style>
  <w:style w:type="numbering" w:customStyle="1" w:styleId="List26">
    <w:name w:val="List 26"/>
    <w:basedOn w:val="ImportedStyle24"/>
    <w:rsid w:val="00162EE2"/>
    <w:pPr>
      <w:numPr>
        <w:numId w:val="21"/>
      </w:numPr>
    </w:pPr>
  </w:style>
  <w:style w:type="numbering" w:customStyle="1" w:styleId="ImportedStyle24">
    <w:name w:val="Imported Style 24"/>
    <w:rsid w:val="00162EE2"/>
  </w:style>
  <w:style w:type="numbering" w:customStyle="1" w:styleId="List27">
    <w:name w:val="List 27"/>
    <w:basedOn w:val="ImportedStyle25"/>
    <w:rsid w:val="00162EE2"/>
    <w:pPr>
      <w:numPr>
        <w:numId w:val="29"/>
      </w:numPr>
    </w:pPr>
  </w:style>
  <w:style w:type="numbering" w:customStyle="1" w:styleId="ImportedStyle25">
    <w:name w:val="Imported Style 25"/>
    <w:rsid w:val="00162EE2"/>
  </w:style>
  <w:style w:type="numbering" w:customStyle="1" w:styleId="List28">
    <w:name w:val="List 28"/>
    <w:basedOn w:val="ImportedStyle2"/>
    <w:rsid w:val="00162EE2"/>
    <w:pPr>
      <w:numPr>
        <w:numId w:val="22"/>
      </w:numPr>
    </w:pPr>
  </w:style>
  <w:style w:type="numbering" w:customStyle="1" w:styleId="List29">
    <w:name w:val="List 29"/>
    <w:basedOn w:val="ImportedStyle26"/>
    <w:rsid w:val="00162EE2"/>
    <w:pPr>
      <w:numPr>
        <w:numId w:val="23"/>
      </w:numPr>
    </w:pPr>
  </w:style>
  <w:style w:type="numbering" w:customStyle="1" w:styleId="ImportedStyle26">
    <w:name w:val="Imported Style 26"/>
    <w:rsid w:val="00162EE2"/>
  </w:style>
  <w:style w:type="character" w:styleId="CommentReference">
    <w:name w:val="annotation reference"/>
    <w:semiHidden/>
    <w:unhideWhenUsed/>
    <w:rsid w:val="00162EE2"/>
    <w:rPr>
      <w:sz w:val="16"/>
      <w:szCs w:val="16"/>
    </w:rPr>
  </w:style>
  <w:style w:type="paragraph" w:styleId="BalloonText">
    <w:name w:val="Balloon Text"/>
    <w:basedOn w:val="Normal"/>
    <w:link w:val="BalloonTextChar"/>
    <w:semiHidden/>
    <w:unhideWhenUsed/>
    <w:rsid w:val="00162EE2"/>
    <w:rPr>
      <w:rFonts w:ascii="Tahoma" w:hAnsi="Tahoma" w:cs="Tahoma"/>
      <w:sz w:val="16"/>
      <w:szCs w:val="16"/>
    </w:rPr>
  </w:style>
  <w:style w:type="character" w:customStyle="1" w:styleId="BalloonTextChar">
    <w:name w:val="Balloon Text Char"/>
    <w:link w:val="BalloonText"/>
    <w:semiHidden/>
    <w:rsid w:val="00162EE2"/>
    <w:rPr>
      <w:rFonts w:ascii="Tahoma" w:eastAsia="Arial Unicode MS" w:hAnsi="Tahoma" w:cs="Tahoma"/>
      <w:sz w:val="16"/>
      <w:szCs w:val="16"/>
      <w:bdr w:val="nil"/>
    </w:rPr>
  </w:style>
  <w:style w:type="paragraph" w:styleId="CommentSubject">
    <w:name w:val="annotation subject"/>
    <w:basedOn w:val="CommentText"/>
    <w:next w:val="CommentText"/>
    <w:link w:val="CommentSubjectChar"/>
    <w:semiHidden/>
    <w:unhideWhenUsed/>
    <w:rsid w:val="00162EE2"/>
    <w:rPr>
      <w:rFonts w:eastAsia="Arial Unicode MS"/>
      <w:b/>
      <w:bCs/>
      <w:color w:val="auto"/>
    </w:rPr>
  </w:style>
  <w:style w:type="character" w:customStyle="1" w:styleId="CommentSubjectChar">
    <w:name w:val="Comment Subject Char"/>
    <w:link w:val="CommentSubject"/>
    <w:semiHidden/>
    <w:rsid w:val="00162EE2"/>
    <w:rPr>
      <w:rFonts w:ascii="Times New Roman" w:eastAsia="Arial Unicode MS" w:hAnsi="Times New Roman" w:cs="Times New Roman"/>
      <w:b/>
      <w:bCs/>
      <w:color w:val="000000"/>
      <w:sz w:val="20"/>
      <w:szCs w:val="20"/>
      <w:u w:color="000000"/>
      <w:bdr w:val="nil"/>
    </w:rPr>
  </w:style>
  <w:style w:type="character" w:styleId="FootnoteReference">
    <w:name w:val="footnote reference"/>
    <w:uiPriority w:val="99"/>
    <w:unhideWhenUsed/>
    <w:rsid w:val="00162EE2"/>
    <w:rPr>
      <w:vertAlign w:val="superscript"/>
    </w:rPr>
  </w:style>
  <w:style w:type="character" w:customStyle="1" w:styleId="FootnoteReference1">
    <w:name w:val="Footnote Reference1"/>
    <w:rsid w:val="00162EE2"/>
    <w:rPr>
      <w:vertAlign w:val="superscript"/>
    </w:rPr>
  </w:style>
  <w:style w:type="character" w:customStyle="1" w:styleId="FootnoteCharacters">
    <w:name w:val="Footnote Characters"/>
    <w:rsid w:val="00162EE2"/>
  </w:style>
  <w:style w:type="paragraph" w:customStyle="1" w:styleId="FootnoteText1">
    <w:name w:val="Footnote Text1"/>
    <w:basedOn w:val="Normal"/>
    <w:rsid w:val="00162EE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100" w:lineRule="atLeast"/>
    </w:pPr>
    <w:rPr>
      <w:kern w:val="1"/>
      <w:sz w:val="20"/>
      <w:szCs w:val="20"/>
      <w:bdr w:val="none" w:sz="0" w:space="0" w:color="auto"/>
      <w:lang w:eastAsia="ar-SA"/>
    </w:rPr>
  </w:style>
  <w:style w:type="character" w:styleId="Strong">
    <w:name w:val="Strong"/>
    <w:uiPriority w:val="22"/>
    <w:qFormat/>
    <w:rsid w:val="00162EE2"/>
    <w:rPr>
      <w:rFonts w:ascii="DINPro-Medium" w:hAnsi="DINPro-Medium" w:cs="DINPro-Medium" w:hint="default"/>
      <w:b w:val="0"/>
      <w:bCs w:val="0"/>
      <w:sz w:val="22"/>
      <w:lang w:val="en-GB"/>
    </w:rPr>
  </w:style>
  <w:style w:type="character" w:customStyle="1" w:styleId="Funotenzeichen">
    <w:name w:val="Fußnotenzeichen"/>
    <w:rsid w:val="00162EE2"/>
    <w:rPr>
      <w:vertAlign w:val="superscript"/>
    </w:rPr>
  </w:style>
  <w:style w:type="paragraph" w:styleId="Header">
    <w:name w:val="header"/>
    <w:basedOn w:val="Normal"/>
    <w:link w:val="HeaderChar"/>
    <w:unhideWhenUsed/>
    <w:rsid w:val="00162EE2"/>
    <w:pPr>
      <w:tabs>
        <w:tab w:val="center" w:pos="4680"/>
        <w:tab w:val="right" w:pos="9360"/>
      </w:tabs>
    </w:pPr>
  </w:style>
  <w:style w:type="character" w:customStyle="1" w:styleId="HeaderChar">
    <w:name w:val="Header Char"/>
    <w:link w:val="Header"/>
    <w:rsid w:val="00162EE2"/>
    <w:rPr>
      <w:rFonts w:ascii="Times New Roman" w:eastAsia="Arial Unicode MS" w:hAnsi="Times New Roman" w:cs="Times New Roman"/>
      <w:bdr w:val="nil"/>
    </w:rPr>
  </w:style>
  <w:style w:type="paragraph" w:styleId="Footer">
    <w:name w:val="footer"/>
    <w:basedOn w:val="Normal"/>
    <w:link w:val="FooterChar"/>
    <w:unhideWhenUsed/>
    <w:rsid w:val="00162EE2"/>
    <w:pPr>
      <w:tabs>
        <w:tab w:val="center" w:pos="4680"/>
        <w:tab w:val="right" w:pos="9360"/>
      </w:tabs>
    </w:pPr>
  </w:style>
  <w:style w:type="character" w:customStyle="1" w:styleId="FooterChar">
    <w:name w:val="Footer Char"/>
    <w:link w:val="Footer"/>
    <w:rsid w:val="00162EE2"/>
    <w:rPr>
      <w:rFonts w:ascii="Times New Roman" w:eastAsia="Arial Unicode MS" w:hAnsi="Times New Roman" w:cs="Times New Roman"/>
      <w:bdr w:val="nil"/>
    </w:rPr>
  </w:style>
  <w:style w:type="paragraph" w:customStyle="1" w:styleId="ZCom">
    <w:name w:val="Z_Com"/>
    <w:basedOn w:val="Normal"/>
    <w:next w:val="ZDGName"/>
    <w:uiPriority w:val="99"/>
    <w:rsid w:val="00162EE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jc w:val="both"/>
    </w:pPr>
    <w:rPr>
      <w:rFonts w:ascii="Arial" w:eastAsia="MS Mincho" w:hAnsi="Arial" w:cs="Arial"/>
      <w:bdr w:val="none" w:sz="0" w:space="0" w:color="auto"/>
      <w:lang w:val="en-GB" w:eastAsia="en-GB"/>
    </w:rPr>
  </w:style>
  <w:style w:type="paragraph" w:customStyle="1" w:styleId="ZDGName">
    <w:name w:val="Z_DGName"/>
    <w:basedOn w:val="Normal"/>
    <w:uiPriority w:val="99"/>
    <w:rsid w:val="00162EE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right="85"/>
    </w:pPr>
    <w:rPr>
      <w:rFonts w:ascii="Arial" w:eastAsia="MS Mincho" w:hAnsi="Arial" w:cs="Arial"/>
      <w:sz w:val="16"/>
      <w:szCs w:val="16"/>
      <w:bdr w:val="none" w:sz="0" w:space="0" w:color="auto"/>
      <w:lang w:val="en-GB" w:eastAsia="en-GB"/>
    </w:rPr>
  </w:style>
  <w:style w:type="table" w:styleId="TableGrid">
    <w:name w:val="Table Grid"/>
    <w:basedOn w:val="TableNormal"/>
    <w:rsid w:val="00162EE2"/>
    <w:rPr>
      <w:rFonts w:ascii="Calibri" w:eastAsia="MS Mincho"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62EE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MS Mincho" w:hAnsi="Times"/>
      <w:sz w:val="20"/>
      <w:szCs w:val="20"/>
      <w:bdr w:val="none" w:sz="0" w:space="0" w:color="auto"/>
    </w:rPr>
  </w:style>
  <w:style w:type="paragraph" w:styleId="TOCHeading">
    <w:name w:val="TOC Heading"/>
    <w:basedOn w:val="Heading1"/>
    <w:next w:val="Normal"/>
    <w:uiPriority w:val="39"/>
    <w:unhideWhenUsed/>
    <w:qFormat/>
    <w:rsid w:val="00162EE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9"/>
    </w:pPr>
    <w:rPr>
      <w:bdr w:val="none" w:sz="0" w:space="0" w:color="auto"/>
    </w:rPr>
  </w:style>
  <w:style w:type="paragraph" w:styleId="TOC3">
    <w:name w:val="toc 3"/>
    <w:basedOn w:val="Normal"/>
    <w:next w:val="Normal"/>
    <w:autoRedefine/>
    <w:uiPriority w:val="39"/>
    <w:unhideWhenUsed/>
    <w:rsid w:val="00162EE2"/>
    <w:pPr>
      <w:ind w:left="240"/>
    </w:pPr>
    <w:rPr>
      <w:rFonts w:asciiTheme="minorHAnsi" w:hAnsiTheme="minorHAnsi"/>
      <w:i/>
      <w:sz w:val="22"/>
      <w:szCs w:val="22"/>
    </w:rPr>
  </w:style>
  <w:style w:type="paragraph" w:styleId="TOC1">
    <w:name w:val="toc 1"/>
    <w:basedOn w:val="Normal"/>
    <w:next w:val="Normal"/>
    <w:autoRedefine/>
    <w:uiPriority w:val="39"/>
    <w:unhideWhenUsed/>
    <w:rsid w:val="00162EE2"/>
    <w:pPr>
      <w:spacing w:before="120"/>
    </w:pPr>
    <w:rPr>
      <w:rFonts w:asciiTheme="majorHAnsi" w:hAnsiTheme="majorHAnsi"/>
      <w:b/>
      <w:color w:val="548DD4"/>
    </w:rPr>
  </w:style>
  <w:style w:type="paragraph" w:styleId="TOC2">
    <w:name w:val="toc 2"/>
    <w:basedOn w:val="Normal"/>
    <w:next w:val="Normal"/>
    <w:autoRedefine/>
    <w:uiPriority w:val="39"/>
    <w:unhideWhenUsed/>
    <w:rsid w:val="00162EE2"/>
    <w:rPr>
      <w:rFonts w:asciiTheme="minorHAnsi" w:hAnsiTheme="minorHAnsi"/>
      <w:sz w:val="22"/>
      <w:szCs w:val="22"/>
    </w:rPr>
  </w:style>
  <w:style w:type="character" w:styleId="PageNumber">
    <w:name w:val="page number"/>
    <w:unhideWhenUsed/>
    <w:rsid w:val="00162EE2"/>
  </w:style>
  <w:style w:type="paragraph" w:styleId="ListParagraph">
    <w:name w:val="List Paragraph"/>
    <w:basedOn w:val="Normal"/>
    <w:uiPriority w:val="34"/>
    <w:qFormat/>
    <w:rsid w:val="00162EE2"/>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Cambria" w:eastAsia="MS Mincho" w:hAnsi="Cambria"/>
      <w:bdr w:val="none" w:sz="0" w:space="0" w:color="auto"/>
      <w:lang w:val="en-GB"/>
    </w:rPr>
  </w:style>
  <w:style w:type="paragraph" w:customStyle="1" w:styleId="Sombreadovistoso-nfasis3">
    <w:name w:val="Sombreado vistoso - Énfasis 3"/>
    <w:basedOn w:val="Normal"/>
    <w:qFormat/>
    <w:rsid w:val="00162EE2"/>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Calibri" w:hAnsi="Calibri" w:cs="Calibri"/>
      <w:sz w:val="22"/>
      <w:szCs w:val="22"/>
      <w:bdr w:val="none" w:sz="0" w:space="0" w:color="auto"/>
    </w:rPr>
  </w:style>
  <w:style w:type="character" w:customStyle="1" w:styleId="BalloonTextChar1">
    <w:name w:val="Balloon Text Char1"/>
    <w:uiPriority w:val="99"/>
    <w:semiHidden/>
    <w:rsid w:val="00162EE2"/>
    <w:rPr>
      <w:rFonts w:ascii="Lucida Grande" w:eastAsia="MS Mincho" w:hAnsi="Lucida Grande" w:cs="Lucida Grande"/>
      <w:sz w:val="18"/>
      <w:szCs w:val="18"/>
      <w:lang w:val="en-GB"/>
    </w:rPr>
  </w:style>
  <w:style w:type="paragraph" w:customStyle="1" w:styleId="Bullet1">
    <w:name w:val="Bullet 1"/>
    <w:basedOn w:val="Normal"/>
    <w:rsid w:val="00162EE2"/>
    <w:pPr>
      <w:numPr>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jc w:val="both"/>
    </w:pPr>
    <w:rPr>
      <w:rFonts w:eastAsia="Times New Roman"/>
      <w:szCs w:val="20"/>
      <w:bdr w:val="none" w:sz="0" w:space="0" w:color="auto"/>
      <w:lang w:val="en-GB" w:eastAsia="en-GB"/>
    </w:rPr>
  </w:style>
  <w:style w:type="paragraph" w:customStyle="1" w:styleId="Bullet2">
    <w:name w:val="Bullet 2"/>
    <w:basedOn w:val="Normal"/>
    <w:rsid w:val="00162EE2"/>
    <w:pPr>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60"/>
      <w:jc w:val="both"/>
    </w:pPr>
    <w:rPr>
      <w:rFonts w:eastAsia="Times New Roman"/>
      <w:szCs w:val="20"/>
      <w:bdr w:val="none" w:sz="0" w:space="0" w:color="auto"/>
      <w:lang w:val="de-DE" w:eastAsia="ja-JP"/>
    </w:rPr>
  </w:style>
  <w:style w:type="numbering" w:customStyle="1" w:styleId="Numbers">
    <w:name w:val="Numbers"/>
    <w:rsid w:val="00162EE2"/>
    <w:pPr>
      <w:numPr>
        <w:numId w:val="40"/>
      </w:numPr>
    </w:pPr>
  </w:style>
  <w:style w:type="paragraph" w:customStyle="1" w:styleId="tablenarrow">
    <w:name w:val="table narrow"/>
    <w:basedOn w:val="Normal"/>
    <w:rsid w:val="00162EE2"/>
    <w:pPr>
      <w:pBdr>
        <w:top w:val="none" w:sz="0" w:space="0" w:color="auto"/>
        <w:left w:val="none" w:sz="0" w:space="0" w:color="auto"/>
        <w:bottom w:val="none" w:sz="0" w:space="0" w:color="auto"/>
        <w:right w:val="none" w:sz="0" w:space="0" w:color="auto"/>
        <w:between w:val="none" w:sz="0" w:space="0" w:color="auto"/>
        <w:bar w:val="none" w:sz="0" w:color="auto"/>
      </w:pBdr>
      <w:spacing w:after="60"/>
      <w:jc w:val="both"/>
    </w:pPr>
    <w:rPr>
      <w:rFonts w:ascii="Arial Narrow" w:eastAsia="Times New Roman" w:hAnsi="Arial Narrow"/>
      <w:sz w:val="20"/>
      <w:szCs w:val="20"/>
      <w:bdr w:val="none" w:sz="0" w:space="0" w:color="auto"/>
      <w:lang w:val="en-GB" w:eastAsia="de-DE"/>
    </w:rPr>
  </w:style>
  <w:style w:type="paragraph" w:customStyle="1" w:styleId="ColorfulList-Accent11">
    <w:name w:val="Colorful List - Accent 11"/>
    <w:basedOn w:val="Normal"/>
    <w:uiPriority w:val="34"/>
    <w:qFormat/>
    <w:rsid w:val="00162EE2"/>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Cambria" w:eastAsia="MS Mincho" w:hAnsi="Cambria"/>
      <w:bdr w:val="none" w:sz="0" w:space="0" w:color="auto"/>
    </w:rPr>
  </w:style>
  <w:style w:type="character" w:styleId="FollowedHyperlink">
    <w:name w:val="FollowedHyperlink"/>
    <w:rsid w:val="00162EE2"/>
    <w:rPr>
      <w:color w:val="800080"/>
      <w:u w:val="single"/>
    </w:rPr>
  </w:style>
  <w:style w:type="character" w:customStyle="1" w:styleId="apple-tab-span">
    <w:name w:val="apple-tab-span"/>
    <w:rsid w:val="00162EE2"/>
  </w:style>
  <w:style w:type="paragraph" w:styleId="Revision">
    <w:name w:val="Revision"/>
    <w:hidden/>
    <w:uiPriority w:val="99"/>
    <w:rsid w:val="00162EE2"/>
    <w:rPr>
      <w:rFonts w:ascii="Times New Roman" w:eastAsia="Times New Roman" w:hAnsi="Times New Roman"/>
      <w:sz w:val="24"/>
      <w:lang w:eastAsia="ja-JP"/>
    </w:rPr>
  </w:style>
  <w:style w:type="paragraph" w:customStyle="1" w:styleId="normal0">
    <w:name w:val="normal"/>
    <w:rsid w:val="00162EE2"/>
    <w:pPr>
      <w:spacing w:line="276" w:lineRule="auto"/>
    </w:pPr>
    <w:rPr>
      <w:rFonts w:ascii="Arial" w:eastAsia="Times New Roman" w:hAnsi="Arial" w:cs="Arial"/>
      <w:color w:val="000000"/>
      <w:sz w:val="22"/>
      <w:szCs w:val="22"/>
      <w:lang w:val="en-IE" w:eastAsia="en-IE"/>
    </w:rPr>
  </w:style>
  <w:style w:type="character" w:customStyle="1" w:styleId="apple-converted-space">
    <w:name w:val="apple-converted-space"/>
    <w:rsid w:val="00162EE2"/>
  </w:style>
  <w:style w:type="character" w:customStyle="1" w:styleId="given-name">
    <w:name w:val="given-name"/>
    <w:rsid w:val="00162EE2"/>
  </w:style>
  <w:style w:type="character" w:customStyle="1" w:styleId="family-name">
    <w:name w:val="family-name"/>
    <w:rsid w:val="00162EE2"/>
  </w:style>
  <w:style w:type="paragraph" w:styleId="Caption">
    <w:name w:val="caption"/>
    <w:basedOn w:val="Normal"/>
    <w:next w:val="Normal"/>
    <w:rsid w:val="00162EE2"/>
    <w:pPr>
      <w:keepNext/>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Verdana" w:eastAsia="MS Mincho" w:hAnsi="Verdana"/>
      <w:b/>
      <w:bCs/>
      <w:sz w:val="20"/>
      <w:szCs w:val="18"/>
      <w:bdr w:val="none" w:sz="0" w:space="0" w:color="auto"/>
      <w:lang w:val="en-GB"/>
    </w:rPr>
  </w:style>
  <w:style w:type="paragraph" w:styleId="TOC4">
    <w:name w:val="toc 4"/>
    <w:basedOn w:val="Normal"/>
    <w:next w:val="Normal"/>
    <w:autoRedefine/>
    <w:rsid w:val="00162EE2"/>
    <w:pPr>
      <w:pBdr>
        <w:between w:val="double" w:sz="6" w:space="0" w:color="auto"/>
      </w:pBdr>
      <w:ind w:left="480"/>
    </w:pPr>
    <w:rPr>
      <w:rFonts w:asciiTheme="minorHAnsi" w:hAnsiTheme="minorHAnsi"/>
      <w:sz w:val="20"/>
      <w:szCs w:val="20"/>
    </w:rPr>
  </w:style>
  <w:style w:type="paragraph" w:styleId="TOC5">
    <w:name w:val="toc 5"/>
    <w:basedOn w:val="Normal"/>
    <w:next w:val="Normal"/>
    <w:autoRedefine/>
    <w:rsid w:val="00162EE2"/>
    <w:pPr>
      <w:pBdr>
        <w:between w:val="double" w:sz="6" w:space="0" w:color="auto"/>
      </w:pBdr>
      <w:ind w:left="720"/>
    </w:pPr>
    <w:rPr>
      <w:rFonts w:asciiTheme="minorHAnsi" w:hAnsiTheme="minorHAnsi"/>
      <w:sz w:val="20"/>
      <w:szCs w:val="20"/>
    </w:rPr>
  </w:style>
  <w:style w:type="paragraph" w:styleId="TOC6">
    <w:name w:val="toc 6"/>
    <w:basedOn w:val="Normal"/>
    <w:next w:val="Normal"/>
    <w:autoRedefine/>
    <w:rsid w:val="00162EE2"/>
    <w:pPr>
      <w:pBdr>
        <w:between w:val="double" w:sz="6" w:space="0" w:color="auto"/>
      </w:pBdr>
      <w:ind w:left="960"/>
    </w:pPr>
    <w:rPr>
      <w:rFonts w:asciiTheme="minorHAnsi" w:hAnsiTheme="minorHAnsi"/>
      <w:sz w:val="20"/>
      <w:szCs w:val="20"/>
    </w:rPr>
  </w:style>
  <w:style w:type="paragraph" w:styleId="TOC7">
    <w:name w:val="toc 7"/>
    <w:basedOn w:val="Normal"/>
    <w:next w:val="Normal"/>
    <w:autoRedefine/>
    <w:rsid w:val="00162EE2"/>
    <w:pPr>
      <w:pBdr>
        <w:between w:val="double" w:sz="6" w:space="0" w:color="auto"/>
      </w:pBdr>
      <w:ind w:left="1200"/>
    </w:pPr>
    <w:rPr>
      <w:rFonts w:asciiTheme="minorHAnsi" w:hAnsiTheme="minorHAnsi"/>
      <w:sz w:val="20"/>
      <w:szCs w:val="20"/>
    </w:rPr>
  </w:style>
  <w:style w:type="paragraph" w:styleId="TOC8">
    <w:name w:val="toc 8"/>
    <w:basedOn w:val="Normal"/>
    <w:next w:val="Normal"/>
    <w:autoRedefine/>
    <w:rsid w:val="00162EE2"/>
    <w:pPr>
      <w:pBdr>
        <w:between w:val="double" w:sz="6" w:space="0" w:color="auto"/>
      </w:pBdr>
      <w:ind w:left="1440"/>
    </w:pPr>
    <w:rPr>
      <w:rFonts w:asciiTheme="minorHAnsi" w:hAnsiTheme="minorHAnsi"/>
      <w:sz w:val="20"/>
      <w:szCs w:val="20"/>
    </w:rPr>
  </w:style>
  <w:style w:type="paragraph" w:styleId="TOC9">
    <w:name w:val="toc 9"/>
    <w:basedOn w:val="Normal"/>
    <w:next w:val="Normal"/>
    <w:autoRedefine/>
    <w:rsid w:val="00162EE2"/>
    <w:pPr>
      <w:pBdr>
        <w:between w:val="double" w:sz="6" w:space="0" w:color="auto"/>
      </w:pBdr>
      <w:ind w:left="168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pl4sd.eu" TargetMode="External"/><Relationship Id="rId12" Type="http://schemas.openxmlformats.org/officeDocument/2006/relationships/hyperlink" Target="http://www.pl4sd.eu" TargetMode="External"/><Relationship Id="rId13" Type="http://schemas.openxmlformats.org/officeDocument/2006/relationships/hyperlink" Target="http://www.socialdimension-he.eu" TargetMode="External"/><Relationship Id="rId14" Type="http://schemas.openxmlformats.org/officeDocument/2006/relationships/image" Target="media/image1.png"/><Relationship Id="rId15" Type="http://schemas.openxmlformats.org/officeDocument/2006/relationships/hyperlink" Target="http://www.pl4sd.eu" TargetMode="External"/><Relationship Id="rId16" Type="http://schemas.openxmlformats.org/officeDocument/2006/relationships/hyperlink" Target="mailto:elisabeth@esu-online.org" TargetMode="External"/><Relationship Id="rId17" Type="http://schemas.openxmlformats.org/officeDocument/2006/relationships/hyperlink" Target="mailto:brian_power@education.gov.ie" TargetMode="Externa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pl4sd.eu/download/PL4SD_Questionnair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C2C5A-B4DE-4B0D-A175-F214FA1E7B6A}">
  <ds:schemaRefs>
    <ds:schemaRef ds:uri="http://schemas.microsoft.com/sharepoint/v3/contenttype/forms"/>
  </ds:schemaRefs>
</ds:datastoreItem>
</file>

<file path=customXml/itemProps2.xml><?xml version="1.0" encoding="utf-8"?>
<ds:datastoreItem xmlns:ds="http://schemas.openxmlformats.org/officeDocument/2006/customXml" ds:itemID="{697E61E5-6067-4199-A896-9136A28DE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853C27-D8F2-344A-968D-CFD9DE0B2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10106</Words>
  <Characters>56494</Characters>
  <Application>Microsoft Macintosh Word</Application>
  <DocSecurity>0</DocSecurity>
  <Lines>1486</Lines>
  <Paragraphs>679</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Executive Summary </vt:lpstr>
      <vt:lpstr>    Background</vt:lpstr>
      <vt:lpstr>    About the report</vt:lpstr>
      <vt:lpstr>    Key recommendations</vt:lpstr>
      <vt:lpstr>1. Introduction</vt:lpstr>
      <vt:lpstr>    1.1. Context</vt:lpstr>
      <vt:lpstr>    1.2. Current Position: Social Dimension and Lifelong Learning WG’s Mandate and M</vt:lpstr>
      <vt:lpstr>2.   2012-2015 Social Dimension and Lifelong Learning WG: Achievement of the Act</vt:lpstr>
      <vt:lpstr>    2.1. Widening Participation for Equity and Growth - A Strategy for the Developme</vt:lpstr>
      <vt:lpstr>    2.2. TG on Access</vt:lpstr>
      <vt:lpstr>    2.2. TG on Teaching and Learning</vt:lpstr>
      <vt:lpstr>    2.3. TG on Student Supports and Services</vt:lpstr>
      <vt:lpstr>    2.4. TG on Lifelong Learning and Employability</vt:lpstr>
      <vt:lpstr>3.  Peer Learning for the Social Dimension (PL4SD) Project </vt:lpstr>
      <vt:lpstr>    3.1. PL4SD database</vt:lpstr>
      <vt:lpstr>    3.2. PL4SD country reviews</vt:lpstr>
      <vt:lpstr>    3.3. Peer-Learning</vt:lpstr>
      <vt:lpstr>    3.4. Added value applicable to the Bologna Process</vt:lpstr>
      <vt:lpstr>    3.5. Future of PL4SD</vt:lpstr>
      <vt:lpstr>Conclusions</vt:lpstr>
      <vt:lpstr>Recommendations</vt:lpstr>
      <vt:lpstr>Acronyms</vt:lpstr>
      <vt:lpstr>Figures and Tables</vt:lpstr>
      <vt:lpstr>    Figure 1 </vt:lpstr>
      <vt:lpstr>    Table 1 </vt:lpstr>
      <vt:lpstr>Appendices </vt:lpstr>
      <vt:lpstr>    Appendix 1</vt:lpstr>
      <vt:lpstr>    Appendix 2</vt:lpstr>
      <vt:lpstr>    Appendix 3</vt:lpstr>
    </vt:vector>
  </TitlesOfParts>
  <Manager/>
  <Company>Secretariat</Company>
  <LinksUpToDate>false</LinksUpToDate>
  <CharactersWithSpaces>65921</CharactersWithSpaces>
  <SharedDoc>false</SharedDoc>
  <HyperlinkBase/>
  <HLinks>
    <vt:vector size="42" baseType="variant">
      <vt:variant>
        <vt:i4>8126554</vt:i4>
      </vt:variant>
      <vt:variant>
        <vt:i4>102</vt:i4>
      </vt:variant>
      <vt:variant>
        <vt:i4>0</vt:i4>
      </vt:variant>
      <vt:variant>
        <vt:i4>5</vt:i4>
      </vt:variant>
      <vt:variant>
        <vt:lpwstr>mailto:brian_power@education.gov.ie</vt:lpwstr>
      </vt:variant>
      <vt:variant>
        <vt:lpwstr/>
      </vt:variant>
      <vt:variant>
        <vt:i4>2293815</vt:i4>
      </vt:variant>
      <vt:variant>
        <vt:i4>99</vt:i4>
      </vt:variant>
      <vt:variant>
        <vt:i4>0</vt:i4>
      </vt:variant>
      <vt:variant>
        <vt:i4>5</vt:i4>
      </vt:variant>
      <vt:variant>
        <vt:lpwstr>mailto:elisabeth@esu-online.org</vt:lpwstr>
      </vt:variant>
      <vt:variant>
        <vt:lpwstr/>
      </vt:variant>
      <vt:variant>
        <vt:i4>589831</vt:i4>
      </vt:variant>
      <vt:variant>
        <vt:i4>93</vt:i4>
      </vt:variant>
      <vt:variant>
        <vt:i4>0</vt:i4>
      </vt:variant>
      <vt:variant>
        <vt:i4>5</vt:i4>
      </vt:variant>
      <vt:variant>
        <vt:lpwstr>http://www.socialdimension-he.eu</vt:lpwstr>
      </vt:variant>
      <vt:variant>
        <vt:lpwstr/>
      </vt:variant>
      <vt:variant>
        <vt:i4>7208980</vt:i4>
      </vt:variant>
      <vt:variant>
        <vt:i4>90</vt:i4>
      </vt:variant>
      <vt:variant>
        <vt:i4>0</vt:i4>
      </vt:variant>
      <vt:variant>
        <vt:i4>5</vt:i4>
      </vt:variant>
      <vt:variant>
        <vt:lpwstr>http://www.pl4sd.eu</vt:lpwstr>
      </vt:variant>
      <vt:variant>
        <vt:lpwstr/>
      </vt:variant>
      <vt:variant>
        <vt:i4>7208980</vt:i4>
      </vt:variant>
      <vt:variant>
        <vt:i4>81</vt:i4>
      </vt:variant>
      <vt:variant>
        <vt:i4>0</vt:i4>
      </vt:variant>
      <vt:variant>
        <vt:i4>5</vt:i4>
      </vt:variant>
      <vt:variant>
        <vt:lpwstr>http://www.pl4sd.eu</vt:lpwstr>
      </vt:variant>
      <vt:variant>
        <vt:lpwstr/>
      </vt:variant>
      <vt:variant>
        <vt:i4>7208980</vt:i4>
      </vt:variant>
      <vt:variant>
        <vt:i4>72</vt:i4>
      </vt:variant>
      <vt:variant>
        <vt:i4>0</vt:i4>
      </vt:variant>
      <vt:variant>
        <vt:i4>5</vt:i4>
      </vt:variant>
      <vt:variant>
        <vt:lpwstr>http://www.pl4sd.eu</vt:lpwstr>
      </vt:variant>
      <vt:variant>
        <vt:lpwstr/>
      </vt:variant>
      <vt:variant>
        <vt:i4>1048637</vt:i4>
      </vt:variant>
      <vt:variant>
        <vt:i4>0</vt:i4>
      </vt:variant>
      <vt:variant>
        <vt:i4>0</vt:i4>
      </vt:variant>
      <vt:variant>
        <vt:i4>5</vt:i4>
      </vt:variant>
      <vt:variant>
        <vt:lpwstr>http://www.pl4sd.eu/download/PL4SD_Questionnaire.pdf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Sahakanush Sargsyan</dc:creator>
  <cp:keywords/>
  <dc:description/>
  <cp:lastModifiedBy>Sahakanush Sargsyan</cp:lastModifiedBy>
  <cp:revision>5</cp:revision>
  <cp:lastPrinted>2014-12-19T08:26:00Z</cp:lastPrinted>
  <dcterms:created xsi:type="dcterms:W3CDTF">2015-01-20T11:31:00Z</dcterms:created>
  <dcterms:modified xsi:type="dcterms:W3CDTF">2015-01-20T11:44:00Z</dcterms:modified>
  <cp:category/>
</cp:coreProperties>
</file>