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2.xml" ContentType="application/vnd.openxmlformats-officedocument.customXmlProperties+xml"/>
  <Override PartName="/customXml/itemProps3.xml" ContentType="application/vnd.openxmlformats-officedocument.customXmlProperties+xml"/>
  <Override PartName="/word/diagrams/data1.xml" ContentType="application/vnd.openxmlformats-officedocument.drawingml.diagramData+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Override PartName="/word/diagrams/colors1.xml" ContentType="application/vnd.openxmlformats-officedocument.drawingml.diagramColor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78B6C" w14:textId="77777777" w:rsidR="00080625" w:rsidRDefault="00080625" w:rsidP="00080625">
      <w:pPr>
        <w:pStyle w:val="Body"/>
      </w:pPr>
      <w:bookmarkStart w:id="0" w:name="_GoBack"/>
      <w:bookmarkEnd w:id="0"/>
    </w:p>
    <w:p w14:paraId="7EFC745D" w14:textId="77777777" w:rsidR="00080625" w:rsidRDefault="00080625" w:rsidP="00080625">
      <w:pPr>
        <w:pStyle w:val="Body"/>
      </w:pPr>
    </w:p>
    <w:p w14:paraId="36091496" w14:textId="77777777" w:rsidR="00080625" w:rsidRDefault="00080625" w:rsidP="00080625">
      <w:pPr>
        <w:pStyle w:val="Body"/>
      </w:pPr>
    </w:p>
    <w:p w14:paraId="1567A1A0" w14:textId="77777777" w:rsidR="00080625" w:rsidRDefault="00080625" w:rsidP="00080625">
      <w:pPr>
        <w:pStyle w:val="Body"/>
        <w:jc w:val="both"/>
      </w:pPr>
      <w:r>
        <w:t xml:space="preserve">Strasbourg, Brussels, Vatican City, Warsaw, </w:t>
      </w:r>
      <w:r w:rsidR="00285903">
        <w:t>August 4</w:t>
      </w:r>
      <w:r>
        <w:t>, 2014</w:t>
      </w:r>
    </w:p>
    <w:p w14:paraId="43B03684" w14:textId="77777777" w:rsidR="00080625" w:rsidRDefault="00080625" w:rsidP="00080625">
      <w:pPr>
        <w:pStyle w:val="Body"/>
      </w:pPr>
    </w:p>
    <w:p w14:paraId="5A28330E" w14:textId="77777777" w:rsidR="00080625" w:rsidRDefault="00080625" w:rsidP="00080625">
      <w:pPr>
        <w:pStyle w:val="Body"/>
      </w:pPr>
    </w:p>
    <w:p w14:paraId="533B7667" w14:textId="77777777" w:rsidR="00080625" w:rsidRDefault="00080625" w:rsidP="00080625">
      <w:pPr>
        <w:pStyle w:val="Body"/>
      </w:pPr>
    </w:p>
    <w:p w14:paraId="2B3A30D9" w14:textId="77777777" w:rsidR="00080625" w:rsidRDefault="00080625" w:rsidP="00080625">
      <w:pPr>
        <w:pStyle w:val="Body"/>
      </w:pPr>
    </w:p>
    <w:p w14:paraId="7270D018" w14:textId="77777777" w:rsidR="00080625" w:rsidRDefault="00080625" w:rsidP="00080625">
      <w:pPr>
        <w:pStyle w:val="Body"/>
        <w:rPr>
          <w:rFonts w:ascii="Times New Roman Bold" w:eastAsia="Times New Roman Bold" w:hAnsi="Times New Roman Bold" w:cs="Times New Roman Bold"/>
          <w:sz w:val="28"/>
          <w:szCs w:val="28"/>
        </w:rPr>
      </w:pPr>
      <w:r>
        <w:rPr>
          <w:rFonts w:ascii="Times New Roman Bold"/>
          <w:sz w:val="28"/>
          <w:szCs w:val="28"/>
        </w:rPr>
        <w:t>STRUCTURAL REFORMS WORKING GROUP</w:t>
      </w:r>
    </w:p>
    <w:p w14:paraId="6CEC0BB2" w14:textId="77777777" w:rsidR="00080625" w:rsidRDefault="00080625" w:rsidP="00080625">
      <w:pPr>
        <w:pStyle w:val="Body"/>
        <w:rPr>
          <w:rFonts w:ascii="Times New Roman Bold" w:eastAsia="Times New Roman Bold" w:hAnsi="Times New Roman Bold" w:cs="Times New Roman Bold"/>
          <w:sz w:val="28"/>
          <w:szCs w:val="28"/>
        </w:rPr>
      </w:pPr>
    </w:p>
    <w:p w14:paraId="3689A9EB" w14:textId="77777777" w:rsidR="00080625" w:rsidRDefault="00080625" w:rsidP="00080625">
      <w:pPr>
        <w:pStyle w:val="Body"/>
      </w:pPr>
      <w:r>
        <w:t xml:space="preserve">Vatican City, September 16 </w:t>
      </w:r>
      <w:r>
        <w:t>–</w:t>
      </w:r>
      <w:r>
        <w:t xml:space="preserve"> 17, 2014, 2014</w:t>
      </w:r>
    </w:p>
    <w:p w14:paraId="5A4878C2" w14:textId="77777777" w:rsidR="00080625" w:rsidRDefault="00080625" w:rsidP="00080625">
      <w:pPr>
        <w:pStyle w:val="Body"/>
      </w:pPr>
    </w:p>
    <w:p w14:paraId="294D82E5" w14:textId="77777777" w:rsidR="006016C4" w:rsidRDefault="006016C4" w:rsidP="00080625">
      <w:pPr>
        <w:pStyle w:val="Body"/>
      </w:pPr>
    </w:p>
    <w:p w14:paraId="1DA34B8F" w14:textId="77777777" w:rsidR="00080625" w:rsidRDefault="00080625" w:rsidP="00080625">
      <w:pPr>
        <w:pStyle w:val="Body"/>
      </w:pPr>
    </w:p>
    <w:p w14:paraId="1C96618D" w14:textId="77777777" w:rsidR="00080625" w:rsidRDefault="00080625" w:rsidP="00080625">
      <w:pPr>
        <w:pStyle w:val="Body"/>
        <w:rPr>
          <w:rFonts w:ascii="Times New Roman Bold" w:eastAsia="Times New Roman Bold" w:hAnsi="Times New Roman Bold" w:cs="Times New Roman Bold"/>
          <w:sz w:val="36"/>
          <w:szCs w:val="36"/>
        </w:rPr>
      </w:pPr>
      <w:r w:rsidRPr="009A4082">
        <w:rPr>
          <w:rFonts w:ascii="Times New Roman Bold"/>
          <w:sz w:val="36"/>
          <w:szCs w:val="36"/>
        </w:rPr>
        <w:t>DRAFT REPORT BY THE STRUCTURAL REFORMS WORKING GROUP TO THE BFUG</w:t>
      </w:r>
    </w:p>
    <w:p w14:paraId="50292554" w14:textId="77777777" w:rsidR="00080625" w:rsidRDefault="00080625" w:rsidP="00080625">
      <w:pPr>
        <w:pStyle w:val="Body"/>
        <w:rPr>
          <w:rFonts w:ascii="Times New Roman Bold" w:eastAsia="Times New Roman Bold" w:hAnsi="Times New Roman Bold" w:cs="Times New Roman Bold"/>
          <w:sz w:val="36"/>
          <w:szCs w:val="36"/>
        </w:rPr>
      </w:pPr>
    </w:p>
    <w:p w14:paraId="5589EFD1" w14:textId="77777777" w:rsidR="00080625" w:rsidRDefault="00080625" w:rsidP="00080625">
      <w:pPr>
        <w:pStyle w:val="Body"/>
      </w:pPr>
      <w:r>
        <w:t>Second draft by the Co-Chairs of the Structural Reforms Working Group</w:t>
      </w:r>
    </w:p>
    <w:p w14:paraId="27C1F8C6" w14:textId="77777777" w:rsidR="00080625" w:rsidRDefault="00080625" w:rsidP="00080625">
      <w:pPr>
        <w:pStyle w:val="Body"/>
      </w:pPr>
    </w:p>
    <w:p w14:paraId="57718138" w14:textId="77777777" w:rsidR="00080625" w:rsidRDefault="00080625" w:rsidP="00080625">
      <w:pPr>
        <w:pStyle w:val="Body"/>
      </w:pPr>
    </w:p>
    <w:p w14:paraId="38773183" w14:textId="77777777" w:rsidR="00080625" w:rsidRDefault="00080625" w:rsidP="00080625">
      <w:pPr>
        <w:pStyle w:val="Body"/>
      </w:pPr>
    </w:p>
    <w:p w14:paraId="4FB34535" w14:textId="77777777" w:rsidR="00080625" w:rsidRDefault="00080625" w:rsidP="00080625">
      <w:pPr>
        <w:pStyle w:val="Body"/>
      </w:pPr>
    </w:p>
    <w:p w14:paraId="2B72DB32" w14:textId="77777777" w:rsidR="00080625" w:rsidRDefault="00080625" w:rsidP="00080625">
      <w:pPr>
        <w:pStyle w:val="Body"/>
        <w:rPr>
          <w:rFonts w:ascii="Times New Roman Bold" w:eastAsia="Times New Roman Bold" w:hAnsi="Times New Roman Bold" w:cs="Times New Roman Bold"/>
        </w:rPr>
      </w:pPr>
      <w:r>
        <w:rPr>
          <w:rFonts w:ascii="Times New Roman Bold"/>
        </w:rPr>
        <w:t>Item X</w:t>
      </w:r>
    </w:p>
    <w:p w14:paraId="704FD7F1" w14:textId="77777777" w:rsidR="00080625" w:rsidRDefault="00080625" w:rsidP="00080625">
      <w:pPr>
        <w:pStyle w:val="Body"/>
      </w:pPr>
      <w:r>
        <w:br w:type="page"/>
      </w:r>
    </w:p>
    <w:p w14:paraId="421C1D08" w14:textId="77777777" w:rsidR="00080625" w:rsidRDefault="00080625" w:rsidP="00080625">
      <w:pPr>
        <w:pStyle w:val="Body"/>
      </w:pPr>
    </w:p>
    <w:p w14:paraId="4B9285B6" w14:textId="77777777" w:rsidR="00080625" w:rsidRDefault="00080625" w:rsidP="00080625">
      <w:pPr>
        <w:pStyle w:val="Body"/>
        <w:rPr>
          <w:rFonts w:ascii="Times New Roman Bold" w:eastAsia="Times New Roman Bold" w:hAnsi="Times New Roman Bold" w:cs="Times New Roman Bold"/>
        </w:rPr>
      </w:pPr>
      <w:r>
        <w:rPr>
          <w:rFonts w:ascii="Times New Roman Bold"/>
        </w:rPr>
        <w:t>INTRODUCTION</w:t>
      </w:r>
    </w:p>
    <w:p w14:paraId="4F206DBC" w14:textId="77777777" w:rsidR="00CB0CC4" w:rsidRDefault="00CB0CC4" w:rsidP="002151F9">
      <w:pPr>
        <w:pStyle w:val="Body"/>
        <w:jc w:val="both"/>
      </w:pPr>
    </w:p>
    <w:p w14:paraId="2A1E9E3D" w14:textId="77777777" w:rsidR="00080625" w:rsidRDefault="00080625" w:rsidP="00C3264C">
      <w:pPr>
        <w:pStyle w:val="NoSpacing"/>
        <w:jc w:val="both"/>
      </w:pPr>
      <w:r>
        <w:t xml:space="preserve">At its meeting in Gent on December 9 </w:t>
      </w:r>
      <w:r>
        <w:rPr>
          <w:rFonts w:ascii="Arial Unicode MS"/>
        </w:rPr>
        <w:t>–</w:t>
      </w:r>
      <w:r>
        <w:rPr>
          <w:rFonts w:ascii="Arial Unicode MS"/>
        </w:rPr>
        <w:t xml:space="preserve"> </w:t>
      </w:r>
      <w:r>
        <w:t xml:space="preserve">10, 2013, the SRWG approved the outline of its report to the BFUG.  As discussed, this report will need to be submitted to the BFUG in fall 2014, and the draft report should be completed by October 10.  It will be discussed by the BFUG on November 27 </w:t>
      </w:r>
      <w:r>
        <w:rPr>
          <w:rFonts w:ascii="Arial Unicode MS"/>
        </w:rPr>
        <w:t>–</w:t>
      </w:r>
      <w:r>
        <w:rPr>
          <w:rFonts w:ascii="Arial Unicode MS"/>
        </w:rPr>
        <w:t xml:space="preserve"> </w:t>
      </w:r>
      <w:r>
        <w:t xml:space="preserve">28, and before that it should be considered by the Board, which will meet in October at a date yet to be determined. </w:t>
      </w:r>
    </w:p>
    <w:p w14:paraId="73A954F0" w14:textId="77777777" w:rsidR="00CB0CC4" w:rsidRDefault="00CB0CC4" w:rsidP="002151F9">
      <w:pPr>
        <w:pStyle w:val="Body"/>
        <w:jc w:val="both"/>
      </w:pPr>
    </w:p>
    <w:p w14:paraId="422C5FAB" w14:textId="77777777" w:rsidR="00080625" w:rsidRDefault="00080625" w:rsidP="002151F9">
      <w:pPr>
        <w:pStyle w:val="Body"/>
        <w:jc w:val="both"/>
      </w:pPr>
      <w:r>
        <w:t>We have so far scheduled three SRWG meetings to develop the report:</w:t>
      </w:r>
    </w:p>
    <w:p w14:paraId="3B5EECED" w14:textId="77777777" w:rsidR="00080625" w:rsidRDefault="00080625" w:rsidP="004A614A">
      <w:pPr>
        <w:pStyle w:val="ListParagraph"/>
        <w:numPr>
          <w:ilvl w:val="0"/>
          <w:numId w:val="1"/>
        </w:numPr>
      </w:pPr>
      <w:r>
        <w:t xml:space="preserve">March 10 </w:t>
      </w:r>
      <w:r>
        <w:t>–</w:t>
      </w:r>
      <w:r>
        <w:t xml:space="preserve"> 11, Rome</w:t>
      </w:r>
    </w:p>
    <w:p w14:paraId="43B416B7" w14:textId="77777777" w:rsidR="00080625" w:rsidRDefault="00080625" w:rsidP="004A614A">
      <w:pPr>
        <w:pStyle w:val="ListParagraph"/>
        <w:numPr>
          <w:ilvl w:val="0"/>
          <w:numId w:val="2"/>
        </w:numPr>
      </w:pPr>
      <w:r>
        <w:t xml:space="preserve">May 27 </w:t>
      </w:r>
      <w:r>
        <w:t>–</w:t>
      </w:r>
      <w:r>
        <w:t xml:space="preserve"> 28, Warsaw</w:t>
      </w:r>
    </w:p>
    <w:p w14:paraId="6ED8436B" w14:textId="77777777" w:rsidR="00080625" w:rsidRDefault="00080625" w:rsidP="004A614A">
      <w:pPr>
        <w:pStyle w:val="ListParagraph"/>
        <w:numPr>
          <w:ilvl w:val="0"/>
          <w:numId w:val="3"/>
        </w:numPr>
      </w:pPr>
      <w:r>
        <w:t xml:space="preserve">September 16 -17, Rome </w:t>
      </w:r>
    </w:p>
    <w:p w14:paraId="799F5102" w14:textId="77777777" w:rsidR="00CB0CC4" w:rsidRDefault="00CB0CC4" w:rsidP="002151F9">
      <w:pPr>
        <w:pStyle w:val="Body"/>
        <w:jc w:val="both"/>
      </w:pPr>
    </w:p>
    <w:p w14:paraId="6FF3C4B7" w14:textId="77777777" w:rsidR="00080625" w:rsidRDefault="00080625" w:rsidP="00C3264C">
      <w:pPr>
        <w:pStyle w:val="NoSpacing"/>
        <w:jc w:val="both"/>
      </w:pPr>
      <w:r>
        <w:t xml:space="preserve">At the first of these meetings, the SRWG had an extensive and, in our view, very good discussion of the first draft. This second draft seeks to take into consideration the discussions at the meetings on March 10 </w:t>
      </w:r>
      <w:r>
        <w:rPr>
          <w:rFonts w:ascii="Arial Unicode MS"/>
        </w:rPr>
        <w:t>–</w:t>
      </w:r>
      <w:r>
        <w:rPr>
          <w:rFonts w:ascii="Arial Unicode MS"/>
        </w:rPr>
        <w:t xml:space="preserve"> </w:t>
      </w:r>
      <w:r>
        <w:t>11 and May 27 -28. The SRWG Co-Chairs meet in Rome on July 10 to review issues arising from the discussion at the May meeting and comments received since then. They now submit this revised version for final consideration by the SRWG.</w:t>
      </w:r>
    </w:p>
    <w:p w14:paraId="75CE9E95" w14:textId="77777777" w:rsidR="00CB0CC4" w:rsidRDefault="00CB0CC4" w:rsidP="00CB0CC4">
      <w:pPr>
        <w:pStyle w:val="NoSpacing"/>
        <w:rPr>
          <w:b/>
          <w:bCs/>
        </w:rPr>
      </w:pPr>
    </w:p>
    <w:p w14:paraId="12A6AEF2" w14:textId="77777777" w:rsidR="00080625" w:rsidRDefault="00080625" w:rsidP="002151F9">
      <w:pPr>
        <w:pStyle w:val="Body"/>
        <w:jc w:val="both"/>
      </w:pPr>
      <w:r>
        <w:rPr>
          <w:b/>
          <w:bCs/>
        </w:rPr>
        <w:t>As we are now very close to finalizing the report to be submitted to the BFUG, it is very important that all comments on the present draft be as concise as possible. All comments should be made as concrete indications of suggested deletions and/or exact wording for suggested amendments or additions. General or non-specific comments can no longer be considered.</w:t>
      </w:r>
    </w:p>
    <w:p w14:paraId="1F923449" w14:textId="77777777" w:rsidR="00CB0CC4" w:rsidRDefault="00CB0CC4" w:rsidP="002151F9">
      <w:pPr>
        <w:pStyle w:val="Body"/>
        <w:jc w:val="both"/>
      </w:pPr>
    </w:p>
    <w:p w14:paraId="46EC9B1A" w14:textId="77777777" w:rsidR="00080625" w:rsidRDefault="00080625" w:rsidP="002151F9">
      <w:pPr>
        <w:pStyle w:val="Body"/>
        <w:jc w:val="both"/>
      </w:pPr>
      <w:r>
        <w:t xml:space="preserve">As will be recalled, the Bologna Board has underlined that the reports by the Working Groups should identify the key priorities within in their respective mandates and do not necessarily need to cover all items in the Terms of Reference. Therefore, the reports should contain a limited number of key recommendations of political relevance to Ministers. It will also be desirable that Working Groups make it clear which recommendations are intended for the EHEA as a whole and which are intended for (a) specific group(s) of EHEA members, e.g., in the case of the SRWG,  those that experience challenges in specific areas of structural reforms. </w:t>
      </w:r>
    </w:p>
    <w:p w14:paraId="7E071254" w14:textId="77777777" w:rsidR="00CB0CC4" w:rsidRDefault="00CB0CC4" w:rsidP="002151F9">
      <w:pPr>
        <w:pStyle w:val="Body"/>
        <w:jc w:val="both"/>
      </w:pPr>
    </w:p>
    <w:p w14:paraId="70571135" w14:textId="77777777" w:rsidR="00080625" w:rsidRDefault="00080625" w:rsidP="002151F9">
      <w:pPr>
        <w:pStyle w:val="Body"/>
        <w:jc w:val="both"/>
      </w:pPr>
      <w:r>
        <w:t>The SRWG has an extensive mandate and the co-chairs suggest that the main political issues and recommendations be covered in the Executive Summary. A draft Executive Summary is included in the present version.</w:t>
      </w:r>
    </w:p>
    <w:p w14:paraId="573BFF49" w14:textId="77777777" w:rsidR="00080625" w:rsidRDefault="00080625" w:rsidP="002151F9">
      <w:pPr>
        <w:pStyle w:val="Body"/>
        <w:jc w:val="both"/>
      </w:pPr>
    </w:p>
    <w:p w14:paraId="33BD760D" w14:textId="77777777" w:rsidR="00080625" w:rsidRDefault="00080625" w:rsidP="002151F9">
      <w:pPr>
        <w:pStyle w:val="Body"/>
        <w:jc w:val="both"/>
      </w:pPr>
      <w:r>
        <w:br w:type="page"/>
      </w:r>
    </w:p>
    <w:p w14:paraId="0666A519" w14:textId="77777777" w:rsidR="00080625" w:rsidRDefault="00080625" w:rsidP="00080625">
      <w:pPr>
        <w:pStyle w:val="Body"/>
      </w:pPr>
    </w:p>
    <w:p w14:paraId="2AD8516D" w14:textId="77777777" w:rsidR="00080625" w:rsidRDefault="00080625" w:rsidP="00080625">
      <w:pPr>
        <w:pStyle w:val="Body"/>
        <w:rPr>
          <w:rFonts w:ascii="Times New Roman Bold" w:eastAsia="Times New Roman Bold" w:hAnsi="Times New Roman Bold" w:cs="Times New Roman Bold"/>
        </w:rPr>
      </w:pPr>
      <w:r>
        <w:rPr>
          <w:rFonts w:ascii="Times New Roman Bold"/>
        </w:rPr>
        <w:t>Appendix   Draft report by the SRWG to the BFUG</w:t>
      </w:r>
    </w:p>
    <w:p w14:paraId="47B895EB" w14:textId="77777777" w:rsidR="00080625" w:rsidRDefault="00080625" w:rsidP="00080625">
      <w:pPr>
        <w:pStyle w:val="Body"/>
        <w:rPr>
          <w:rFonts w:ascii="Times New Roman Bold" w:eastAsia="Times New Roman Bold" w:hAnsi="Times New Roman Bold" w:cs="Times New Roman Bold"/>
        </w:rPr>
      </w:pPr>
    </w:p>
    <w:p w14:paraId="0F5C319D" w14:textId="77777777" w:rsidR="00080625" w:rsidRDefault="00080625" w:rsidP="00080625">
      <w:pPr>
        <w:pStyle w:val="Body"/>
        <w:rPr>
          <w:rFonts w:ascii="Times New Roman Bold" w:eastAsia="Times New Roman Bold" w:hAnsi="Times New Roman Bold" w:cs="Times New Roman Bold"/>
        </w:rPr>
      </w:pPr>
      <w:r>
        <w:rPr>
          <w:rFonts w:ascii="Times New Roman Bold"/>
        </w:rPr>
        <w:t>EXECUTIVE SUMMARY</w:t>
      </w:r>
    </w:p>
    <w:p w14:paraId="5EE81452" w14:textId="77777777" w:rsidR="00080625" w:rsidRDefault="00080625" w:rsidP="00080625"/>
    <w:p w14:paraId="08608827" w14:textId="77777777" w:rsidR="00080625" w:rsidRDefault="00080625" w:rsidP="00080625">
      <w:pPr>
        <w:rPr>
          <w:b/>
        </w:rPr>
      </w:pPr>
      <w:r w:rsidRPr="008967BE">
        <w:rPr>
          <w:b/>
        </w:rPr>
        <w:t>Background and vision</w:t>
      </w:r>
    </w:p>
    <w:p w14:paraId="7A53E508" w14:textId="77777777" w:rsidR="00080625" w:rsidRPr="008967BE" w:rsidRDefault="00080625" w:rsidP="00080625">
      <w:pPr>
        <w:rPr>
          <w:b/>
        </w:rPr>
      </w:pPr>
    </w:p>
    <w:p w14:paraId="7F864BD4" w14:textId="77777777" w:rsidR="00080625" w:rsidRDefault="00080625" w:rsidP="002151F9">
      <w:pPr>
        <w:pStyle w:val="BodyA"/>
        <w:jc w:val="both"/>
        <w:rPr>
          <w:rFonts w:eastAsia="Arial Unicode MS" w:hAnsi="Arial Unicode MS" w:cs="Arial Unicode MS"/>
        </w:rPr>
      </w:pPr>
      <w:r>
        <w:t xml:space="preserve">Structural reforms have been at the core of the development of the European Higher Education Area from the very beginning. </w:t>
      </w:r>
      <w:r>
        <w:rPr>
          <w:rFonts w:eastAsia="Arial Unicode MS" w:hAnsi="Arial Unicode MS" w:cs="Arial Unicode MS"/>
        </w:rPr>
        <w:t xml:space="preserve">The European Higher Education Area aims to allow students, staff, and graduates to move as freely as possible between all the countries and education systems making up the EHEA and to do so while preserving the full value of their qualifications for access to further studies, to the European labor market and, more broadly, in the context of lifelong learning. The European Higher Education Area aims to facilitate cooperation between systems, institutions, and individual staff and students throughout the EHEA and to make European higher education known and appreciated throughout the world. The EHEA is a European framework and not only the sum of individual higher education systems. The EHEA builds on what we have in common as Europeans while also allowing individual systems and institutions to draw on their particular strengths and traditions.  The EHEA, therefore, provides for variation within an overall framework that ensures coherence. It is a framework for the development of common policies as well as for mutual learning. </w:t>
      </w:r>
    </w:p>
    <w:p w14:paraId="5E1801D2" w14:textId="77777777" w:rsidR="00CB0CC4" w:rsidRDefault="00CB0CC4" w:rsidP="002151F9">
      <w:pPr>
        <w:pStyle w:val="Body"/>
        <w:jc w:val="both"/>
      </w:pPr>
    </w:p>
    <w:p w14:paraId="5A0AAE3A" w14:textId="77777777" w:rsidR="00080625" w:rsidRDefault="00080625" w:rsidP="002151F9">
      <w:pPr>
        <w:pStyle w:val="Body"/>
        <w:jc w:val="both"/>
      </w:pPr>
      <w:r>
        <w:t xml:space="preserve">An important reason why the BFUG decided to establish a single Structural Reforms Working Group (SRWG) was a desire to see structural reforms as a coherent whole as well as a concern that structural reforms had so far been developed piecemeal and possibly even at cross purposes.  </w:t>
      </w:r>
    </w:p>
    <w:p w14:paraId="66CAD836" w14:textId="77777777" w:rsidR="00080625" w:rsidRDefault="00080625" w:rsidP="002151F9">
      <w:pPr>
        <w:pStyle w:val="Body"/>
        <w:jc w:val="both"/>
      </w:pPr>
      <w:r>
        <w:t>The SRWG shares this view of structural reforms, which leads it to propose that the EHEA should, among other things, be an area of transparency in which recognition is easy and often automatic</w:t>
      </w:r>
      <w:r>
        <w:rPr>
          <w:rStyle w:val="FootnoteReference"/>
        </w:rPr>
        <w:footnoteReference w:id="1"/>
      </w:r>
      <w:r>
        <w:t>.  It is our vision that the EHEA increase the capacity of national higher education systems and their higher education institutions to provide their graduates with the knowledge, understanding and skills needed to face our global challenges.  Only by implementing coherent structural reforms properly will the advantages of the EHEA be realized.  A minimum degree of convergence is needed in order to maintain the diversity of institutions and programs.</w:t>
      </w:r>
    </w:p>
    <w:p w14:paraId="0ED57419" w14:textId="77777777" w:rsidR="00CB0CC4" w:rsidRDefault="00CB0CC4" w:rsidP="002151F9">
      <w:pPr>
        <w:jc w:val="both"/>
      </w:pPr>
    </w:p>
    <w:p w14:paraId="2DD3ACD0" w14:textId="77777777" w:rsidR="00080625" w:rsidRDefault="00080625" w:rsidP="002151F9">
      <w:pPr>
        <w:jc w:val="both"/>
      </w:pPr>
      <w:r>
        <w:t xml:space="preserve">The core is the quality and the relevance of the learning experience of the student. The ultimate aim is to equip graduates with the knowledge and understanding and the essential skills for personal, societal, and professional success in today's world. Therefore the curriculum and learning outcomes are at the center of structural reforms. </w:t>
      </w:r>
    </w:p>
    <w:p w14:paraId="2C997736" w14:textId="77777777" w:rsidR="00080625" w:rsidRDefault="00080625" w:rsidP="002151F9">
      <w:pPr>
        <w:jc w:val="both"/>
      </w:pPr>
    </w:p>
    <w:p w14:paraId="167F2FAE" w14:textId="77777777" w:rsidR="00080625" w:rsidRDefault="00080625" w:rsidP="002151F9">
      <w:pPr>
        <w:jc w:val="both"/>
      </w:pPr>
      <w:r>
        <w:t>While developing, describing, using and assessing learning outcomes are objectively a difficult exercise, meeting this challenge is of fundamental importance to the further development of the EHEA. For learning outcomes to become a key feature of the European Higher Education Area, as is clearly the intention, higher education policy makers and practitioners will have reliable and readily accessible information on:</w:t>
      </w:r>
    </w:p>
    <w:p w14:paraId="2854F09E" w14:textId="77777777" w:rsidR="00080625" w:rsidRDefault="00080625" w:rsidP="002151F9">
      <w:pPr>
        <w:jc w:val="both"/>
      </w:pPr>
    </w:p>
    <w:p w14:paraId="5D9F9F09" w14:textId="77777777" w:rsidR="00080625" w:rsidRDefault="00080625" w:rsidP="00B40521">
      <w:pPr>
        <w:pStyle w:val="ListParagraph"/>
        <w:numPr>
          <w:ilvl w:val="0"/>
          <w:numId w:val="52"/>
        </w:numPr>
        <w:ind w:left="709" w:hanging="709"/>
      </w:pPr>
      <w:r>
        <w:lastRenderedPageBreak/>
        <w:t>the quality of a given program and its associated qualification at least in terms of whether it meets quality standards;</w:t>
      </w:r>
    </w:p>
    <w:p w14:paraId="4FA4FA9B" w14:textId="77777777" w:rsidR="00080625" w:rsidRDefault="00080625" w:rsidP="00B40521">
      <w:pPr>
        <w:pStyle w:val="ListParagraph"/>
        <w:numPr>
          <w:ilvl w:val="0"/>
          <w:numId w:val="53"/>
        </w:numPr>
        <w:ind w:left="709" w:hanging="709"/>
      </w:pPr>
      <w:r>
        <w:t>the level of the qualification, as defined in the national QF and in relation to the QF-EHEA and/or the EQF;</w:t>
      </w:r>
    </w:p>
    <w:p w14:paraId="072EDA17" w14:textId="77777777" w:rsidR="00080625" w:rsidRDefault="00080625" w:rsidP="00B40521">
      <w:pPr>
        <w:pStyle w:val="ListParagraph"/>
        <w:numPr>
          <w:ilvl w:val="0"/>
          <w:numId w:val="54"/>
        </w:numPr>
        <w:ind w:left="709" w:hanging="709"/>
      </w:pPr>
      <w:r>
        <w:t xml:space="preserve">the workload of the qualification, expressed in ECTS units (or, theoretically, ECTS compatible units, but ECTS is </w:t>
      </w:r>
      <w:r>
        <w:rPr>
          <w:i/>
          <w:iCs/>
        </w:rPr>
        <w:t>de facto</w:t>
      </w:r>
      <w:r>
        <w:t xml:space="preserve"> the European credit unit for describing workload);</w:t>
      </w:r>
    </w:p>
    <w:p w14:paraId="2B71464D" w14:textId="77777777" w:rsidR="00080625" w:rsidRDefault="00080625" w:rsidP="00B40521">
      <w:pPr>
        <w:pStyle w:val="ListParagraph"/>
        <w:numPr>
          <w:ilvl w:val="0"/>
          <w:numId w:val="54"/>
        </w:numPr>
        <w:ind w:left="709" w:hanging="709"/>
      </w:pPr>
      <w:r>
        <w:t>the profile of the qualification.</w:t>
      </w:r>
    </w:p>
    <w:p w14:paraId="33A2B650" w14:textId="77777777" w:rsidR="00286EDC" w:rsidRDefault="00286EDC" w:rsidP="002151F9">
      <w:pPr>
        <w:jc w:val="both"/>
      </w:pPr>
    </w:p>
    <w:p w14:paraId="0438F9B3" w14:textId="77777777" w:rsidR="00080625" w:rsidRDefault="00080625" w:rsidP="002151F9">
      <w:pPr>
        <w:jc w:val="both"/>
      </w:pPr>
      <w:r w:rsidRPr="003577DF">
        <w:t>Higher education should serve its full range of purposes, described in the London Communiqué as preparing students for life as active citizens in a democratic society; preparing students for their future careers and enabling their personal development; creating and maintaining a broad, advanced knowledge base; and stimulating research and innovation</w:t>
      </w:r>
      <w:r w:rsidRPr="003577DF">
        <w:rPr>
          <w:rStyle w:val="FootnoteReference"/>
        </w:rPr>
        <w:footnoteReference w:id="2"/>
      </w:r>
      <w:r w:rsidRPr="003577DF">
        <w:t xml:space="preserve">.  While structural reforms have taken on great importance in the development of the EHEA, and while there has been an implicit understanding that structural reforms are necessary to make European higher education better, more attractive and more </w:t>
      </w:r>
      <w:r w:rsidRPr="003577DF">
        <w:rPr>
          <w:rFonts w:ascii="Arial Unicode MS"/>
        </w:rPr>
        <w:t>“</w:t>
      </w:r>
      <w:r w:rsidRPr="003577DF">
        <w:t>fit for purpose</w:t>
      </w:r>
      <w:r w:rsidRPr="003577DF">
        <w:rPr>
          <w:rFonts w:ascii="Arial Unicode MS"/>
        </w:rPr>
        <w:t>”</w:t>
      </w:r>
      <w:r w:rsidRPr="003577DF">
        <w:t xml:space="preserve">, there has been little explicit discussion of what purposes higher education reforms should seek to further. Education structures have no independent merit and are useful to the extent they support the purposes for which they have been developed. The structural reforms of the EHEA, therefore, should be developed with a view to serving all purposes of higher education. </w:t>
      </w:r>
    </w:p>
    <w:p w14:paraId="18D00B51" w14:textId="77777777" w:rsidR="00080625" w:rsidRPr="003577DF" w:rsidRDefault="00080625" w:rsidP="002151F9">
      <w:pPr>
        <w:jc w:val="both"/>
      </w:pPr>
    </w:p>
    <w:p w14:paraId="004EDA40" w14:textId="77777777" w:rsidR="00080625" w:rsidRDefault="00080625" w:rsidP="00286EDC">
      <w:pPr>
        <w:pStyle w:val="NoSpacing"/>
        <w:jc w:val="both"/>
      </w:pPr>
      <w:r w:rsidRPr="00286EDC">
        <w:t>The ToRs of the SRWG nevertheless include a specific reference to one such purpose: developing the employability of higher education graduates. A distinction needs to be made between employment and employability. Employment means exercising a remunerated professional activity (“holding a job”). Employability means having the potential to be employed, which includes the potential for self-employment (“getting a job”).  Higher education cannot guarantee employment but it can significantly improve an individual’s employability. Employability comprises subject-specific, methodological, social and individual competences which enable a graduate to successfully take up and pursue a profession or an employment and empower him or her to life-long learning. It implies providing graduates with the competences needed to get a meaningful first employment as well as to develop further professionally in the course of their career. Employability is a process of learning and not a final product to be delivered by education institutions. Improving employability is an important aspect of the social dimension of higher education.  While higher education should – and does – improve the social capital and employment possibilities for all graduates, this is particularly</w:t>
      </w:r>
      <w:r>
        <w:t xml:space="preserve"> important from those who come from disadvantaged backgrounds and have little or no social capital from other sources.</w:t>
      </w:r>
    </w:p>
    <w:p w14:paraId="6C178916" w14:textId="77777777" w:rsidR="00080625" w:rsidRDefault="00080625" w:rsidP="002151F9">
      <w:pPr>
        <w:pStyle w:val="Body"/>
        <w:jc w:val="both"/>
      </w:pPr>
    </w:p>
    <w:p w14:paraId="5DF307E7" w14:textId="77777777" w:rsidR="00080625" w:rsidRPr="00764586" w:rsidRDefault="00080625" w:rsidP="002151F9">
      <w:pPr>
        <w:pStyle w:val="Body"/>
        <w:jc w:val="both"/>
        <w:rPr>
          <w:b/>
        </w:rPr>
      </w:pPr>
      <w:r w:rsidRPr="00764586">
        <w:rPr>
          <w:b/>
        </w:rPr>
        <w:t>Implementation of structural reforms</w:t>
      </w:r>
    </w:p>
    <w:p w14:paraId="4F831B55" w14:textId="77777777" w:rsidR="00176F2E" w:rsidRDefault="00176F2E" w:rsidP="002151F9">
      <w:pPr>
        <w:pStyle w:val="BodyA"/>
        <w:jc w:val="both"/>
        <w:rPr>
          <w:rFonts w:eastAsia="Arial Unicode MS" w:hAnsi="Arial Unicode MS" w:cs="Arial Unicode MS"/>
        </w:rPr>
      </w:pPr>
    </w:p>
    <w:p w14:paraId="73BC73BA" w14:textId="77777777" w:rsidR="00080625" w:rsidRDefault="00080625" w:rsidP="00176F2E">
      <w:pPr>
        <w:pStyle w:val="NoSpacing"/>
        <w:jc w:val="both"/>
      </w:pPr>
      <w:r>
        <w:t xml:space="preserve">Structural reforms have been the hallmark of the European Higher Education Area and have gained considerable visibility. Even if structural reforms have been unevenly developed among policy areas and countries, the “Bologna structural reforms” have been a relative success.  The success is clear in terms of establishing and amending structures such as quality assurance </w:t>
      </w:r>
      <w:r>
        <w:lastRenderedPageBreak/>
        <w:t xml:space="preserve">arrangements and guidelines and qualifications frameworks and ratifications of the Lisbon Recognition Convention.  It is less clear in terms of implementing structures, and the EHEA will not be brought about unless its structural reforms are implemented in practice. </w:t>
      </w:r>
    </w:p>
    <w:p w14:paraId="1FB09D55" w14:textId="77777777" w:rsidR="00176F2E" w:rsidRDefault="00176F2E" w:rsidP="002151F9">
      <w:pPr>
        <w:pStyle w:val="BodyA"/>
        <w:jc w:val="both"/>
        <w:rPr>
          <w:rFonts w:eastAsia="Arial Unicode MS" w:hAnsi="Arial Unicode MS" w:cs="Arial Unicode MS"/>
        </w:rPr>
      </w:pPr>
    </w:p>
    <w:p w14:paraId="55909BF8" w14:textId="77777777" w:rsidR="00080625" w:rsidRDefault="00080625" w:rsidP="002151F9">
      <w:pPr>
        <w:pStyle w:val="BodyA"/>
        <w:jc w:val="both"/>
        <w:rPr>
          <w:rFonts w:eastAsia="Arial Unicode MS" w:hAnsi="Arial Unicode MS" w:cs="Arial Unicode MS"/>
        </w:rPr>
      </w:pPr>
      <w:r>
        <w:rPr>
          <w:rFonts w:eastAsia="Arial Unicode MS" w:hAnsi="Arial Unicode MS" w:cs="Arial Unicode MS"/>
        </w:rPr>
        <w:t xml:space="preserve">Implementation of structural reforms requires cooperation and coordination between the European level, the competent national public authorities and higher education institutions, staff, and students.  It requires that members of the EHEA be open about successful as well as less successful experiences within their own systems as well as about the reasons for success or failures. If structural reforms are not implemented coherently throughout the EHEA, what looks like common structures on paper could very well end up being too diverse for the EHEA to be a living reality.  </w:t>
      </w:r>
    </w:p>
    <w:p w14:paraId="27BC6DFC" w14:textId="77777777" w:rsidR="00176F2E" w:rsidRDefault="00176F2E" w:rsidP="002151F9">
      <w:pPr>
        <w:pStyle w:val="BodyA"/>
        <w:jc w:val="both"/>
        <w:rPr>
          <w:rFonts w:eastAsia="Arial Unicode MS" w:hAnsi="Arial Unicode MS" w:cs="Arial Unicode MS"/>
        </w:rPr>
      </w:pPr>
    </w:p>
    <w:p w14:paraId="02D41DD0" w14:textId="77777777" w:rsidR="00080625" w:rsidRDefault="00080625" w:rsidP="002151F9">
      <w:pPr>
        <w:pStyle w:val="BodyA"/>
        <w:jc w:val="both"/>
      </w:pPr>
      <w:r>
        <w:rPr>
          <w:rFonts w:eastAsia="Arial Unicode MS" w:hAnsi="Arial Unicode MS" w:cs="Arial Unicode MS"/>
        </w:rPr>
        <w:t xml:space="preserve">The implementation of structural reforms is therefore on of the main challenges the EHEA will face in the coming years. Rising to the challenge requires cooperation across the EHEA and it requires that the competent authorities as well as institutions and the academic community in countries that experience difficulties in implementing particular reforms request assistance from other EHEA members so that they can draw on other experiences within the EHEA to ensure implementation. </w:t>
      </w:r>
      <w:r>
        <w:t>The BFUG co-chairs and the Bologna Secretariat should also be mandated to contact the competent authorities of EHEA members with an unsatisfactory implementation of structural reforms in the 2015 EHEA Implementation with offers of assistance.</w:t>
      </w:r>
    </w:p>
    <w:p w14:paraId="1E88700F" w14:textId="77777777" w:rsidR="00080625" w:rsidRDefault="00080625" w:rsidP="002151F9">
      <w:pPr>
        <w:pStyle w:val="Body"/>
        <w:jc w:val="both"/>
      </w:pPr>
    </w:p>
    <w:p w14:paraId="733FAB77" w14:textId="77777777" w:rsidR="00080625" w:rsidRPr="008967BE" w:rsidRDefault="00080625" w:rsidP="002151F9">
      <w:pPr>
        <w:pStyle w:val="Body"/>
        <w:jc w:val="both"/>
        <w:rPr>
          <w:b/>
        </w:rPr>
      </w:pPr>
      <w:r w:rsidRPr="008967BE">
        <w:rPr>
          <w:b/>
        </w:rPr>
        <w:t>Composition, structure, and terms of reference</w:t>
      </w:r>
    </w:p>
    <w:p w14:paraId="6CA1F807" w14:textId="77777777" w:rsidR="00176F2E" w:rsidRDefault="00176F2E" w:rsidP="002151F9">
      <w:pPr>
        <w:pStyle w:val="Body"/>
        <w:jc w:val="both"/>
      </w:pPr>
    </w:p>
    <w:p w14:paraId="1CB511DE" w14:textId="77777777" w:rsidR="00080625" w:rsidRDefault="00080625" w:rsidP="00176F2E">
      <w:pPr>
        <w:pStyle w:val="NoSpacing"/>
        <w:jc w:val="both"/>
      </w:pPr>
      <w:r>
        <w:t xml:space="preserve">As noted, the main reason why the BFUG decided to appoint only four working groups in the 2012 </w:t>
      </w:r>
      <w:r>
        <w:rPr>
          <w:rFonts w:ascii="Arial Unicode MS"/>
        </w:rPr>
        <w:t>–</w:t>
      </w:r>
      <w:r>
        <w:rPr>
          <w:rFonts w:ascii="Arial Unicode MS"/>
        </w:rPr>
        <w:t xml:space="preserve"> </w:t>
      </w:r>
      <w:r>
        <w:t>15 program, and to give each one a broad mandate, was a desire to provide a more coherent context and framework for the further development of the European Higher Education Area. This was not least the case for structural reforms and it gave rise to a broad mandate and a broad membership of the group, with four co-chairs (Council of Europe (co-coordinator), Belgium (Flemish Community), Holy See and Poland, and a membership of some 40 EHEA members and consultative members.  The report as submitted should therefore reflect the concerns of a majority of EHEA members.</w:t>
      </w:r>
    </w:p>
    <w:p w14:paraId="697B25B9" w14:textId="77777777" w:rsidR="00176F2E" w:rsidRDefault="00176F2E" w:rsidP="002151F9">
      <w:pPr>
        <w:pStyle w:val="Body"/>
        <w:jc w:val="both"/>
      </w:pPr>
    </w:p>
    <w:p w14:paraId="34630D43" w14:textId="77777777" w:rsidR="00080625" w:rsidRDefault="00080625" w:rsidP="002151F9">
      <w:pPr>
        <w:pStyle w:val="Body"/>
        <w:jc w:val="both"/>
      </w:pPr>
      <w:r>
        <w:t>Four sub-structures have reported to the SRWG as a part of its broad mandate:</w:t>
      </w:r>
    </w:p>
    <w:p w14:paraId="5700A220" w14:textId="77777777" w:rsidR="00080625" w:rsidRDefault="00080625" w:rsidP="004A614A">
      <w:pPr>
        <w:pStyle w:val="ListParagraph"/>
        <w:numPr>
          <w:ilvl w:val="0"/>
          <w:numId w:val="5"/>
        </w:numPr>
      </w:pPr>
      <w:r>
        <w:t xml:space="preserve">The </w:t>
      </w:r>
      <w:r>
        <w:rPr>
          <w:i/>
          <w:iCs/>
        </w:rPr>
        <w:t>ad hoc</w:t>
      </w:r>
      <w:r>
        <w:t xml:space="preserve"> working group on third cycle qualifications</w:t>
      </w:r>
    </w:p>
    <w:p w14:paraId="4E5876D9" w14:textId="77777777" w:rsidR="00080625" w:rsidRDefault="00080625" w:rsidP="004A614A">
      <w:pPr>
        <w:pStyle w:val="ListParagraph"/>
        <w:numPr>
          <w:ilvl w:val="0"/>
          <w:numId w:val="6"/>
        </w:numPr>
      </w:pPr>
      <w:r>
        <w:t xml:space="preserve">The </w:t>
      </w:r>
      <w:r>
        <w:rPr>
          <w:i/>
          <w:iCs/>
        </w:rPr>
        <w:t>ad hoc</w:t>
      </w:r>
      <w:r>
        <w:t xml:space="preserve"> working group on revising the ECTS users</w:t>
      </w:r>
      <w:r>
        <w:t>’</w:t>
      </w:r>
      <w:r>
        <w:t xml:space="preserve"> Guide</w:t>
      </w:r>
    </w:p>
    <w:p w14:paraId="32D438C7" w14:textId="77777777" w:rsidR="00080625" w:rsidRDefault="00080625" w:rsidP="004A614A">
      <w:pPr>
        <w:pStyle w:val="ListParagraph"/>
        <w:numPr>
          <w:ilvl w:val="0"/>
          <w:numId w:val="7"/>
        </w:numPr>
      </w:pPr>
      <w:r>
        <w:t>The network of national correspondents for qualifications frameworks</w:t>
      </w:r>
    </w:p>
    <w:p w14:paraId="1292EAE2" w14:textId="77777777" w:rsidR="00080625" w:rsidRDefault="00080625" w:rsidP="004A614A">
      <w:pPr>
        <w:pStyle w:val="ListParagraph"/>
        <w:numPr>
          <w:ilvl w:val="0"/>
          <w:numId w:val="8"/>
        </w:numPr>
      </w:pPr>
      <w:r>
        <w:t>The network on the recognition of prior learning.</w:t>
      </w:r>
    </w:p>
    <w:p w14:paraId="2949A99C" w14:textId="77777777" w:rsidR="00845204" w:rsidRDefault="00845204" w:rsidP="00080625">
      <w:pPr>
        <w:pStyle w:val="Body"/>
      </w:pPr>
    </w:p>
    <w:p w14:paraId="09FC806B" w14:textId="77777777" w:rsidR="00080625" w:rsidRDefault="00080625" w:rsidP="00845204">
      <w:pPr>
        <w:pStyle w:val="NoSpacing"/>
        <w:jc w:val="both"/>
      </w:pPr>
      <w:r>
        <w:t xml:space="preserve">All have, with the exception of the network on prior learning, contributed to the present report.  The report by the </w:t>
      </w:r>
      <w:r>
        <w:rPr>
          <w:i/>
          <w:iCs/>
        </w:rPr>
        <w:t>ad hoc</w:t>
      </w:r>
      <w:r>
        <w:t xml:space="preserve"> working group on third cycle qualifications is particularly substantial and the SRWG recommends that it be given separate consideration by the BFUG, as will also be the case with the revised ECTS Users’ Guide.  On the other hand, the network on the recognition of prior learning has, in spite of repeated requests, provided no substantial input to the report and little information on its activities, and the SRWG recommends that the BFUG consider whether this particular network should be a part of the 2015 – 18 BFUG work program.  While the </w:t>
      </w:r>
      <w:r>
        <w:lastRenderedPageBreak/>
        <w:t>network of national correspondents for qualifications frameworks works well, the SRWG points to the consistent non-participation of almost one half of EHEA members as a persistent problem that needs to be solved.</w:t>
      </w:r>
    </w:p>
    <w:p w14:paraId="36D74BEF" w14:textId="77777777" w:rsidR="00080625" w:rsidRDefault="00080625" w:rsidP="00080625">
      <w:pPr>
        <w:pStyle w:val="Body"/>
      </w:pPr>
    </w:p>
    <w:p w14:paraId="7C88D91A" w14:textId="77777777" w:rsidR="00080625" w:rsidRPr="008967BE" w:rsidRDefault="00080625" w:rsidP="00080625">
      <w:pPr>
        <w:pStyle w:val="Body"/>
        <w:rPr>
          <w:b/>
        </w:rPr>
      </w:pPr>
      <w:r w:rsidRPr="008967BE">
        <w:rPr>
          <w:b/>
        </w:rPr>
        <w:t>About this report</w:t>
      </w:r>
    </w:p>
    <w:p w14:paraId="28FDAD03" w14:textId="77777777" w:rsidR="00845204" w:rsidRDefault="00845204" w:rsidP="00080625">
      <w:pPr>
        <w:pStyle w:val="Body"/>
      </w:pPr>
    </w:p>
    <w:p w14:paraId="26E31B97" w14:textId="77777777" w:rsidR="00080625" w:rsidRDefault="00080625" w:rsidP="00845204">
      <w:pPr>
        <w:pStyle w:val="Body"/>
        <w:jc w:val="both"/>
      </w:pPr>
      <w:r>
        <w:t>True to its mandate, the SRWG in this report emphasizes the overarching issues of structural reforms, which are detailed in part III of this report, preceded by an outline of the background and mandate of the SRWG (part I) and a consideration of the political and policy context of structural reforms (part II). The overarching issues discussed in this report are, in addition to making the case for the need to develop a coherent approach to structural reforms and developing a European area of transparency and recognition (introduction to part III):</w:t>
      </w:r>
    </w:p>
    <w:p w14:paraId="71A63EFA" w14:textId="77777777" w:rsidR="00845204" w:rsidRDefault="00845204" w:rsidP="00845204">
      <w:pPr>
        <w:pStyle w:val="Body"/>
        <w:jc w:val="both"/>
      </w:pPr>
    </w:p>
    <w:p w14:paraId="11CAF5D5" w14:textId="77777777" w:rsidR="00080625" w:rsidRDefault="00080625" w:rsidP="00B40521">
      <w:pPr>
        <w:pStyle w:val="Body"/>
        <w:numPr>
          <w:ilvl w:val="0"/>
          <w:numId w:val="95"/>
        </w:numPr>
      </w:pPr>
      <w:r>
        <w:t>Learning outcomes (III.1)</w:t>
      </w:r>
    </w:p>
    <w:p w14:paraId="3245AD58" w14:textId="77777777" w:rsidR="00080625" w:rsidRDefault="00080625" w:rsidP="00B40521">
      <w:pPr>
        <w:pStyle w:val="Body"/>
        <w:numPr>
          <w:ilvl w:val="0"/>
          <w:numId w:val="95"/>
        </w:numPr>
      </w:pPr>
      <w:r>
        <w:t>Employability (III.2)</w:t>
      </w:r>
    </w:p>
    <w:p w14:paraId="3617CEF4" w14:textId="77777777" w:rsidR="00080625" w:rsidRDefault="00080625" w:rsidP="00B40521">
      <w:pPr>
        <w:pStyle w:val="Body"/>
        <w:numPr>
          <w:ilvl w:val="0"/>
          <w:numId w:val="95"/>
        </w:numPr>
      </w:pPr>
      <w:r>
        <w:t>The use of qualifications frameworks to improve fair recognition (III.3)</w:t>
      </w:r>
    </w:p>
    <w:p w14:paraId="4A6B3324" w14:textId="77777777" w:rsidR="00080625" w:rsidRDefault="00080625" w:rsidP="00B40521">
      <w:pPr>
        <w:pStyle w:val="Body"/>
        <w:numPr>
          <w:ilvl w:val="0"/>
          <w:numId w:val="95"/>
        </w:numPr>
      </w:pPr>
      <w:commentRangeStart w:id="1"/>
      <w:r>
        <w:t xml:space="preserve">Diversity and transparency </w:t>
      </w:r>
      <w:commentRangeEnd w:id="1"/>
      <w:r>
        <w:rPr>
          <w:rStyle w:val="CommentReference"/>
          <w:rFonts w:eastAsiaTheme="minorHAnsi" w:hAnsi="Times New Roman" w:cs="Times New Roman"/>
          <w:color w:val="auto"/>
          <w:bdr w:val="none" w:sz="0" w:space="0" w:color="auto"/>
        </w:rPr>
        <w:commentReference w:id="1"/>
      </w:r>
      <w:r>
        <w:t>(III.4)</w:t>
      </w:r>
    </w:p>
    <w:p w14:paraId="0D95D761" w14:textId="77777777" w:rsidR="00080625" w:rsidRDefault="00080625" w:rsidP="00B40521">
      <w:pPr>
        <w:pStyle w:val="ListParagraph"/>
        <w:numPr>
          <w:ilvl w:val="0"/>
          <w:numId w:val="95"/>
        </w:numPr>
      </w:pPr>
      <w:r>
        <w:t>The global dimension of structural reforms (III.5)</w:t>
      </w:r>
    </w:p>
    <w:p w14:paraId="48745BE9" w14:textId="77777777" w:rsidR="00080625" w:rsidRDefault="00080625" w:rsidP="00080625"/>
    <w:p w14:paraId="32F6D1E9" w14:textId="77777777" w:rsidR="00080625" w:rsidRDefault="00080625" w:rsidP="00080625">
      <w:r>
        <w:t>In addition to considering the coherence of structural reforms, the SRWG has in its terms of reference been asked to consider specific policy areas, which it does in part IV of the report:</w:t>
      </w:r>
    </w:p>
    <w:p w14:paraId="41DFB06F" w14:textId="77777777" w:rsidR="00080625" w:rsidRDefault="00080625" w:rsidP="00080625"/>
    <w:p w14:paraId="3D807588" w14:textId="77777777" w:rsidR="00080625" w:rsidRDefault="00080625" w:rsidP="00080625">
      <w:pPr>
        <w:rPr>
          <w:i/>
        </w:rPr>
      </w:pPr>
      <w:r w:rsidRPr="00B404EB">
        <w:rPr>
          <w:i/>
        </w:rPr>
        <w:t>Quality assurance</w:t>
      </w:r>
    </w:p>
    <w:p w14:paraId="0429A8C5" w14:textId="77777777" w:rsidR="00080625" w:rsidRPr="00B404EB" w:rsidRDefault="00080625" w:rsidP="00080625">
      <w:pPr>
        <w:rPr>
          <w:i/>
        </w:rPr>
      </w:pPr>
    </w:p>
    <w:p w14:paraId="4D3C302F" w14:textId="77777777" w:rsidR="00080625" w:rsidRDefault="00080625" w:rsidP="00B40521">
      <w:pPr>
        <w:pStyle w:val="ListParagraph"/>
        <w:numPr>
          <w:ilvl w:val="0"/>
          <w:numId w:val="96"/>
        </w:numPr>
      </w:pPr>
      <w:r>
        <w:t>Common principles of quality assurance to be applied across higher education and vocational education and training (IV.1.1)</w:t>
      </w:r>
    </w:p>
    <w:p w14:paraId="191151C5" w14:textId="77777777" w:rsidR="00080625" w:rsidRDefault="00080625" w:rsidP="00B40521">
      <w:pPr>
        <w:pStyle w:val="ListParagraph"/>
        <w:numPr>
          <w:ilvl w:val="0"/>
          <w:numId w:val="96"/>
        </w:numPr>
      </w:pPr>
      <w:r>
        <w:t>EQAR-registered agencies operating in countries other than their countries of origin (IV.1.2)</w:t>
      </w:r>
    </w:p>
    <w:p w14:paraId="487AAC1C" w14:textId="77777777" w:rsidR="00845204" w:rsidRDefault="00845204" w:rsidP="00080625">
      <w:pPr>
        <w:rPr>
          <w:i/>
        </w:rPr>
      </w:pPr>
    </w:p>
    <w:p w14:paraId="25299B32" w14:textId="77777777" w:rsidR="00080625" w:rsidRDefault="00080625" w:rsidP="00080625">
      <w:pPr>
        <w:rPr>
          <w:i/>
        </w:rPr>
      </w:pPr>
      <w:r w:rsidRPr="009B54F1">
        <w:rPr>
          <w:i/>
        </w:rPr>
        <w:t>Qualifications frameworks</w:t>
      </w:r>
    </w:p>
    <w:p w14:paraId="48338BA7" w14:textId="77777777" w:rsidR="00080625" w:rsidRPr="009B54F1" w:rsidRDefault="00080625" w:rsidP="00080625">
      <w:pPr>
        <w:rPr>
          <w:i/>
        </w:rPr>
      </w:pPr>
    </w:p>
    <w:p w14:paraId="7C81723C" w14:textId="77777777" w:rsidR="00080625" w:rsidRDefault="00080625" w:rsidP="00B40521">
      <w:pPr>
        <w:pStyle w:val="ListParagraph"/>
        <w:numPr>
          <w:ilvl w:val="0"/>
          <w:numId w:val="97"/>
        </w:numPr>
      </w:pPr>
      <w:r>
        <w:t>The place of short cycle qualifications in the QF-EHEA (IV.2.1)</w:t>
      </w:r>
    </w:p>
    <w:p w14:paraId="0D086F92" w14:textId="77777777" w:rsidR="00080625" w:rsidRDefault="00080625" w:rsidP="00B40521">
      <w:pPr>
        <w:pStyle w:val="ListParagraph"/>
        <w:numPr>
          <w:ilvl w:val="0"/>
          <w:numId w:val="97"/>
        </w:numPr>
      </w:pPr>
      <w:r>
        <w:t>Referencing of access qualifications (IV.2.2)</w:t>
      </w:r>
    </w:p>
    <w:p w14:paraId="17ACEC9D" w14:textId="77777777" w:rsidR="00080625" w:rsidRDefault="00080625" w:rsidP="00B40521">
      <w:pPr>
        <w:pStyle w:val="ListParagraph"/>
        <w:numPr>
          <w:ilvl w:val="0"/>
          <w:numId w:val="97"/>
        </w:numPr>
      </w:pPr>
      <w:r>
        <w:t>Third cycle qualifications (IV.2.3)</w:t>
      </w:r>
    </w:p>
    <w:p w14:paraId="5FFDFBD4" w14:textId="77777777" w:rsidR="00080625" w:rsidRDefault="00080625" w:rsidP="00B40521">
      <w:pPr>
        <w:pStyle w:val="ListParagraph"/>
        <w:numPr>
          <w:ilvl w:val="0"/>
          <w:numId w:val="97"/>
        </w:numPr>
      </w:pPr>
      <w:r>
        <w:t>Implementation of qualifications frameworks (IV.2.4)</w:t>
      </w:r>
    </w:p>
    <w:p w14:paraId="2DB2E815" w14:textId="77777777" w:rsidR="00845204" w:rsidRDefault="00845204" w:rsidP="002151F9">
      <w:pPr>
        <w:jc w:val="both"/>
        <w:rPr>
          <w:i/>
        </w:rPr>
      </w:pPr>
    </w:p>
    <w:p w14:paraId="437E2EF7" w14:textId="77777777" w:rsidR="00080625" w:rsidRDefault="00080625" w:rsidP="002151F9">
      <w:pPr>
        <w:jc w:val="both"/>
        <w:rPr>
          <w:i/>
        </w:rPr>
      </w:pPr>
      <w:r>
        <w:rPr>
          <w:i/>
        </w:rPr>
        <w:t>Recognition</w:t>
      </w:r>
    </w:p>
    <w:p w14:paraId="5ADCA28E" w14:textId="77777777" w:rsidR="00080625" w:rsidRPr="00171971" w:rsidRDefault="00080625" w:rsidP="002151F9">
      <w:pPr>
        <w:jc w:val="both"/>
        <w:rPr>
          <w:i/>
        </w:rPr>
      </w:pPr>
    </w:p>
    <w:p w14:paraId="5D54FFD8" w14:textId="77777777" w:rsidR="00080625" w:rsidRDefault="00080625" w:rsidP="00B40521">
      <w:pPr>
        <w:pStyle w:val="ListParagraph"/>
        <w:numPr>
          <w:ilvl w:val="0"/>
          <w:numId w:val="98"/>
        </w:numPr>
      </w:pPr>
      <w:r>
        <w:t>Review national legislation to fully comply with the Lisbon Recognition Convention and promote the use of the EAR manual to advance recognition practices (IV.3.1)</w:t>
      </w:r>
    </w:p>
    <w:p w14:paraId="20E7EEA4" w14:textId="77777777" w:rsidR="00080625" w:rsidRDefault="00080625" w:rsidP="00B40521">
      <w:pPr>
        <w:pStyle w:val="ListParagraph"/>
        <w:numPr>
          <w:ilvl w:val="0"/>
          <w:numId w:val="98"/>
        </w:numPr>
      </w:pPr>
      <w:r>
        <w:t>Recognition of prior learning (IV.3.2)</w:t>
      </w:r>
    </w:p>
    <w:p w14:paraId="7CBAD600" w14:textId="77777777" w:rsidR="00845204" w:rsidRDefault="00845204" w:rsidP="002151F9">
      <w:pPr>
        <w:jc w:val="both"/>
        <w:rPr>
          <w:i/>
        </w:rPr>
      </w:pPr>
    </w:p>
    <w:p w14:paraId="26B0C8B2" w14:textId="77777777" w:rsidR="00080625" w:rsidRDefault="00080625" w:rsidP="002151F9">
      <w:pPr>
        <w:jc w:val="both"/>
        <w:rPr>
          <w:i/>
        </w:rPr>
      </w:pPr>
      <w:r w:rsidRPr="00470625">
        <w:rPr>
          <w:i/>
        </w:rPr>
        <w:t>Transparency</w:t>
      </w:r>
    </w:p>
    <w:p w14:paraId="67101088" w14:textId="77777777" w:rsidR="00080625" w:rsidRPr="00470625" w:rsidRDefault="00080625" w:rsidP="002151F9">
      <w:pPr>
        <w:jc w:val="both"/>
        <w:rPr>
          <w:i/>
        </w:rPr>
      </w:pPr>
    </w:p>
    <w:p w14:paraId="6E571043" w14:textId="77777777" w:rsidR="00080625" w:rsidRDefault="00080625" w:rsidP="00B40521">
      <w:pPr>
        <w:pStyle w:val="ListParagraph"/>
        <w:numPr>
          <w:ilvl w:val="0"/>
          <w:numId w:val="99"/>
        </w:numPr>
      </w:pPr>
      <w:r>
        <w:t>Diploma Supplement (IV.4.1)</w:t>
      </w:r>
    </w:p>
    <w:p w14:paraId="1D17D8E5" w14:textId="77777777" w:rsidR="00080625" w:rsidRDefault="00080625" w:rsidP="00B40521">
      <w:pPr>
        <w:pStyle w:val="ListParagraph"/>
        <w:numPr>
          <w:ilvl w:val="0"/>
          <w:numId w:val="99"/>
        </w:numPr>
      </w:pPr>
      <w:r>
        <w:t>Review of the ECTS Users</w:t>
      </w:r>
      <w:r>
        <w:t>’</w:t>
      </w:r>
      <w:r>
        <w:t xml:space="preserve"> Guide (IV.4.2)</w:t>
      </w:r>
    </w:p>
    <w:p w14:paraId="36E89B17" w14:textId="77777777" w:rsidR="00080625" w:rsidRDefault="00080625" w:rsidP="002151F9">
      <w:pPr>
        <w:jc w:val="both"/>
      </w:pPr>
    </w:p>
    <w:p w14:paraId="1492894A" w14:textId="77777777" w:rsidR="00080625" w:rsidRDefault="00080625" w:rsidP="002151F9">
      <w:pPr>
        <w:jc w:val="both"/>
        <w:rPr>
          <w:b/>
        </w:rPr>
      </w:pPr>
      <w:r w:rsidRPr="00DC49FC">
        <w:rPr>
          <w:b/>
        </w:rPr>
        <w:t>Recommendations</w:t>
      </w:r>
    </w:p>
    <w:p w14:paraId="54A99DBE" w14:textId="77777777" w:rsidR="00080625" w:rsidRPr="00DC49FC" w:rsidRDefault="00080625" w:rsidP="002151F9">
      <w:pPr>
        <w:jc w:val="both"/>
        <w:rPr>
          <w:b/>
        </w:rPr>
      </w:pPr>
    </w:p>
    <w:p w14:paraId="0A157544" w14:textId="77777777" w:rsidR="00080625" w:rsidRDefault="00080625" w:rsidP="002151F9">
      <w:pPr>
        <w:jc w:val="both"/>
      </w:pPr>
      <w:r>
        <w:t xml:space="preserve">The SRWG puts forward a considerable number of recommendations in the different parts of the report.  For easy reference, an overview all recommendations is provided immediately after the Executive summary.  </w:t>
      </w:r>
    </w:p>
    <w:p w14:paraId="7440731D" w14:textId="77777777" w:rsidR="00080625" w:rsidRDefault="00080625" w:rsidP="002151F9">
      <w:pPr>
        <w:jc w:val="both"/>
      </w:pPr>
    </w:p>
    <w:p w14:paraId="678D0F53" w14:textId="77777777" w:rsidR="00080625" w:rsidRDefault="00080625" w:rsidP="002151F9">
      <w:pPr>
        <w:jc w:val="both"/>
      </w:pPr>
      <w:r>
        <w:t>The SRWG suggest that in the Yerevan Communiqué, Ministers:</w:t>
      </w:r>
    </w:p>
    <w:p w14:paraId="2991E3A8" w14:textId="77777777" w:rsidR="00080625" w:rsidRDefault="00080625" w:rsidP="002151F9">
      <w:pPr>
        <w:jc w:val="both"/>
      </w:pPr>
    </w:p>
    <w:p w14:paraId="5CD76B36" w14:textId="77777777" w:rsidR="00080625" w:rsidRDefault="00080625" w:rsidP="00B40521">
      <w:pPr>
        <w:pStyle w:val="Body"/>
        <w:numPr>
          <w:ilvl w:val="0"/>
          <w:numId w:val="85"/>
        </w:numPr>
        <w:ind w:hanging="720"/>
        <w:jc w:val="both"/>
        <w:rPr>
          <w:iCs/>
          <w:color w:val="auto"/>
          <w:u w:color="FF0000"/>
        </w:rPr>
      </w:pPr>
      <w:r>
        <w:rPr>
          <w:iCs/>
          <w:color w:val="auto"/>
          <w:u w:color="FF0000"/>
        </w:rPr>
        <w:t>commit to communicating the vision and mission of the European Higher Education Area and to</w:t>
      </w:r>
      <w:r w:rsidRPr="00886A69">
        <w:rPr>
          <w:iCs/>
          <w:color w:val="auto"/>
          <w:u w:color="FF0000"/>
        </w:rPr>
        <w:t xml:space="preserve"> t</w:t>
      </w:r>
      <w:r>
        <w:rPr>
          <w:iCs/>
          <w:color w:val="auto"/>
          <w:u w:color="FF0000"/>
        </w:rPr>
        <w:t>aking</w:t>
      </w:r>
      <w:r w:rsidRPr="00886A69">
        <w:rPr>
          <w:iCs/>
          <w:color w:val="auto"/>
          <w:u w:color="FF0000"/>
        </w:rPr>
        <w:t xml:space="preserve"> account of the linkage between the different areas of structural reforms as well as the link between these and other policy objectives, such as internationalization and the social dimension</w:t>
      </w:r>
      <w:r>
        <w:rPr>
          <w:iCs/>
          <w:color w:val="auto"/>
          <w:u w:color="FF0000"/>
        </w:rPr>
        <w:t>, i</w:t>
      </w:r>
      <w:r w:rsidRPr="00886A69">
        <w:rPr>
          <w:iCs/>
          <w:color w:val="auto"/>
          <w:u w:color="FF0000"/>
        </w:rPr>
        <w:t>n their policies and communication.</w:t>
      </w:r>
    </w:p>
    <w:p w14:paraId="4F38E5E3" w14:textId="77777777" w:rsidR="00845204" w:rsidRPr="00171971" w:rsidRDefault="00845204" w:rsidP="00C3264C">
      <w:pPr>
        <w:pStyle w:val="Body"/>
        <w:ind w:left="720" w:hanging="720"/>
        <w:jc w:val="both"/>
        <w:rPr>
          <w:iCs/>
          <w:color w:val="auto"/>
          <w:u w:color="FF0000"/>
        </w:rPr>
      </w:pPr>
    </w:p>
    <w:p w14:paraId="54D80530" w14:textId="77777777" w:rsidR="00080625" w:rsidRDefault="00080625" w:rsidP="00B40521">
      <w:pPr>
        <w:pStyle w:val="ListParagraph"/>
        <w:numPr>
          <w:ilvl w:val="0"/>
          <w:numId w:val="56"/>
        </w:numPr>
        <w:ind w:left="709" w:hanging="709"/>
      </w:pPr>
      <w:r>
        <w:t xml:space="preserve">commit to drawing on the experience of other EHEA partners in implementing structural reforms, e.g. through peer learning activities or targeted advice, </w:t>
      </w:r>
      <w:r w:rsidR="006F69F0">
        <w:t xml:space="preserve">also with a view to build the capacity to implement EHEA reforms at grass roots level, </w:t>
      </w:r>
      <w:r>
        <w:t>and mandate the BFUG co-chairs and the Bologna Secretariat to contact the competent authorities of EHEA members with an unsatisfactory implementation of structural reforms in the 2015 EHEA Implementation report by the end of 2015 with offers of assistance and to report back on the outcomes of such assistance in time for the 2018 ministerial conference.</w:t>
      </w:r>
    </w:p>
    <w:p w14:paraId="7E4BE677" w14:textId="77777777" w:rsidR="00845204" w:rsidRDefault="00845204" w:rsidP="00FC5A81">
      <w:pPr>
        <w:pStyle w:val="ListParagraph"/>
        <w:numPr>
          <w:ilvl w:val="0"/>
          <w:numId w:val="0"/>
        </w:numPr>
        <w:ind w:left="709" w:hanging="709"/>
      </w:pPr>
    </w:p>
    <w:p w14:paraId="40D54FE0" w14:textId="77777777" w:rsidR="00FE0071" w:rsidRDefault="00FE0071" w:rsidP="00B40521">
      <w:pPr>
        <w:pStyle w:val="ListParagraph"/>
        <w:numPr>
          <w:ilvl w:val="0"/>
          <w:numId w:val="119"/>
        </w:numPr>
        <w:ind w:left="709" w:hanging="709"/>
      </w:pPr>
      <w:r>
        <w:t xml:space="preserve">make efforts, together with institutions, to build capacity </w:t>
      </w:r>
      <w:r w:rsidR="009B356D">
        <w:t>to implement</w:t>
      </w:r>
      <w:r>
        <w:t xml:space="preserve"> </w:t>
      </w:r>
      <w:r w:rsidR="009B356D">
        <w:t xml:space="preserve">a </w:t>
      </w:r>
      <w:r>
        <w:t xml:space="preserve">learning outcomes approach at grass roots level, i.e. at department and faculty level within institutions, e.g. through professional training in the development and assessment of learning outcomes. This should be an integral part of pedagogical training for new higher education teaching staff and as such should be mandatory for all new staff and also offered to all staff currently employed.   </w:t>
      </w:r>
    </w:p>
    <w:p w14:paraId="52662CE6" w14:textId="77777777" w:rsidR="009B356D" w:rsidRDefault="009B356D" w:rsidP="006F69F0">
      <w:pPr>
        <w:pStyle w:val="ListParagraph"/>
        <w:numPr>
          <w:ilvl w:val="0"/>
          <w:numId w:val="0"/>
        </w:numPr>
        <w:ind w:left="709"/>
      </w:pPr>
    </w:p>
    <w:p w14:paraId="34D55C4E" w14:textId="77777777" w:rsidR="00FE0071" w:rsidRDefault="00FE0071" w:rsidP="00B40521">
      <w:pPr>
        <w:pStyle w:val="ListParagraph"/>
        <w:numPr>
          <w:ilvl w:val="0"/>
          <w:numId w:val="119"/>
        </w:numPr>
        <w:ind w:left="709" w:hanging="709"/>
      </w:pPr>
      <w:r>
        <w:t xml:space="preserve">agree that </w:t>
      </w:r>
      <w:r w:rsidR="009B356D">
        <w:t xml:space="preserve">the </w:t>
      </w:r>
      <w:r>
        <w:t>employability of graduates is an important element of external and internal quality assurance.</w:t>
      </w:r>
    </w:p>
    <w:p w14:paraId="7842F3A0" w14:textId="77777777" w:rsidR="009B356D" w:rsidRDefault="009B356D" w:rsidP="009B356D">
      <w:pPr>
        <w:pStyle w:val="ListParagraph"/>
        <w:numPr>
          <w:ilvl w:val="0"/>
          <w:numId w:val="0"/>
        </w:numPr>
      </w:pPr>
    </w:p>
    <w:p w14:paraId="3B89326B" w14:textId="77777777" w:rsidR="009B356D" w:rsidRDefault="00FE0071" w:rsidP="00B40521">
      <w:pPr>
        <w:pStyle w:val="ListParagraph"/>
        <w:numPr>
          <w:ilvl w:val="0"/>
          <w:numId w:val="119"/>
        </w:numPr>
        <w:ind w:left="709" w:hanging="709"/>
      </w:pPr>
      <w:r>
        <w:t>commit to ensuring that their competence requirements ensure fair access to public employment for holders of first degrees and encourage employers to make appropriate use of higher education qualifications, including those of the first cycle.</w:t>
      </w:r>
    </w:p>
    <w:p w14:paraId="195FFEED" w14:textId="77777777" w:rsidR="009B356D" w:rsidRDefault="009B356D" w:rsidP="009B356D">
      <w:pPr>
        <w:pStyle w:val="ListParagraph"/>
        <w:numPr>
          <w:ilvl w:val="0"/>
          <w:numId w:val="0"/>
        </w:numPr>
      </w:pPr>
    </w:p>
    <w:p w14:paraId="12C38B97" w14:textId="77777777" w:rsidR="00FC5A81" w:rsidRDefault="00FE0071" w:rsidP="00B40521">
      <w:pPr>
        <w:pStyle w:val="ListParagraph"/>
        <w:numPr>
          <w:ilvl w:val="0"/>
          <w:numId w:val="119"/>
        </w:numPr>
        <w:ind w:left="709" w:hanging="709"/>
      </w:pPr>
      <w:r w:rsidRPr="00EA7DDD">
        <w:t>ensure</w:t>
      </w:r>
      <w:r>
        <w:t>, together with institutions,</w:t>
      </w:r>
      <w:r w:rsidRPr="00EA7DDD">
        <w:t xml:space="preserve"> reliable and meaningful information on graduates</w:t>
      </w:r>
      <w:r w:rsidRPr="00EA7DDD">
        <w:t>’</w:t>
      </w:r>
      <w:r w:rsidRPr="00EA7DDD">
        <w:t xml:space="preserve"> career patterns in order to improve institutional self-knowledge and to obtain reliable and comparable data on graduates</w:t>
      </w:r>
      <w:r w:rsidRPr="00EA7DDD">
        <w:t>’</w:t>
      </w:r>
      <w:r w:rsidRPr="00EA7DDD">
        <w:t xml:space="preserve"> progression to the labor market which should be provided to potential students, their parent</w:t>
      </w:r>
      <w:r>
        <w:t>s and  society at large. Commit to</w:t>
      </w:r>
      <w:r w:rsidRPr="00EA7DDD">
        <w:t xml:space="preserve"> developing a coherent EHEA approach to tracking graduates which would enhance reliability and comparability of data across Europe. </w:t>
      </w:r>
    </w:p>
    <w:p w14:paraId="72CEC9E3" w14:textId="77777777" w:rsidR="00FC5A81" w:rsidRDefault="00FC5A81" w:rsidP="00B40521">
      <w:pPr>
        <w:pStyle w:val="ListParagraph"/>
        <w:numPr>
          <w:ilvl w:val="0"/>
          <w:numId w:val="56"/>
        </w:numPr>
        <w:ind w:left="709" w:hanging="709"/>
      </w:pPr>
      <w:r>
        <w:lastRenderedPageBreak/>
        <w:t>commit to making full use of the opportunities offered by the establishment of the EHEA for continuously improving the quality and the relevance of the curricula in order to equip graduates with 21</w:t>
      </w:r>
      <w:r w:rsidRPr="00B442E8">
        <w:rPr>
          <w:vertAlign w:val="superscript"/>
        </w:rPr>
        <w:t>st</w:t>
      </w:r>
      <w:r>
        <w:t xml:space="preserve"> century skills;</w:t>
      </w:r>
    </w:p>
    <w:p w14:paraId="022405DA" w14:textId="77777777" w:rsidR="00FC5A81" w:rsidRDefault="00FC5A81" w:rsidP="00FC5A81">
      <w:pPr>
        <w:ind w:hanging="709"/>
        <w:jc w:val="both"/>
      </w:pPr>
    </w:p>
    <w:p w14:paraId="3B011D64" w14:textId="77777777" w:rsidR="00FC5A81" w:rsidRDefault="00FC5A81" w:rsidP="00B40521">
      <w:pPr>
        <w:pStyle w:val="ListParagraph"/>
        <w:numPr>
          <w:ilvl w:val="0"/>
          <w:numId w:val="56"/>
        </w:numPr>
        <w:ind w:left="709" w:hanging="709"/>
      </w:pPr>
      <w:r>
        <w:t>commit to engaging in further developing activities for all dimensions of institutional and programmatic quality and diversity</w:t>
      </w:r>
      <w:r w:rsidRPr="004F4914">
        <w:t xml:space="preserve"> </w:t>
      </w:r>
      <w:r>
        <w:t>increasing evidence-based transparency;</w:t>
      </w:r>
    </w:p>
    <w:p w14:paraId="34D14AB7" w14:textId="77777777" w:rsidR="00FC5A81" w:rsidRDefault="00FC5A81" w:rsidP="000D3B1E"/>
    <w:p w14:paraId="5C2C209A" w14:textId="77777777" w:rsidR="00080625" w:rsidRPr="00845204" w:rsidRDefault="00080625" w:rsidP="00B40521">
      <w:pPr>
        <w:pStyle w:val="ListParagraph"/>
        <w:numPr>
          <w:ilvl w:val="0"/>
          <w:numId w:val="101"/>
        </w:numPr>
        <w:ind w:hanging="720"/>
      </w:pPr>
      <w:r w:rsidRPr="00DD7204">
        <w:t>decide t</w:t>
      </w:r>
      <w:r w:rsidRPr="00993900">
        <w:t xml:space="preserve">o include short cycle qualifications in the overarching framework of qualifications of the European Higher Education Area (QF-EHEA) based on </w:t>
      </w:r>
      <w:r w:rsidRPr="00993900">
        <w:rPr>
          <w:u w:color="FF0000"/>
        </w:rPr>
        <w:t>the Dublin descriptor</w:t>
      </w:r>
      <w:r>
        <w:rPr>
          <w:rFonts w:eastAsia="Times New Roman" w:hAnsi="Times New Roman" w:cs="Times New Roman"/>
          <w:u w:color="FF0000"/>
          <w:vertAlign w:val="superscript"/>
        </w:rPr>
        <w:t xml:space="preserve"> </w:t>
      </w:r>
      <w:r w:rsidRPr="00993900">
        <w:rPr>
          <w:u w:color="FF0000"/>
        </w:rPr>
        <w:t>for short cycle qualifications and quality assured according to the ESG.</w:t>
      </w:r>
    </w:p>
    <w:p w14:paraId="23EB90C9" w14:textId="77777777" w:rsidR="00845204" w:rsidRPr="00810FEF" w:rsidRDefault="00845204" w:rsidP="00C3264C">
      <w:pPr>
        <w:pStyle w:val="ListParagraph"/>
        <w:numPr>
          <w:ilvl w:val="0"/>
          <w:numId w:val="0"/>
        </w:numPr>
        <w:ind w:left="720" w:hanging="720"/>
      </w:pPr>
    </w:p>
    <w:p w14:paraId="1F1E2485" w14:textId="77777777" w:rsidR="00080625" w:rsidRDefault="00080625" w:rsidP="00B40521">
      <w:pPr>
        <w:pStyle w:val="ListParagraph"/>
        <w:numPr>
          <w:ilvl w:val="0"/>
          <w:numId w:val="101"/>
        </w:numPr>
        <w:ind w:hanging="720"/>
      </w:pPr>
      <w:r w:rsidRPr="00810FEF">
        <w:t xml:space="preserve"> </w:t>
      </w:r>
      <w:r>
        <w:t>adopt the revised ECTS Users</w:t>
      </w:r>
      <w:r>
        <w:t>’</w:t>
      </w:r>
      <w:r>
        <w:t xml:space="preserve"> Guide and make it an official EHEA document;</w:t>
      </w:r>
    </w:p>
    <w:p w14:paraId="626BD051" w14:textId="77777777" w:rsidR="00845204" w:rsidRPr="00810FEF" w:rsidRDefault="00845204" w:rsidP="00C3264C">
      <w:pPr>
        <w:pStyle w:val="ListParagraph"/>
        <w:numPr>
          <w:ilvl w:val="0"/>
          <w:numId w:val="0"/>
        </w:numPr>
        <w:ind w:left="720" w:hanging="720"/>
      </w:pPr>
    </w:p>
    <w:p w14:paraId="5D2390A3" w14:textId="77777777" w:rsidR="00080625" w:rsidRDefault="00080625" w:rsidP="00B40521">
      <w:pPr>
        <w:pStyle w:val="Body"/>
        <w:numPr>
          <w:ilvl w:val="0"/>
          <w:numId w:val="56"/>
        </w:numPr>
        <w:ind w:left="709" w:hanging="709"/>
        <w:jc w:val="both"/>
        <w:rPr>
          <w:iCs/>
        </w:rPr>
      </w:pPr>
      <w:r w:rsidRPr="002B3A7F">
        <w:rPr>
          <w:iCs/>
        </w:rPr>
        <w:t>commit to fulfilling their previous commitment to issue the Diploma Supplement automatically, free of charge and in a widely spoken language in time for this commitment to be verified in the 2018 Implementation report.</w:t>
      </w:r>
    </w:p>
    <w:p w14:paraId="3870958E" w14:textId="77777777" w:rsidR="00845204" w:rsidRPr="002B3A7F" w:rsidRDefault="00845204" w:rsidP="00C3264C">
      <w:pPr>
        <w:pStyle w:val="Body"/>
        <w:ind w:left="709" w:hanging="720"/>
        <w:jc w:val="both"/>
        <w:rPr>
          <w:iCs/>
        </w:rPr>
      </w:pPr>
    </w:p>
    <w:p w14:paraId="52264858" w14:textId="77777777" w:rsidR="00080625" w:rsidRDefault="00080625" w:rsidP="00B40521">
      <w:pPr>
        <w:pStyle w:val="Body"/>
        <w:numPr>
          <w:ilvl w:val="0"/>
          <w:numId w:val="100"/>
        </w:numPr>
        <w:ind w:left="709" w:hanging="720"/>
        <w:jc w:val="both"/>
      </w:pPr>
      <w:r>
        <w:t>ask that t</w:t>
      </w:r>
      <w:r w:rsidRPr="003B23C3">
        <w:rPr>
          <w:iCs/>
        </w:rPr>
        <w:t>he Council of Europe, the European Commission and UNESCO</w:t>
      </w:r>
      <w:r>
        <w:t xml:space="preserve"> review the Diploma Supplement with a view to ensuring it reflects recent developments in higher education, including the development of learning outcomes and qualifications frameworks, is relevant and up to date for the purposes of mobility and the recognition of qualifications as well as promoting employability and that it takes into account the possibilities for providing up to date information offered by modern information technology, including the digitalization of the Diploma Supplement itself;</w:t>
      </w:r>
    </w:p>
    <w:p w14:paraId="21B2370E" w14:textId="77777777" w:rsidR="00845204" w:rsidRDefault="00845204" w:rsidP="00C3264C">
      <w:pPr>
        <w:pStyle w:val="Body"/>
        <w:ind w:left="709" w:hanging="720"/>
        <w:jc w:val="both"/>
      </w:pPr>
    </w:p>
    <w:p w14:paraId="4CF6DAD1" w14:textId="77777777" w:rsidR="00080625" w:rsidRDefault="00080625" w:rsidP="00B40521">
      <w:pPr>
        <w:pStyle w:val="Body"/>
        <w:numPr>
          <w:ilvl w:val="0"/>
          <w:numId w:val="100"/>
        </w:numPr>
        <w:ind w:left="709" w:hanging="720"/>
        <w:jc w:val="both"/>
        <w:rPr>
          <w:iCs/>
        </w:rPr>
      </w:pPr>
      <w:r w:rsidRPr="003B23C3">
        <w:rPr>
          <w:iCs/>
        </w:rPr>
        <w:t>commit to reviewing their national legislation with a view to fully complying with th</w:t>
      </w:r>
      <w:r>
        <w:rPr>
          <w:iCs/>
        </w:rPr>
        <w:t xml:space="preserve">e Lisbon Recognition Convention, </w:t>
      </w:r>
      <w:r w:rsidRPr="003B23C3">
        <w:rPr>
          <w:iCs/>
        </w:rPr>
        <w:t>report to the Bologna S</w:t>
      </w:r>
      <w:r>
        <w:rPr>
          <w:iCs/>
        </w:rPr>
        <w:t>ecretariat by the end of 2016, and ask t</w:t>
      </w:r>
      <w:r w:rsidRPr="003B23C3">
        <w:rPr>
          <w:iCs/>
        </w:rPr>
        <w:t>he ENIC and NARIC Networks to prepare an analysis of the rep</w:t>
      </w:r>
      <w:r>
        <w:rPr>
          <w:iCs/>
        </w:rPr>
        <w:t>orts by the end of 2017;</w:t>
      </w:r>
    </w:p>
    <w:p w14:paraId="35356FC0" w14:textId="77777777" w:rsidR="00845204" w:rsidRDefault="00845204" w:rsidP="00845204">
      <w:pPr>
        <w:pStyle w:val="Body"/>
        <w:tabs>
          <w:tab w:val="left" w:pos="426"/>
        </w:tabs>
        <w:ind w:left="709"/>
        <w:jc w:val="both"/>
        <w:rPr>
          <w:iCs/>
        </w:rPr>
      </w:pPr>
    </w:p>
    <w:p w14:paraId="5E0CDAD6" w14:textId="77777777" w:rsidR="00080625" w:rsidRDefault="00080625" w:rsidP="00B40521">
      <w:pPr>
        <w:pStyle w:val="ListParagraph"/>
        <w:numPr>
          <w:ilvl w:val="0"/>
          <w:numId w:val="100"/>
        </w:numPr>
        <w:ind w:left="709" w:hanging="709"/>
      </w:pPr>
      <w:r>
        <w:t xml:space="preserve">commit to reviewing current legislation with a view to removing any remaining obstacles to the recognition of prior learning for the purposes of providing access to higher education programs and </w:t>
      </w:r>
      <w:r w:rsidR="00C30FE8">
        <w:t>facilitating the award of</w:t>
      </w:r>
      <w:r>
        <w:t xml:space="preserve"> qualifications on the basis of prior learning;</w:t>
      </w:r>
    </w:p>
    <w:p w14:paraId="2E342586" w14:textId="77777777" w:rsidR="00080625" w:rsidRDefault="00080625" w:rsidP="00C3264C">
      <w:pPr>
        <w:pStyle w:val="ListParagraph"/>
        <w:numPr>
          <w:ilvl w:val="0"/>
          <w:numId w:val="0"/>
        </w:numPr>
        <w:ind w:left="709" w:hanging="709"/>
      </w:pPr>
    </w:p>
    <w:p w14:paraId="21906118" w14:textId="77777777" w:rsidR="00080625" w:rsidRDefault="00080625" w:rsidP="00B40521">
      <w:pPr>
        <w:pStyle w:val="ListParagraph"/>
        <w:numPr>
          <w:ilvl w:val="0"/>
          <w:numId w:val="100"/>
        </w:numPr>
        <w:ind w:left="709" w:hanging="709"/>
      </w:pPr>
      <w:r>
        <w:t>commit to reviewing their national qualifications frameworks with a view to ensuring that learning paths within the framework provide adequately for the recognition of prior learning;</w:t>
      </w:r>
    </w:p>
    <w:p w14:paraId="3AE9A046" w14:textId="77777777" w:rsidR="00080625" w:rsidRDefault="00080625" w:rsidP="00C3264C">
      <w:pPr>
        <w:pBdr>
          <w:top w:val="none" w:sz="0" w:space="0" w:color="auto"/>
          <w:left w:val="none" w:sz="0" w:space="0" w:color="auto"/>
          <w:bottom w:val="none" w:sz="0" w:space="0" w:color="auto"/>
          <w:right w:val="none" w:sz="0" w:space="0" w:color="auto"/>
          <w:between w:val="none" w:sz="0" w:space="0" w:color="auto"/>
          <w:bar w:val="none" w:sz="0" w:color="auto"/>
        </w:pBdr>
        <w:ind w:left="709" w:hanging="709"/>
        <w:contextualSpacing/>
        <w:jc w:val="both"/>
      </w:pPr>
    </w:p>
    <w:p w14:paraId="2FB66D01" w14:textId="77777777" w:rsidR="00080625" w:rsidRPr="002E6C65" w:rsidRDefault="00080625" w:rsidP="00B40521">
      <w:pPr>
        <w:pStyle w:val="ListParagraph"/>
        <w:numPr>
          <w:ilvl w:val="0"/>
          <w:numId w:val="100"/>
        </w:numPr>
        <w:ind w:left="709" w:hanging="709"/>
      </w:pPr>
      <w:r>
        <w:t>ask t</w:t>
      </w:r>
      <w:r w:rsidRPr="00722AE6">
        <w:t>he</w:t>
      </w:r>
      <w:r w:rsidRPr="00335018">
        <w:rPr>
          <w:i/>
        </w:rPr>
        <w:t xml:space="preserve"> Lisbon Recognition Convention Committee</w:t>
      </w:r>
      <w:r>
        <w:t xml:space="preserve"> to consider whether a subsidiary text to the Lisbon Recognition Convention might be developed on the recognition of prior learning and, as appropriate, submit a draft text for adoption by 2018.</w:t>
      </w:r>
    </w:p>
    <w:p w14:paraId="04809576" w14:textId="77777777" w:rsidR="00080625" w:rsidRDefault="00080625" w:rsidP="00B40521">
      <w:pPr>
        <w:pStyle w:val="ListParagraph"/>
        <w:numPr>
          <w:ilvl w:val="0"/>
          <w:numId w:val="101"/>
        </w:numPr>
        <w:ind w:left="709" w:hanging="709"/>
      </w:pPr>
      <w:r>
        <w:t xml:space="preserve">take note of the report by the Structural Reforms Working group and ask the BFUG to take account of its recommendations in developing its 2105 </w:t>
      </w:r>
      <w:r>
        <w:t>–</w:t>
      </w:r>
      <w:r>
        <w:t xml:space="preserve"> 18 work program.</w:t>
      </w:r>
    </w:p>
    <w:p w14:paraId="53F27807" w14:textId="77777777" w:rsidR="00080625" w:rsidRDefault="00080625" w:rsidP="002151F9">
      <w:pPr>
        <w:jc w:val="both"/>
      </w:pPr>
    </w:p>
    <w:p w14:paraId="17F38C2C" w14:textId="77777777" w:rsidR="00080625" w:rsidRDefault="00080625" w:rsidP="00080625"/>
    <w:p w14:paraId="75552F79" w14:textId="77777777" w:rsidR="00080625" w:rsidRPr="00395D3F" w:rsidRDefault="00080625" w:rsidP="00080625">
      <w:pPr>
        <w:pStyle w:val="Body"/>
        <w:rPr>
          <w:iCs/>
        </w:rPr>
      </w:pPr>
    </w:p>
    <w:p w14:paraId="600B3DB3" w14:textId="77777777" w:rsidR="00080625" w:rsidRPr="00A1173D" w:rsidRDefault="00080625" w:rsidP="00A1173D">
      <w:pPr>
        <w:pBdr>
          <w:top w:val="none" w:sz="0" w:space="0" w:color="auto"/>
          <w:left w:val="none" w:sz="0" w:space="0" w:color="auto"/>
          <w:bottom w:val="none" w:sz="0" w:space="0" w:color="auto"/>
          <w:right w:val="none" w:sz="0" w:space="0" w:color="auto"/>
          <w:between w:val="none" w:sz="0" w:space="0" w:color="auto"/>
          <w:bar w:val="none" w:sz="0" w:color="auto"/>
        </w:pBdr>
        <w:spacing w:after="200"/>
        <w:rPr>
          <w:rFonts w:hAnsi="Arial Unicode MS" w:cs="Arial Unicode MS"/>
          <w:iCs/>
          <w:color w:val="000000"/>
          <w:u w:color="000000"/>
        </w:rPr>
      </w:pPr>
      <w:r w:rsidRPr="00A80D5F">
        <w:rPr>
          <w:b/>
          <w:u w:color="FF0000"/>
        </w:rPr>
        <w:t>AN OVERVIEW OF RECOMMENDATIONS</w:t>
      </w:r>
    </w:p>
    <w:p w14:paraId="2A4AE8E6" w14:textId="77777777" w:rsidR="00080625" w:rsidRPr="00A80D5F" w:rsidRDefault="00080625" w:rsidP="00080625">
      <w:pPr>
        <w:pStyle w:val="Body"/>
        <w:rPr>
          <w:color w:val="auto"/>
          <w:u w:color="FF0000"/>
        </w:rPr>
      </w:pPr>
    </w:p>
    <w:p w14:paraId="16D59679" w14:textId="77777777" w:rsidR="00080625" w:rsidRPr="00A80D5F" w:rsidRDefault="00080625" w:rsidP="002151F9">
      <w:pPr>
        <w:pStyle w:val="Body"/>
        <w:jc w:val="both"/>
        <w:rPr>
          <w:color w:val="auto"/>
          <w:u w:color="FF0000"/>
        </w:rPr>
      </w:pPr>
      <w:r w:rsidRPr="00A80D5F">
        <w:rPr>
          <w:color w:val="auto"/>
          <w:u w:color="FF0000"/>
        </w:rPr>
        <w:t>For easy reference, all recommendations made in this report are reproduced with a reference to the part of the report in which they are made.</w:t>
      </w:r>
    </w:p>
    <w:p w14:paraId="1AFA6E69" w14:textId="77777777" w:rsidR="00080625" w:rsidRDefault="00080625" w:rsidP="002151F9">
      <w:pPr>
        <w:jc w:val="both"/>
      </w:pPr>
    </w:p>
    <w:p w14:paraId="146A6C71" w14:textId="77777777" w:rsidR="00080625" w:rsidRPr="00A80D5F" w:rsidRDefault="00080625" w:rsidP="002151F9">
      <w:pPr>
        <w:jc w:val="both"/>
        <w:rPr>
          <w:b/>
        </w:rPr>
      </w:pPr>
      <w:r w:rsidRPr="00A80D5F">
        <w:rPr>
          <w:b/>
        </w:rPr>
        <w:t>I.2 Structure and emphasis</w:t>
      </w:r>
    </w:p>
    <w:p w14:paraId="51CEEAAA" w14:textId="77777777" w:rsidR="00080625" w:rsidRPr="00F74264" w:rsidRDefault="00080625" w:rsidP="002151F9">
      <w:pPr>
        <w:jc w:val="both"/>
        <w:rPr>
          <w:b/>
          <w:i/>
        </w:rPr>
      </w:pPr>
    </w:p>
    <w:p w14:paraId="0A0D5DC5" w14:textId="77777777" w:rsidR="00080625" w:rsidRDefault="00080625" w:rsidP="00B40521">
      <w:pPr>
        <w:pStyle w:val="ListParagraph"/>
        <w:numPr>
          <w:ilvl w:val="0"/>
          <w:numId w:val="120"/>
        </w:numPr>
        <w:ind w:hanging="720"/>
      </w:pPr>
      <w:r>
        <w:t>Countries are encouraged to draw on the experience of other EHEA partners in implementing structural reforms, e.g. through peer learning activities or targeted advice</w:t>
      </w:r>
      <w:r w:rsidR="006F69F0">
        <w:t>, also with a view to build the capacity to implement EHEA reforms at grass roots level</w:t>
      </w:r>
      <w:r>
        <w:t>. The BFUG co-chairs and the Bologna Secretariat are mandated to contact the competent authorities of EHEA members with an unsatisfactory implementation of structural reforms in the 2015 EHEA Implementation report by the end of 2015 with offers of assistance and to report back on the outcomes of such assistance in time for the 2018 ministerial conference.</w:t>
      </w:r>
    </w:p>
    <w:p w14:paraId="3DD2F228" w14:textId="77777777" w:rsidR="00080625" w:rsidRDefault="00080625" w:rsidP="002151F9">
      <w:pPr>
        <w:jc w:val="both"/>
      </w:pPr>
    </w:p>
    <w:p w14:paraId="60A0CD15" w14:textId="77777777" w:rsidR="00080625" w:rsidRDefault="00080625" w:rsidP="002151F9">
      <w:pPr>
        <w:jc w:val="both"/>
      </w:pPr>
      <w:r w:rsidRPr="00F74264">
        <w:rPr>
          <w:b/>
        </w:rPr>
        <w:t>III. Overarching issues – developing a coherent approach to structural reforms</w:t>
      </w:r>
    </w:p>
    <w:p w14:paraId="13E895B1" w14:textId="77777777" w:rsidR="00080625" w:rsidRPr="00F74264" w:rsidRDefault="00080625" w:rsidP="002151F9">
      <w:pPr>
        <w:jc w:val="both"/>
      </w:pPr>
    </w:p>
    <w:p w14:paraId="5CC372D4" w14:textId="77777777" w:rsidR="00080625" w:rsidRDefault="00080625" w:rsidP="00B40521">
      <w:pPr>
        <w:pStyle w:val="Body"/>
        <w:numPr>
          <w:ilvl w:val="0"/>
          <w:numId w:val="85"/>
        </w:numPr>
        <w:ind w:hanging="720"/>
        <w:jc w:val="both"/>
        <w:rPr>
          <w:iCs/>
          <w:color w:val="auto"/>
          <w:u w:color="FF0000"/>
        </w:rPr>
      </w:pPr>
      <w:r>
        <w:rPr>
          <w:iCs/>
          <w:color w:val="auto"/>
          <w:u w:color="FF0000"/>
        </w:rPr>
        <w:t>Public authorities should communicate the vision and mission of the European Higher Education Area;</w:t>
      </w:r>
    </w:p>
    <w:p w14:paraId="51190C73" w14:textId="77777777" w:rsidR="00C3264C" w:rsidRDefault="00C3264C" w:rsidP="00C3264C">
      <w:pPr>
        <w:pStyle w:val="Body"/>
        <w:ind w:left="720"/>
        <w:jc w:val="both"/>
        <w:rPr>
          <w:iCs/>
          <w:color w:val="auto"/>
          <w:u w:color="FF0000"/>
        </w:rPr>
      </w:pPr>
    </w:p>
    <w:p w14:paraId="48FF8506" w14:textId="77777777" w:rsidR="00080625" w:rsidRDefault="00080625" w:rsidP="00B40521">
      <w:pPr>
        <w:pStyle w:val="Body"/>
        <w:numPr>
          <w:ilvl w:val="0"/>
          <w:numId w:val="85"/>
        </w:numPr>
        <w:ind w:hanging="720"/>
        <w:jc w:val="both"/>
        <w:rPr>
          <w:iCs/>
          <w:color w:val="auto"/>
          <w:u w:color="FF0000"/>
        </w:rPr>
      </w:pPr>
      <w:r w:rsidRPr="00A25340">
        <w:rPr>
          <w:iCs/>
          <w:color w:val="auto"/>
          <w:u w:color="FF0000"/>
        </w:rPr>
        <w:t xml:space="preserve">In their policies and communication, public authorities should take account of the linkage between the different areas of structural reforms as well as the link between these and other policy objectives, such as </w:t>
      </w:r>
      <w:r w:rsidR="00D41C57">
        <w:rPr>
          <w:iCs/>
          <w:color w:val="auto"/>
          <w:u w:color="FF0000"/>
        </w:rPr>
        <w:t xml:space="preserve">employability, </w:t>
      </w:r>
      <w:r w:rsidRPr="00A25340">
        <w:rPr>
          <w:iCs/>
          <w:color w:val="auto"/>
          <w:u w:color="FF0000"/>
        </w:rPr>
        <w:t>internationalization and the social dimension.</w:t>
      </w:r>
    </w:p>
    <w:p w14:paraId="0D9F0A94" w14:textId="77777777" w:rsidR="00C3264C" w:rsidRPr="00C3264C" w:rsidRDefault="00C3264C" w:rsidP="00C3264C">
      <w:pPr>
        <w:pStyle w:val="ListParagraph"/>
        <w:numPr>
          <w:ilvl w:val="0"/>
          <w:numId w:val="0"/>
        </w:numPr>
        <w:rPr>
          <w:iCs/>
          <w:color w:val="auto"/>
          <w:u w:color="FF0000"/>
        </w:rPr>
      </w:pPr>
    </w:p>
    <w:p w14:paraId="2965899D" w14:textId="77777777" w:rsidR="00080625" w:rsidRDefault="00080625" w:rsidP="00B40521">
      <w:pPr>
        <w:pStyle w:val="ListParagraph"/>
        <w:numPr>
          <w:ilvl w:val="0"/>
          <w:numId w:val="85"/>
        </w:numPr>
        <w:ind w:hanging="720"/>
      </w:pPr>
      <w:r>
        <w:t>EHEA members should communicate clearly how the different tools and instruments that constitute the Transparency Framework interrelate and work together.</w:t>
      </w:r>
    </w:p>
    <w:p w14:paraId="375D0834" w14:textId="77777777" w:rsidR="00C3264C" w:rsidRDefault="00C3264C" w:rsidP="00C3264C">
      <w:pPr>
        <w:pStyle w:val="ListParagraph"/>
        <w:numPr>
          <w:ilvl w:val="0"/>
          <w:numId w:val="0"/>
        </w:numPr>
      </w:pPr>
    </w:p>
    <w:p w14:paraId="07108744" w14:textId="77777777" w:rsidR="00080625" w:rsidRDefault="00080625" w:rsidP="00B40521">
      <w:pPr>
        <w:pStyle w:val="ListParagraph"/>
        <w:numPr>
          <w:ilvl w:val="0"/>
          <w:numId w:val="85"/>
        </w:numPr>
        <w:ind w:hanging="720"/>
      </w:pPr>
      <w:r>
        <w:t>EHEA members should encourage communication and cooperation between different actors/organizations that bear main responsibility for the different tools/instruments.</w:t>
      </w:r>
    </w:p>
    <w:p w14:paraId="2021DD0C" w14:textId="77777777" w:rsidR="00C3264C" w:rsidRDefault="00C3264C" w:rsidP="00C3264C">
      <w:pPr>
        <w:pStyle w:val="ListParagraph"/>
        <w:numPr>
          <w:ilvl w:val="0"/>
          <w:numId w:val="0"/>
        </w:numPr>
      </w:pPr>
    </w:p>
    <w:p w14:paraId="4E29E8AE" w14:textId="77777777" w:rsidR="00080625" w:rsidRDefault="00080625" w:rsidP="00B40521">
      <w:pPr>
        <w:pStyle w:val="ListParagraph"/>
        <w:numPr>
          <w:ilvl w:val="0"/>
          <w:numId w:val="85"/>
        </w:numPr>
        <w:ind w:hanging="720"/>
      </w:pPr>
      <w:r>
        <w:t>Template leaflets/presentations should be developed explaining the European Transparency Framework and how its components work hand-in-hand, not only at European level but also how it should be at national level</w:t>
      </w:r>
    </w:p>
    <w:p w14:paraId="38D03474" w14:textId="77777777" w:rsidR="00080625" w:rsidRDefault="00080625" w:rsidP="00080625"/>
    <w:p w14:paraId="2679066E" w14:textId="77777777" w:rsidR="00080625" w:rsidRDefault="00080625" w:rsidP="002151F9">
      <w:pPr>
        <w:pStyle w:val="Body"/>
        <w:jc w:val="both"/>
      </w:pPr>
      <w:r>
        <w:rPr>
          <w:rFonts w:ascii="Times New Roman Bold"/>
        </w:rPr>
        <w:t>III.1</w:t>
      </w:r>
      <w:r>
        <w:rPr>
          <w:rFonts w:ascii="Times New Roman Bold"/>
        </w:rPr>
        <w:tab/>
        <w:t>Learning outcomes</w:t>
      </w:r>
      <w:r>
        <w:t xml:space="preserve"> </w:t>
      </w:r>
    </w:p>
    <w:p w14:paraId="0BF87DF6" w14:textId="77777777" w:rsidR="00392351" w:rsidRDefault="00392351" w:rsidP="002151F9">
      <w:pPr>
        <w:pStyle w:val="Body"/>
        <w:jc w:val="both"/>
      </w:pPr>
    </w:p>
    <w:p w14:paraId="5704EB3B" w14:textId="77777777" w:rsidR="0048421D" w:rsidRDefault="00080625" w:rsidP="00B40521">
      <w:pPr>
        <w:pStyle w:val="ListParagraph"/>
        <w:numPr>
          <w:ilvl w:val="0"/>
          <w:numId w:val="55"/>
        </w:numPr>
        <w:ind w:left="709" w:hanging="709"/>
      </w:pPr>
      <w:r>
        <w:t xml:space="preserve">EHEA members should increase their effort to build capacity at grass roots level, i.e. at department and faculty level within institutions, e.g. through professional training in the development and assessment of learning outcomes. This should be an integral part of pedagogical training for new higher education teaching staff and as such should be mandatory for all new staff and also offered to all staff currently employed. </w:t>
      </w:r>
    </w:p>
    <w:p w14:paraId="72C11E5B" w14:textId="77777777" w:rsidR="00080625" w:rsidRDefault="00080625" w:rsidP="0048421D">
      <w:pPr>
        <w:pStyle w:val="ListParagraph"/>
        <w:numPr>
          <w:ilvl w:val="0"/>
          <w:numId w:val="0"/>
        </w:numPr>
      </w:pPr>
      <w:r>
        <w:lastRenderedPageBreak/>
        <w:t xml:space="preserve">  </w:t>
      </w:r>
    </w:p>
    <w:p w14:paraId="75B686C9" w14:textId="77777777" w:rsidR="00080625" w:rsidRDefault="00080625" w:rsidP="00B40521">
      <w:pPr>
        <w:pStyle w:val="ListParagraph"/>
        <w:numPr>
          <w:ilvl w:val="0"/>
          <w:numId w:val="55"/>
        </w:numPr>
        <w:ind w:left="709" w:hanging="709"/>
      </w:pPr>
      <w:r>
        <w:t xml:space="preserve">Training efforts at European level should focus on training the trainers, </w:t>
      </w:r>
      <w:r w:rsidRPr="003B23C3">
        <w:rPr>
          <w:i/>
        </w:rPr>
        <w:t>inter alia</w:t>
      </w:r>
      <w:r>
        <w:t xml:space="preserve"> with a view to ensuring coherence in national training and implementation.</w:t>
      </w:r>
    </w:p>
    <w:p w14:paraId="765DC56D" w14:textId="77777777" w:rsidR="00ED346C" w:rsidRDefault="00ED346C" w:rsidP="00ED346C">
      <w:pPr>
        <w:pStyle w:val="NoSpacing"/>
      </w:pPr>
    </w:p>
    <w:p w14:paraId="066BE2E8" w14:textId="77777777" w:rsidR="00B624E5" w:rsidRDefault="00080625" w:rsidP="00B40521">
      <w:pPr>
        <w:pStyle w:val="NoSpacing"/>
        <w:numPr>
          <w:ilvl w:val="0"/>
          <w:numId w:val="113"/>
        </w:numPr>
        <w:ind w:hanging="720"/>
      </w:pPr>
      <w:r>
        <w:t>The BFUG should undertake, within its 2015 – 18 program, work on the development of assessment of learning outcomes in relation to new forms of learning and provision, including on line, through the ENIC and NARIC Networks and/or any other appropriate bodies and funding schemes.</w:t>
      </w:r>
    </w:p>
    <w:p w14:paraId="73EC9EF1" w14:textId="77777777" w:rsidR="00B624E5" w:rsidRDefault="00B624E5" w:rsidP="00B624E5">
      <w:pPr>
        <w:pStyle w:val="NoSpacing"/>
        <w:ind w:left="720"/>
      </w:pPr>
    </w:p>
    <w:p w14:paraId="579A7A63" w14:textId="77777777" w:rsidR="00B624E5" w:rsidRDefault="00B624E5" w:rsidP="00B40521">
      <w:pPr>
        <w:pStyle w:val="NoSpacing"/>
        <w:numPr>
          <w:ilvl w:val="0"/>
          <w:numId w:val="113"/>
        </w:numPr>
        <w:ind w:hanging="720"/>
      </w:pPr>
      <w:r>
        <w:t>Public authorities should commit to making full use of the opportunities offered by the establishment of the EHEA for continuously improving the quality and the relevance of the curricula in order to equip graduates with 21</w:t>
      </w:r>
      <w:r w:rsidRPr="00B624E5">
        <w:rPr>
          <w:vertAlign w:val="superscript"/>
        </w:rPr>
        <w:t>st</w:t>
      </w:r>
      <w:r>
        <w:t xml:space="preserve"> century skills;</w:t>
      </w:r>
    </w:p>
    <w:p w14:paraId="5C560519" w14:textId="77777777" w:rsidR="00080625" w:rsidRDefault="00080625" w:rsidP="00B624E5">
      <w:pPr>
        <w:jc w:val="both"/>
      </w:pPr>
    </w:p>
    <w:p w14:paraId="6B0E87D1" w14:textId="77777777" w:rsidR="00080625" w:rsidRDefault="00080625" w:rsidP="00B40521">
      <w:pPr>
        <w:pStyle w:val="NoSpacing"/>
        <w:numPr>
          <w:ilvl w:val="0"/>
          <w:numId w:val="112"/>
        </w:numPr>
        <w:ind w:hanging="720"/>
      </w:pPr>
      <w:r>
        <w:t xml:space="preserve">Where appropriate, depending on the profile and mission of the institution and program, external stakeholders – in particular employers – should be involved in the design, monitoring and assessment of programs. </w:t>
      </w:r>
    </w:p>
    <w:p w14:paraId="277D40CF" w14:textId="77777777" w:rsidR="00392351" w:rsidRDefault="00392351" w:rsidP="002151F9">
      <w:pPr>
        <w:pStyle w:val="Body"/>
        <w:jc w:val="both"/>
        <w:rPr>
          <w:rFonts w:ascii="Times New Roman Bold"/>
        </w:rPr>
      </w:pPr>
    </w:p>
    <w:p w14:paraId="0B2BFDA0" w14:textId="77777777" w:rsidR="00080625" w:rsidRDefault="00080625" w:rsidP="002151F9">
      <w:pPr>
        <w:pStyle w:val="Body"/>
        <w:jc w:val="both"/>
      </w:pPr>
      <w:r>
        <w:rPr>
          <w:rFonts w:ascii="Times New Roman Bold"/>
        </w:rPr>
        <w:t>III.2</w:t>
      </w:r>
      <w:r>
        <w:rPr>
          <w:rFonts w:ascii="Times New Roman Bold"/>
        </w:rPr>
        <w:tab/>
        <w:t>Employability</w:t>
      </w:r>
      <w:r>
        <w:t xml:space="preserve"> </w:t>
      </w:r>
    </w:p>
    <w:p w14:paraId="31AD8DFC" w14:textId="77777777" w:rsidR="00392351" w:rsidRDefault="00392351" w:rsidP="002151F9">
      <w:pPr>
        <w:pStyle w:val="Body"/>
        <w:jc w:val="both"/>
      </w:pPr>
    </w:p>
    <w:p w14:paraId="6A2CD27D" w14:textId="77777777" w:rsidR="00080625" w:rsidRDefault="00080625" w:rsidP="002151F9">
      <w:pPr>
        <w:pStyle w:val="Body"/>
        <w:jc w:val="both"/>
      </w:pPr>
      <w:r>
        <w:t xml:space="preserve">In order to enhance the employability of higher education graduates </w:t>
      </w:r>
      <w:r w:rsidR="00ED346C">
        <w:tab/>
      </w:r>
      <w:r w:rsidR="00ED346C">
        <w:br/>
      </w:r>
    </w:p>
    <w:p w14:paraId="5493EC5C" w14:textId="77777777" w:rsidR="00080625" w:rsidRDefault="00080625" w:rsidP="00B40521">
      <w:pPr>
        <w:pStyle w:val="ListParagraph"/>
        <w:numPr>
          <w:ilvl w:val="0"/>
          <w:numId w:val="79"/>
        </w:numPr>
      </w:pPr>
      <w:r>
        <w:rPr>
          <w:i/>
          <w:iCs/>
        </w:rPr>
        <w:t>Public authorities and higher education institutions</w:t>
      </w:r>
      <w:r>
        <w:t xml:space="preserve"> should develop and implement qualifications frameworks and study programs that:</w:t>
      </w:r>
      <w:r w:rsidR="00ED346C">
        <w:tab/>
      </w:r>
      <w:r w:rsidR="00ED346C">
        <w:br/>
      </w:r>
    </w:p>
    <w:p w14:paraId="49DF754A" w14:textId="77777777" w:rsidR="00080625" w:rsidRDefault="00080625" w:rsidP="00B40521">
      <w:pPr>
        <w:pStyle w:val="ListParagraph"/>
        <w:numPr>
          <w:ilvl w:val="0"/>
          <w:numId w:val="80"/>
        </w:numPr>
      </w:pPr>
      <w:r>
        <w:t>with due regard to institutional autonomy, embed employability as an integral part of higher education programs and curricula;</w:t>
      </w:r>
    </w:p>
    <w:p w14:paraId="1CA378FE" w14:textId="77777777" w:rsidR="00080625" w:rsidRDefault="00080625" w:rsidP="00B40521">
      <w:pPr>
        <w:pStyle w:val="ListParagraph"/>
        <w:numPr>
          <w:ilvl w:val="0"/>
          <w:numId w:val="80"/>
        </w:numPr>
      </w:pPr>
      <w:r>
        <w:t xml:space="preserve">within an environment of student centered learning provide students with knowledge and understanding of the theories and methods of their chosen academic discipline and enable them to apply their knowledge on the job in order to assess and solve problems as well as to develop new knowledge, skills and competences. </w:t>
      </w:r>
    </w:p>
    <w:p w14:paraId="46656B56" w14:textId="77777777" w:rsidR="00080625" w:rsidRDefault="00080625" w:rsidP="00B40521">
      <w:pPr>
        <w:pStyle w:val="ListParagraph"/>
        <w:numPr>
          <w:ilvl w:val="0"/>
          <w:numId w:val="80"/>
        </w:numPr>
      </w:pPr>
      <w:r>
        <w:t xml:space="preserve">enable students  to  acquire relevant soft skills and to identify their own education and training needs.  </w:t>
      </w:r>
    </w:p>
    <w:p w14:paraId="3BD38B86" w14:textId="77777777" w:rsidR="00CE3DE6" w:rsidRDefault="00080625" w:rsidP="00B40521">
      <w:pPr>
        <w:pStyle w:val="ListParagraph"/>
        <w:numPr>
          <w:ilvl w:val="0"/>
          <w:numId w:val="80"/>
        </w:numPr>
      </w:pPr>
      <w:r>
        <w:t xml:space="preserve">regardless of their level or cycle,  as a general rule comprise practical components such as practice-related/-based teaching and learning, internships or practice periods, practice-oriented papers or theses, and entrepreneurship education. </w:t>
      </w:r>
    </w:p>
    <w:p w14:paraId="3D9C5FE2" w14:textId="77777777" w:rsidR="00080625" w:rsidRDefault="00CE3DE6" w:rsidP="00B40521">
      <w:pPr>
        <w:pStyle w:val="ListParagraph"/>
        <w:numPr>
          <w:ilvl w:val="0"/>
          <w:numId w:val="80"/>
        </w:numPr>
      </w:pPr>
      <w:r>
        <w:t xml:space="preserve">are supported by tracking the career patterns of graduates of all levels and cycles. </w:t>
      </w:r>
    </w:p>
    <w:p w14:paraId="33173087" w14:textId="77777777" w:rsidR="00080625" w:rsidRDefault="00080625" w:rsidP="00B40521">
      <w:pPr>
        <w:pStyle w:val="ListParagraph"/>
        <w:numPr>
          <w:ilvl w:val="0"/>
          <w:numId w:val="80"/>
        </w:numPr>
      </w:pPr>
      <w:r>
        <w:t>are supported by career guidance as well as reliable information on career prospects, including regulated professions, and situation of graduates on the labor market.</w:t>
      </w:r>
    </w:p>
    <w:p w14:paraId="1BAD7334" w14:textId="77777777" w:rsidR="00080625" w:rsidRDefault="00080625" w:rsidP="00B40521">
      <w:pPr>
        <w:pStyle w:val="ListParagraph"/>
        <w:numPr>
          <w:ilvl w:val="0"/>
          <w:numId w:val="80"/>
        </w:numPr>
      </w:pPr>
      <w:r>
        <w:t xml:space="preserve">enhance an outcomes orientation and turn students into critical lifelong-learners.  </w:t>
      </w:r>
    </w:p>
    <w:p w14:paraId="6829424B" w14:textId="77777777" w:rsidR="00080625" w:rsidRDefault="00080625" w:rsidP="00B40521">
      <w:pPr>
        <w:pStyle w:val="ListParagraph"/>
        <w:numPr>
          <w:ilvl w:val="0"/>
          <w:numId w:val="80"/>
        </w:numPr>
      </w:pPr>
      <w:r>
        <w:t>describe students</w:t>
      </w:r>
      <w:r>
        <w:t>’</w:t>
      </w:r>
      <w:r>
        <w:t xml:space="preserve"> competences in transparent ways, by using transparency tools like the Diploma Supplement and the ECTS.</w:t>
      </w:r>
    </w:p>
    <w:p w14:paraId="11E11E20" w14:textId="77777777" w:rsidR="00080625" w:rsidRPr="00647228" w:rsidRDefault="00080625" w:rsidP="00B40521">
      <w:pPr>
        <w:pStyle w:val="ListParagraph"/>
        <w:numPr>
          <w:ilvl w:val="0"/>
          <w:numId w:val="80"/>
        </w:numPr>
      </w:pPr>
      <w:r>
        <w:t xml:space="preserve">Draw on employers as a source of information </w:t>
      </w:r>
      <w:r w:rsidRPr="00965899">
        <w:t xml:space="preserve">about new </w:t>
      </w:r>
      <w:r>
        <w:t xml:space="preserve">career </w:t>
      </w:r>
      <w:r w:rsidRPr="00965899">
        <w:t>developments and future</w:t>
      </w:r>
      <w:r>
        <w:t xml:space="preserve"> skills.</w:t>
      </w:r>
    </w:p>
    <w:p w14:paraId="044D742A" w14:textId="77777777" w:rsidR="00080625" w:rsidRDefault="00080625" w:rsidP="002151F9">
      <w:pPr>
        <w:pStyle w:val="Body"/>
        <w:ind w:left="720"/>
        <w:jc w:val="both"/>
      </w:pPr>
    </w:p>
    <w:p w14:paraId="2A6E2E20" w14:textId="77777777" w:rsidR="00080625" w:rsidRDefault="00080625" w:rsidP="00B40521">
      <w:pPr>
        <w:pStyle w:val="ListParagraph"/>
        <w:numPr>
          <w:ilvl w:val="0"/>
          <w:numId w:val="79"/>
        </w:numPr>
      </w:pPr>
      <w:r>
        <w:t>Public authorities should:</w:t>
      </w:r>
    </w:p>
    <w:p w14:paraId="5FEC444F" w14:textId="77777777" w:rsidR="00392351" w:rsidRDefault="00392351" w:rsidP="00392351">
      <w:pPr>
        <w:pStyle w:val="ListParagraph"/>
        <w:numPr>
          <w:ilvl w:val="0"/>
          <w:numId w:val="0"/>
        </w:numPr>
        <w:ind w:left="502"/>
      </w:pPr>
    </w:p>
    <w:p w14:paraId="06057DDE" w14:textId="77777777" w:rsidR="00E80A11" w:rsidRDefault="00E80A11" w:rsidP="00B40521">
      <w:pPr>
        <w:pStyle w:val="ListParagraph"/>
        <w:numPr>
          <w:ilvl w:val="0"/>
          <w:numId w:val="80"/>
        </w:numPr>
      </w:pPr>
      <w:r>
        <w:lastRenderedPageBreak/>
        <w:t>commit to developing a coherent EHEA system for tracking graduates;</w:t>
      </w:r>
    </w:p>
    <w:p w14:paraId="1BBA6818" w14:textId="77777777" w:rsidR="00080625" w:rsidRDefault="00080625" w:rsidP="00B40521">
      <w:pPr>
        <w:pStyle w:val="ListParagraph"/>
        <w:numPr>
          <w:ilvl w:val="0"/>
          <w:numId w:val="80"/>
        </w:numPr>
      </w:pPr>
      <w:r>
        <w:t xml:space="preserve">ensure that their competence requirements ensure fair access to public employment for holders of first degrees. </w:t>
      </w:r>
      <w:r w:rsidR="00392351">
        <w:tab/>
      </w:r>
      <w:r w:rsidR="00392351">
        <w:br/>
      </w:r>
    </w:p>
    <w:p w14:paraId="59382E45" w14:textId="77777777" w:rsidR="00080625" w:rsidRDefault="00080625" w:rsidP="00B40521">
      <w:pPr>
        <w:pStyle w:val="ListParagraph"/>
        <w:numPr>
          <w:ilvl w:val="0"/>
          <w:numId w:val="79"/>
        </w:numPr>
      </w:pPr>
      <w:r>
        <w:rPr>
          <w:i/>
          <w:iCs/>
        </w:rPr>
        <w:t>Quality assurance agencies and higher education institutions</w:t>
      </w:r>
      <w:r>
        <w:t xml:space="preserve"> should make the employability of graduates an element of quality assurance.</w:t>
      </w:r>
    </w:p>
    <w:p w14:paraId="5B53E6D4" w14:textId="77777777" w:rsidR="00392351" w:rsidRDefault="00392351" w:rsidP="00392351">
      <w:pPr>
        <w:pStyle w:val="ListParagraph"/>
        <w:numPr>
          <w:ilvl w:val="0"/>
          <w:numId w:val="0"/>
        </w:numPr>
        <w:ind w:left="502"/>
      </w:pPr>
    </w:p>
    <w:p w14:paraId="3CCB4415" w14:textId="77777777" w:rsidR="00080625" w:rsidRDefault="00080625" w:rsidP="00B40521">
      <w:pPr>
        <w:pStyle w:val="ListParagraph"/>
        <w:numPr>
          <w:ilvl w:val="0"/>
          <w:numId w:val="79"/>
        </w:numPr>
      </w:pPr>
      <w:r>
        <w:t>Higher education institutions should:</w:t>
      </w:r>
      <w:r w:rsidR="00392351">
        <w:tab/>
      </w:r>
      <w:r w:rsidR="00392351">
        <w:br/>
      </w:r>
    </w:p>
    <w:p w14:paraId="5CFFB723" w14:textId="77777777" w:rsidR="00080625" w:rsidRDefault="00080625" w:rsidP="00B40521">
      <w:pPr>
        <w:pStyle w:val="ListParagraph"/>
        <w:numPr>
          <w:ilvl w:val="0"/>
          <w:numId w:val="81"/>
        </w:numPr>
      </w:pPr>
      <w:r>
        <w:t xml:space="preserve">monitor and periodically review their programs to ensure that they respond to the needs of students, employers and society. </w:t>
      </w:r>
    </w:p>
    <w:p w14:paraId="5921ADED" w14:textId="77777777" w:rsidR="00080625" w:rsidRDefault="00080625" w:rsidP="00B40521">
      <w:pPr>
        <w:pStyle w:val="ListParagraph"/>
        <w:numPr>
          <w:ilvl w:val="0"/>
          <w:numId w:val="81"/>
        </w:numPr>
      </w:pPr>
      <w:r>
        <w:t>continue to develop cooperation with employers and ensure that the views of students are included in this cooperation.</w:t>
      </w:r>
    </w:p>
    <w:p w14:paraId="7C1A52BB" w14:textId="77777777" w:rsidR="00080625" w:rsidRDefault="00080625" w:rsidP="00B40521">
      <w:pPr>
        <w:pStyle w:val="ListParagraph"/>
        <w:numPr>
          <w:ilvl w:val="0"/>
          <w:numId w:val="88"/>
        </w:numPr>
      </w:pPr>
      <w:r>
        <w:t>fully integrate lifelong learning into institutional strategies.</w:t>
      </w:r>
    </w:p>
    <w:p w14:paraId="18E4D6E2" w14:textId="77777777" w:rsidR="00080625" w:rsidRDefault="00080625" w:rsidP="00392351">
      <w:pPr>
        <w:pStyle w:val="ListParagraph"/>
        <w:numPr>
          <w:ilvl w:val="0"/>
          <w:numId w:val="0"/>
        </w:numPr>
      </w:pPr>
    </w:p>
    <w:p w14:paraId="1E1454D3" w14:textId="77777777" w:rsidR="00080625" w:rsidRDefault="00080625" w:rsidP="00B40521">
      <w:pPr>
        <w:pStyle w:val="ListParagraph"/>
        <w:numPr>
          <w:ilvl w:val="0"/>
          <w:numId w:val="81"/>
        </w:numPr>
      </w:pPr>
      <w:r>
        <w:t xml:space="preserve">Actively engage employers in their activities, as appropriate and in line with the profile and mission of institutions and programs, in research, teaching and work </w:t>
      </w:r>
      <w:r w:rsidRPr="00647228">
        <w:t xml:space="preserve">placement, </w:t>
      </w:r>
      <w:r>
        <w:t>as well as</w:t>
      </w:r>
      <w:r w:rsidRPr="00647228">
        <w:t xml:space="preserve"> </w:t>
      </w:r>
      <w:r>
        <w:t xml:space="preserve">in </w:t>
      </w:r>
      <w:r w:rsidRPr="00647228">
        <w:t xml:space="preserve">the </w:t>
      </w:r>
      <w:r>
        <w:t>design of program</w:t>
      </w:r>
      <w:r w:rsidRPr="00647228">
        <w:t>s</w:t>
      </w:r>
      <w:r>
        <w:t xml:space="preserve">. </w:t>
      </w:r>
    </w:p>
    <w:p w14:paraId="0D06E963" w14:textId="77777777" w:rsidR="00392351" w:rsidRDefault="00392351" w:rsidP="00392351">
      <w:pPr>
        <w:pStyle w:val="ListParagraph"/>
        <w:numPr>
          <w:ilvl w:val="0"/>
          <w:numId w:val="0"/>
        </w:numPr>
        <w:ind w:left="720"/>
      </w:pPr>
    </w:p>
    <w:p w14:paraId="5D34406C" w14:textId="77777777" w:rsidR="00080625" w:rsidRDefault="00080625" w:rsidP="00B40521">
      <w:pPr>
        <w:pStyle w:val="NoSpacing"/>
        <w:numPr>
          <w:ilvl w:val="0"/>
          <w:numId w:val="79"/>
        </w:numPr>
      </w:pPr>
      <w:r w:rsidRPr="003B23C3">
        <w:rPr>
          <w:i/>
        </w:rPr>
        <w:t>Higher education institutions, employers’ organizations, student organizations, alumni associations and public authorities</w:t>
      </w:r>
      <w:r>
        <w:t xml:space="preserve"> should work together, as appropriate, to increase awareness among employers of the broad range of competences held by higher education graduates.</w:t>
      </w:r>
    </w:p>
    <w:p w14:paraId="389857AF" w14:textId="77777777" w:rsidR="00392351" w:rsidRDefault="00392351" w:rsidP="00392351">
      <w:pPr>
        <w:pStyle w:val="Body"/>
        <w:ind w:left="502"/>
        <w:jc w:val="both"/>
      </w:pPr>
    </w:p>
    <w:p w14:paraId="4768B65B" w14:textId="77777777" w:rsidR="00080625" w:rsidRDefault="00080625" w:rsidP="00B40521">
      <w:pPr>
        <w:pStyle w:val="Body"/>
        <w:numPr>
          <w:ilvl w:val="0"/>
          <w:numId w:val="79"/>
        </w:numPr>
        <w:jc w:val="both"/>
      </w:pPr>
      <w:r>
        <w:rPr>
          <w:i/>
        </w:rPr>
        <w:t>Employers</w:t>
      </w:r>
      <w:r>
        <w:t xml:space="preserve"> should:</w:t>
      </w:r>
      <w:r w:rsidR="00392351">
        <w:tab/>
      </w:r>
      <w:r w:rsidR="00392351">
        <w:br/>
      </w:r>
    </w:p>
    <w:p w14:paraId="17289C79" w14:textId="77777777" w:rsidR="00080625" w:rsidRDefault="00080625" w:rsidP="00B40521">
      <w:pPr>
        <w:pStyle w:val="Body"/>
        <w:numPr>
          <w:ilvl w:val="0"/>
          <w:numId w:val="89"/>
        </w:numPr>
        <w:ind w:left="709" w:hanging="283"/>
        <w:jc w:val="both"/>
      </w:pPr>
      <w:r>
        <w:t>make appropriate use of higher education qualifications, including those of the first cycle.</w:t>
      </w:r>
    </w:p>
    <w:p w14:paraId="0C079884" w14:textId="77777777" w:rsidR="00080625" w:rsidRPr="00061E43" w:rsidRDefault="00080625" w:rsidP="00B40521">
      <w:pPr>
        <w:pStyle w:val="ListParagraph"/>
        <w:numPr>
          <w:ilvl w:val="0"/>
          <w:numId w:val="89"/>
        </w:numPr>
        <w:ind w:left="709" w:hanging="283"/>
        <w:rPr>
          <w:lang w:val="en-GB"/>
        </w:rPr>
      </w:pPr>
      <w:r w:rsidRPr="003B23C3">
        <w:t>d</w:t>
      </w:r>
      <w:r w:rsidRPr="003B23C3">
        <w:rPr>
          <w:lang w:val="en-GB"/>
        </w:rPr>
        <w:t>evelop sustainable relationships with higher education institutions, for mutual benefit</w:t>
      </w:r>
      <w:r>
        <w:rPr>
          <w:lang w:val="en-GB"/>
        </w:rPr>
        <w:t>, including through work placements</w:t>
      </w:r>
      <w:r w:rsidRPr="003B23C3">
        <w:rPr>
          <w:lang w:val="en-GB"/>
        </w:rPr>
        <w:t xml:space="preserve">. </w:t>
      </w:r>
    </w:p>
    <w:p w14:paraId="1A72A92B" w14:textId="77777777" w:rsidR="00080625" w:rsidRDefault="00080625" w:rsidP="00392351">
      <w:pPr>
        <w:pStyle w:val="ListParagraph"/>
        <w:numPr>
          <w:ilvl w:val="0"/>
          <w:numId w:val="0"/>
        </w:numPr>
      </w:pPr>
    </w:p>
    <w:p w14:paraId="3BD0865A" w14:textId="77777777" w:rsidR="00080625" w:rsidRDefault="00080625" w:rsidP="00080625">
      <w:pPr>
        <w:pStyle w:val="Body"/>
      </w:pPr>
      <w:r>
        <w:rPr>
          <w:rFonts w:ascii="Times New Roman Bold"/>
        </w:rPr>
        <w:t>III.3</w:t>
      </w:r>
      <w:r>
        <w:rPr>
          <w:rFonts w:ascii="Times New Roman Bold"/>
        </w:rPr>
        <w:tab/>
        <w:t>The use of qualifications frameworks to improve fair recognition</w:t>
      </w:r>
      <w:r>
        <w:t xml:space="preserve"> </w:t>
      </w:r>
    </w:p>
    <w:p w14:paraId="49BEF938" w14:textId="77777777" w:rsidR="00392351" w:rsidRDefault="00392351" w:rsidP="00080625">
      <w:pPr>
        <w:pStyle w:val="Body"/>
        <w:rPr>
          <w:i/>
          <w:iCs/>
        </w:rPr>
      </w:pPr>
    </w:p>
    <w:p w14:paraId="3E6BC0F8" w14:textId="77777777" w:rsidR="00080625" w:rsidRDefault="00080625" w:rsidP="00080625">
      <w:pPr>
        <w:pStyle w:val="Body"/>
      </w:pPr>
      <w:r>
        <w:rPr>
          <w:i/>
          <w:iCs/>
        </w:rPr>
        <w:t>Public authorities</w:t>
      </w:r>
      <w:r>
        <w:t xml:space="preserve"> should:</w:t>
      </w:r>
    </w:p>
    <w:p w14:paraId="46D6CBF3" w14:textId="77777777" w:rsidR="00080625" w:rsidRDefault="00080625" w:rsidP="00B40521">
      <w:pPr>
        <w:pStyle w:val="ListParagraph"/>
        <w:numPr>
          <w:ilvl w:val="0"/>
          <w:numId w:val="60"/>
        </w:numPr>
        <w:ind w:left="709" w:hanging="709"/>
      </w:pPr>
      <w:r>
        <w:t>make full use of qualifications frameworks to further fair recognition, in particular by acknowledging that national qualifications frameworks that have been self-certified against the QF-EHEA and/or referenced against the EQF provide the required information on the quality, level and workload of any given qualification in the relevant framework.</w:t>
      </w:r>
    </w:p>
    <w:p w14:paraId="395B0BA9" w14:textId="77777777" w:rsidR="00080625" w:rsidRDefault="00080625" w:rsidP="00B40521">
      <w:pPr>
        <w:pStyle w:val="ListParagraph"/>
        <w:numPr>
          <w:ilvl w:val="0"/>
          <w:numId w:val="61"/>
        </w:numPr>
        <w:ind w:left="709" w:hanging="709"/>
      </w:pPr>
      <w:r>
        <w:t>ensure good cooperation among the competent authorities for recognition, qualifications frameworks and quality assurance and, where needed, review the structure and organization of these bodies at national level.</w:t>
      </w:r>
    </w:p>
    <w:p w14:paraId="74DB18D3" w14:textId="77777777" w:rsidR="00080625" w:rsidRDefault="00080625" w:rsidP="00B40521">
      <w:pPr>
        <w:pStyle w:val="ListParagraph"/>
        <w:numPr>
          <w:ilvl w:val="0"/>
          <w:numId w:val="62"/>
        </w:numPr>
        <w:ind w:left="709" w:hanging="709"/>
      </w:pPr>
      <w:r>
        <w:t>better incorporate ENICs and NARICs into the national higher education policy environment.</w:t>
      </w:r>
    </w:p>
    <w:p w14:paraId="14544CF8" w14:textId="77777777" w:rsidR="00080625" w:rsidRDefault="00080625" w:rsidP="00B40521">
      <w:pPr>
        <w:pStyle w:val="ListParagraph"/>
        <w:numPr>
          <w:ilvl w:val="0"/>
          <w:numId w:val="63"/>
        </w:numPr>
        <w:ind w:left="709" w:hanging="709"/>
      </w:pPr>
      <w:r>
        <w:lastRenderedPageBreak/>
        <w:t>ensure that individual qualifications in the NQFs are self-certified and referenced to the overarching frameworks in transparent ways and not use the QF-EHEA and EQF to inflate the level or value of individual qualifications in their national systems.</w:t>
      </w:r>
    </w:p>
    <w:p w14:paraId="01197261" w14:textId="77777777" w:rsidR="00080625" w:rsidRDefault="00080625" w:rsidP="00B40521">
      <w:pPr>
        <w:pStyle w:val="Body"/>
        <w:numPr>
          <w:ilvl w:val="0"/>
          <w:numId w:val="63"/>
        </w:numPr>
        <w:ind w:left="709" w:hanging="709"/>
        <w:jc w:val="both"/>
      </w:pPr>
      <w:r>
        <w:t xml:space="preserve">ensure that self-certification and referencing reports be made easily available and that they be updated when (higher) education systems and frameworks undergo reforms. </w:t>
      </w:r>
    </w:p>
    <w:p w14:paraId="4845B420" w14:textId="77777777" w:rsidR="00080625" w:rsidRDefault="00080625" w:rsidP="00B40521">
      <w:pPr>
        <w:pStyle w:val="Body"/>
        <w:numPr>
          <w:ilvl w:val="0"/>
          <w:numId w:val="63"/>
        </w:numPr>
        <w:ind w:left="709" w:hanging="709"/>
        <w:jc w:val="both"/>
      </w:pPr>
      <w:r>
        <w:t>provide clear information, for recognition purposes, on all qualifications belonging to the system for which they are responsible.</w:t>
      </w:r>
    </w:p>
    <w:p w14:paraId="351C1501" w14:textId="77777777" w:rsidR="00080625" w:rsidRDefault="00080625" w:rsidP="00B40521">
      <w:pPr>
        <w:pStyle w:val="ListParagraph"/>
        <w:numPr>
          <w:ilvl w:val="0"/>
          <w:numId w:val="63"/>
        </w:numPr>
        <w:tabs>
          <w:tab w:val="left" w:pos="709"/>
        </w:tabs>
        <w:ind w:left="709" w:hanging="709"/>
      </w:pPr>
      <w:r>
        <w:t>In the process of NQF implementation, attention should be paid to proper definition, implementation and assessment of intended outcomes for all cycles, including the third cycle.</w:t>
      </w:r>
    </w:p>
    <w:p w14:paraId="115EA374" w14:textId="77777777" w:rsidR="00080625" w:rsidRPr="004A4FAE" w:rsidRDefault="00080625" w:rsidP="00B40521">
      <w:pPr>
        <w:pStyle w:val="ListParagraph"/>
        <w:numPr>
          <w:ilvl w:val="0"/>
          <w:numId w:val="63"/>
        </w:numPr>
        <w:ind w:left="709" w:hanging="709"/>
      </w:pPr>
      <w:r>
        <w:t>clarify the status of doctoral and post-doctoral qualifications used in most countries of the Commonwealth of Independent States</w:t>
      </w:r>
      <w:r w:rsidR="00F568A4">
        <w:t>, Georgia, and Ukraine</w:t>
      </w:r>
      <w:r>
        <w:t xml:space="preserve"> (e.g. the </w:t>
      </w:r>
      <w:r w:rsidRPr="00B24FB8">
        <w:rPr>
          <w:i/>
        </w:rPr>
        <w:t>kandidat nauk/dr nauk</w:t>
      </w:r>
      <w:r>
        <w:t xml:space="preserve"> system)</w:t>
      </w:r>
      <w:r w:rsidRPr="00AA340F">
        <w:t xml:space="preserve"> </w:t>
      </w:r>
      <w:r>
        <w:t>in relation to the QF-EHEA and the EQF. In case specific NQFs choose to include post-doctoral qualifications at a higher level than the third cycle, this should not limit the access and employability of foreign academic staff from countries without such qualifications, as these are not offered in most systems of the EHEA.</w:t>
      </w:r>
    </w:p>
    <w:p w14:paraId="76B155AE" w14:textId="77777777" w:rsidR="00ED346C" w:rsidRDefault="00ED346C" w:rsidP="002151F9">
      <w:pPr>
        <w:pStyle w:val="Body"/>
        <w:jc w:val="both"/>
        <w:rPr>
          <w:i/>
        </w:rPr>
      </w:pPr>
    </w:p>
    <w:p w14:paraId="0C30EB6D" w14:textId="77777777" w:rsidR="00080625" w:rsidRDefault="00080625" w:rsidP="002151F9">
      <w:pPr>
        <w:pStyle w:val="Body"/>
        <w:jc w:val="both"/>
      </w:pPr>
      <w:r w:rsidRPr="003B23C3">
        <w:rPr>
          <w:i/>
        </w:rPr>
        <w:t>Higher education institutions</w:t>
      </w:r>
      <w:r>
        <w:t xml:space="preserve"> </w:t>
      </w:r>
      <w:r w:rsidRPr="003B23C3">
        <w:rPr>
          <w:i/>
        </w:rPr>
        <w:t>and employers</w:t>
      </w:r>
      <w:r>
        <w:t xml:space="preserve"> should make good use of qualifications frameworks in the recognition of qualifications.</w:t>
      </w:r>
    </w:p>
    <w:p w14:paraId="4BC467C6" w14:textId="77777777" w:rsidR="00080625" w:rsidRDefault="00080625" w:rsidP="00080625">
      <w:pPr>
        <w:pStyle w:val="Body"/>
      </w:pPr>
      <w:r>
        <w:t xml:space="preserve">  </w:t>
      </w:r>
    </w:p>
    <w:p w14:paraId="48CDF317" w14:textId="77777777" w:rsidR="00080625" w:rsidRDefault="00080625" w:rsidP="002151F9">
      <w:pPr>
        <w:jc w:val="both"/>
        <w:rPr>
          <w:rFonts w:ascii="Times New Roman Bold"/>
        </w:rPr>
      </w:pPr>
      <w:r>
        <w:rPr>
          <w:rFonts w:ascii="Times New Roman Bold"/>
        </w:rPr>
        <w:t>III.4</w:t>
      </w:r>
      <w:r>
        <w:rPr>
          <w:rFonts w:ascii="Times New Roman Bold"/>
        </w:rPr>
        <w:tab/>
        <w:t>Diversity and transparency: improve transparency instruments for describing individual qualifications as well as higher education systems</w:t>
      </w:r>
    </w:p>
    <w:p w14:paraId="1FF3A33B" w14:textId="77777777" w:rsidR="00080625" w:rsidRDefault="00080625" w:rsidP="002151F9">
      <w:pPr>
        <w:jc w:val="both"/>
      </w:pPr>
    </w:p>
    <w:p w14:paraId="60C9DB29" w14:textId="77777777" w:rsidR="00080625" w:rsidRDefault="00080625" w:rsidP="00D91480">
      <w:pPr>
        <w:pStyle w:val="Body"/>
        <w:jc w:val="both"/>
      </w:pPr>
      <w:r>
        <w:rPr>
          <w:i/>
          <w:iCs/>
        </w:rPr>
        <w:t>Public authorities</w:t>
      </w:r>
      <w:r>
        <w:t xml:space="preserve"> should ensure that information on their higher education systems and qualification frameworks, and on study programs and qualifications belonging to their national systems, be transparent, understandable, reliable, and accurate.</w:t>
      </w:r>
    </w:p>
    <w:p w14:paraId="3AE98DBC" w14:textId="77777777" w:rsidR="00544CFA" w:rsidRDefault="00544CFA" w:rsidP="00D91480">
      <w:pPr>
        <w:pStyle w:val="Body"/>
        <w:jc w:val="both"/>
      </w:pPr>
    </w:p>
    <w:p w14:paraId="2CEF36F8" w14:textId="77777777" w:rsidR="00080625" w:rsidRDefault="00080625" w:rsidP="00D91480">
      <w:pPr>
        <w:pStyle w:val="Body"/>
        <w:jc w:val="both"/>
      </w:pPr>
      <w:r>
        <w:rPr>
          <w:i/>
          <w:iCs/>
        </w:rPr>
        <w:t>Public authorities and higher education institutions</w:t>
      </w:r>
      <w:r>
        <w:t xml:space="preserve"> should:</w:t>
      </w:r>
      <w:r w:rsidR="002151F9">
        <w:tab/>
      </w:r>
      <w:r>
        <w:br/>
      </w:r>
    </w:p>
    <w:p w14:paraId="701CA17B" w14:textId="77777777" w:rsidR="00D91480" w:rsidRDefault="00080625" w:rsidP="00203BE1">
      <w:pPr>
        <w:pStyle w:val="ListParagraph"/>
        <w:ind w:left="709" w:hanging="709"/>
      </w:pPr>
      <w:r>
        <w:t>ensure that reliable and meaningful information is available for prospective students and their parents, employers and others who may want or need reliable information on higher education institutions and programs, including on the value and rights associated with their qualifications;</w:t>
      </w:r>
      <w:r w:rsidR="00D91480">
        <w:tab/>
      </w:r>
    </w:p>
    <w:p w14:paraId="156BE046" w14:textId="77777777" w:rsidR="00203BE1" w:rsidRDefault="00203BE1" w:rsidP="00203BE1">
      <w:pPr>
        <w:pStyle w:val="ListParagraph"/>
        <w:numPr>
          <w:ilvl w:val="0"/>
          <w:numId w:val="0"/>
        </w:numPr>
        <w:ind w:left="709"/>
      </w:pPr>
    </w:p>
    <w:p w14:paraId="6687A92E" w14:textId="77777777" w:rsidR="00544CFA" w:rsidRDefault="00794567" w:rsidP="00B40521">
      <w:pPr>
        <w:pStyle w:val="ListParagraph"/>
        <w:numPr>
          <w:ilvl w:val="0"/>
          <w:numId w:val="56"/>
        </w:numPr>
        <w:ind w:left="709" w:hanging="709"/>
      </w:pPr>
      <w:r>
        <w:t>ensure reliable and meaningful information on graduates</w:t>
      </w:r>
      <w:r>
        <w:t>’</w:t>
      </w:r>
      <w:r>
        <w:t xml:space="preserve"> career patterns in order to improve institutional self-knowledge and to obtain data on graduates</w:t>
      </w:r>
      <w:r>
        <w:t>’</w:t>
      </w:r>
      <w:r>
        <w:t xml:space="preserve"> progression to the labor market which should be provided to potential students, their parents and  society at large. </w:t>
      </w:r>
    </w:p>
    <w:p w14:paraId="7D723C0C" w14:textId="77777777" w:rsidR="00080625" w:rsidRDefault="00544CFA" w:rsidP="00B40521">
      <w:pPr>
        <w:pStyle w:val="ListParagraph"/>
        <w:numPr>
          <w:ilvl w:val="0"/>
          <w:numId w:val="56"/>
        </w:numPr>
        <w:ind w:left="709" w:hanging="709"/>
      </w:pPr>
      <w:r>
        <w:t>commit to engaging in further developing activities for all dimensions of institutional and programmatic quality and diversity</w:t>
      </w:r>
      <w:r w:rsidRPr="004F4914">
        <w:t xml:space="preserve"> </w:t>
      </w:r>
      <w:r>
        <w:t>increasing evidence-based transparency;</w:t>
      </w:r>
    </w:p>
    <w:p w14:paraId="22769F9B" w14:textId="77777777" w:rsidR="00392351" w:rsidRDefault="00080625" w:rsidP="00B40521">
      <w:pPr>
        <w:pStyle w:val="ListParagraph"/>
        <w:numPr>
          <w:ilvl w:val="0"/>
          <w:numId w:val="64"/>
        </w:numPr>
      </w:pPr>
      <w:r>
        <w:t>have published arrangements for addressing academic fraud</w:t>
      </w:r>
      <w:r w:rsidR="00392351">
        <w:t>;</w:t>
      </w:r>
      <w:r>
        <w:t xml:space="preserve"> </w:t>
      </w:r>
      <w:r w:rsidR="002151F9">
        <w:tab/>
      </w:r>
    </w:p>
    <w:p w14:paraId="3BD5D1E7" w14:textId="77777777" w:rsidR="00203BE1" w:rsidRDefault="00203BE1" w:rsidP="00203BE1">
      <w:pPr>
        <w:pStyle w:val="ListParagraph"/>
        <w:numPr>
          <w:ilvl w:val="0"/>
          <w:numId w:val="0"/>
        </w:numPr>
      </w:pPr>
    </w:p>
    <w:p w14:paraId="14E26788" w14:textId="77777777" w:rsidR="00080625" w:rsidRDefault="00080625" w:rsidP="00B40521">
      <w:pPr>
        <w:pStyle w:val="ListParagraph"/>
        <w:numPr>
          <w:ilvl w:val="0"/>
          <w:numId w:val="64"/>
        </w:numPr>
      </w:pPr>
      <w:r>
        <w:t>have published procedures for dealing with student complaints.</w:t>
      </w:r>
    </w:p>
    <w:p w14:paraId="4CAA935D" w14:textId="77777777" w:rsidR="00794567" w:rsidRDefault="00794567" w:rsidP="00794567">
      <w:pPr>
        <w:pStyle w:val="ListParagraph"/>
        <w:numPr>
          <w:ilvl w:val="0"/>
          <w:numId w:val="0"/>
        </w:numPr>
      </w:pPr>
    </w:p>
    <w:p w14:paraId="46E43126" w14:textId="77777777" w:rsidR="00794567" w:rsidRDefault="00794567" w:rsidP="00794567">
      <w:pPr>
        <w:pStyle w:val="ListParagraph"/>
        <w:numPr>
          <w:ilvl w:val="0"/>
          <w:numId w:val="0"/>
        </w:numPr>
      </w:pPr>
    </w:p>
    <w:p w14:paraId="3B3E5AE4" w14:textId="77777777" w:rsidR="00794567" w:rsidRDefault="00794567" w:rsidP="00794567">
      <w:pPr>
        <w:pStyle w:val="ListParagraph"/>
        <w:numPr>
          <w:ilvl w:val="0"/>
          <w:numId w:val="0"/>
        </w:numPr>
      </w:pPr>
      <w:r w:rsidRPr="00794567">
        <w:rPr>
          <w:i/>
        </w:rPr>
        <w:t>The EHEA</w:t>
      </w:r>
      <w:r>
        <w:t xml:space="preserve"> should:</w:t>
      </w:r>
    </w:p>
    <w:p w14:paraId="6231BFBB" w14:textId="77777777" w:rsidR="00794567" w:rsidRDefault="00794567" w:rsidP="00794567">
      <w:pPr>
        <w:pStyle w:val="ListParagraph"/>
        <w:numPr>
          <w:ilvl w:val="0"/>
          <w:numId w:val="0"/>
        </w:numPr>
      </w:pPr>
    </w:p>
    <w:p w14:paraId="29956025" w14:textId="77777777" w:rsidR="00794567" w:rsidRPr="00794567" w:rsidRDefault="00794567" w:rsidP="00B40521">
      <w:pPr>
        <w:pStyle w:val="ListParagraph"/>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r>
        <w:t>work on developing a coherent EHEA approach to tracking graduates which would enhance reliability and comparability of data across Europe.</w:t>
      </w:r>
    </w:p>
    <w:p w14:paraId="629644E7" w14:textId="77777777" w:rsidR="00794567" w:rsidRPr="00794567" w:rsidRDefault="00794567" w:rsidP="00B40521">
      <w:pPr>
        <w:pStyle w:val="ListParagraph"/>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r>
        <w:t xml:space="preserve">continue to monitor transparency tools developed by different actors, also outside of the framework of the EHEA, in </w:t>
      </w:r>
      <w:r w:rsidR="00422E80">
        <w:t>particular U</w:t>
      </w:r>
      <w:r>
        <w:t xml:space="preserve">-Multirank. </w:t>
      </w:r>
    </w:p>
    <w:p w14:paraId="39DE4D7A" w14:textId="77777777" w:rsidR="00080625" w:rsidRDefault="00080625" w:rsidP="002151F9">
      <w:pPr>
        <w:pStyle w:val="Body"/>
        <w:jc w:val="both"/>
      </w:pPr>
    </w:p>
    <w:p w14:paraId="204F08F4" w14:textId="77777777" w:rsidR="00080625" w:rsidRDefault="00080625" w:rsidP="002151F9">
      <w:pPr>
        <w:jc w:val="both"/>
        <w:rPr>
          <w:rFonts w:ascii="Times New Roman Bold"/>
        </w:rPr>
      </w:pPr>
      <w:r w:rsidRPr="003B23C3">
        <w:rPr>
          <w:rFonts w:ascii="Times New Roman Bold"/>
        </w:rPr>
        <w:t>III.5</w:t>
      </w:r>
      <w:r w:rsidRPr="003B23C3">
        <w:rPr>
          <w:rFonts w:ascii="Times New Roman Bold"/>
        </w:rPr>
        <w:tab/>
        <w:t>Global dimension of structural reforms</w:t>
      </w:r>
    </w:p>
    <w:p w14:paraId="131744FF" w14:textId="77777777" w:rsidR="00080625" w:rsidRDefault="00080625" w:rsidP="002151F9">
      <w:pPr>
        <w:jc w:val="both"/>
      </w:pPr>
    </w:p>
    <w:p w14:paraId="7EBEA1A1" w14:textId="77777777" w:rsidR="00080625" w:rsidRPr="005C3CA0" w:rsidRDefault="00080625" w:rsidP="00100C67">
      <w:pPr>
        <w:pStyle w:val="Body"/>
        <w:jc w:val="both"/>
        <w:rPr>
          <w:iCs/>
        </w:rPr>
      </w:pPr>
      <w:r>
        <w:rPr>
          <w:i/>
          <w:iCs/>
        </w:rPr>
        <w:t xml:space="preserve">The EHEA should </w:t>
      </w:r>
      <w:r w:rsidRPr="005C3CA0">
        <w:rPr>
          <w:iCs/>
        </w:rPr>
        <w:t>include structural reforms in its cooperation with other parts of the world. To this end:</w:t>
      </w:r>
      <w:r w:rsidR="00EB7127">
        <w:rPr>
          <w:iCs/>
        </w:rPr>
        <w:tab/>
      </w:r>
      <w:r w:rsidR="00EB7127">
        <w:rPr>
          <w:iCs/>
        </w:rPr>
        <w:br/>
      </w:r>
    </w:p>
    <w:p w14:paraId="724BAA20" w14:textId="77777777" w:rsidR="00080625" w:rsidRDefault="00080625" w:rsidP="00B40521">
      <w:pPr>
        <w:pStyle w:val="Body"/>
        <w:numPr>
          <w:ilvl w:val="0"/>
          <w:numId w:val="82"/>
        </w:numPr>
        <w:ind w:hanging="720"/>
        <w:jc w:val="both"/>
        <w:rPr>
          <w:iCs/>
        </w:rPr>
      </w:pPr>
      <w:r>
        <w:rPr>
          <w:i/>
          <w:iCs/>
        </w:rPr>
        <w:t xml:space="preserve">The BFUG </w:t>
      </w:r>
      <w:r w:rsidRPr="005C3CA0">
        <w:rPr>
          <w:iCs/>
        </w:rPr>
        <w:t xml:space="preserve">should initiate work with one or more regions on structural reforms and present the results to the 2018 ministerial meeting.  </w:t>
      </w:r>
    </w:p>
    <w:p w14:paraId="5BCA8B94" w14:textId="77777777" w:rsidR="00D91480" w:rsidRPr="005C3CA0" w:rsidRDefault="00D91480" w:rsidP="00EB7127">
      <w:pPr>
        <w:pStyle w:val="Body"/>
        <w:ind w:left="720" w:hanging="720"/>
        <w:jc w:val="both"/>
        <w:rPr>
          <w:iCs/>
        </w:rPr>
      </w:pPr>
    </w:p>
    <w:p w14:paraId="045993A5" w14:textId="77777777" w:rsidR="00080625" w:rsidRDefault="00080625" w:rsidP="00B40521">
      <w:pPr>
        <w:pStyle w:val="Body"/>
        <w:numPr>
          <w:ilvl w:val="0"/>
          <w:numId w:val="82"/>
        </w:numPr>
        <w:ind w:hanging="720"/>
        <w:jc w:val="both"/>
        <w:rPr>
          <w:iCs/>
        </w:rPr>
      </w:pPr>
      <w:r w:rsidRPr="005C3CA0">
        <w:rPr>
          <w:iCs/>
        </w:rPr>
        <w:t>The conversation(s) could use a variety of working methods (conferences, seminars, working groups, studies, pilot projects, peer learning activities, others) and the BFUG and/or any substructure dealing with structural reforms should be kept duly informed of, and as appropriate be involved in, the conversation(s).</w:t>
      </w:r>
    </w:p>
    <w:p w14:paraId="7B81E379" w14:textId="77777777" w:rsidR="00D91480" w:rsidRPr="00D91480" w:rsidRDefault="00D91480" w:rsidP="00EB7127">
      <w:pPr>
        <w:pStyle w:val="ListParagraph"/>
        <w:numPr>
          <w:ilvl w:val="0"/>
          <w:numId w:val="0"/>
        </w:numPr>
        <w:ind w:left="709" w:hanging="720"/>
        <w:rPr>
          <w:iCs/>
        </w:rPr>
      </w:pPr>
    </w:p>
    <w:p w14:paraId="4100A48C" w14:textId="77777777" w:rsidR="00080625" w:rsidRDefault="00080625" w:rsidP="00B40521">
      <w:pPr>
        <w:pStyle w:val="Body"/>
        <w:numPr>
          <w:ilvl w:val="0"/>
          <w:numId w:val="82"/>
        </w:numPr>
        <w:ind w:hanging="720"/>
        <w:jc w:val="both"/>
        <w:rPr>
          <w:iCs/>
        </w:rPr>
      </w:pPr>
      <w:r w:rsidRPr="005C3CA0">
        <w:rPr>
          <w:iCs/>
        </w:rPr>
        <w:t>The conversation(s) should take an EHEA perspective rather than the perspective of one or more specific EHEA members and should, as far as possible, cover all areas of structural reform.</w:t>
      </w:r>
    </w:p>
    <w:p w14:paraId="50B577FC" w14:textId="77777777" w:rsidR="00D91480" w:rsidRPr="00D91480" w:rsidRDefault="00D91480" w:rsidP="00EB7127">
      <w:pPr>
        <w:pStyle w:val="ListParagraph"/>
        <w:numPr>
          <w:ilvl w:val="0"/>
          <w:numId w:val="0"/>
        </w:numPr>
        <w:ind w:left="709" w:hanging="720"/>
        <w:rPr>
          <w:iCs/>
        </w:rPr>
      </w:pPr>
    </w:p>
    <w:p w14:paraId="5CC8D251" w14:textId="77777777" w:rsidR="00080625" w:rsidRDefault="00080625" w:rsidP="00B40521">
      <w:pPr>
        <w:pStyle w:val="Body"/>
        <w:numPr>
          <w:ilvl w:val="0"/>
          <w:numId w:val="82"/>
        </w:numPr>
        <w:ind w:hanging="720"/>
        <w:jc w:val="both"/>
        <w:rPr>
          <w:iCs/>
        </w:rPr>
      </w:pPr>
      <w:r>
        <w:rPr>
          <w:i/>
          <w:iCs/>
        </w:rPr>
        <w:t xml:space="preserve">EHEA members involved in the ASEM (Asia-Europe Meeting) cooperation </w:t>
      </w:r>
      <w:r w:rsidRPr="005C3CA0">
        <w:rPr>
          <w:iCs/>
        </w:rPr>
        <w:t xml:space="preserve">in higher education should consider how structural reform could best be included in this cooperation. </w:t>
      </w:r>
    </w:p>
    <w:p w14:paraId="1F394A1D" w14:textId="77777777" w:rsidR="00D91480" w:rsidRPr="00D91480" w:rsidRDefault="00D91480" w:rsidP="00D91480">
      <w:pPr>
        <w:pStyle w:val="ListParagraph"/>
        <w:numPr>
          <w:ilvl w:val="0"/>
          <w:numId w:val="0"/>
        </w:numPr>
        <w:ind w:left="709"/>
        <w:rPr>
          <w:iCs/>
        </w:rPr>
      </w:pPr>
    </w:p>
    <w:p w14:paraId="73DD0875" w14:textId="77777777" w:rsidR="00080625" w:rsidRPr="005C3CA0" w:rsidRDefault="00080625" w:rsidP="00B40521">
      <w:pPr>
        <w:pStyle w:val="Body"/>
        <w:numPr>
          <w:ilvl w:val="0"/>
          <w:numId w:val="82"/>
        </w:numPr>
        <w:ind w:hanging="720"/>
        <w:jc w:val="both"/>
        <w:rPr>
          <w:iCs/>
        </w:rPr>
      </w:pPr>
      <w:r>
        <w:rPr>
          <w:i/>
          <w:iCs/>
        </w:rPr>
        <w:t xml:space="preserve">UNESCO </w:t>
      </w:r>
      <w:r w:rsidRPr="005C3CA0">
        <w:rPr>
          <w:iCs/>
        </w:rPr>
        <w:t>should relaunch its participation in the EHEA by active participation in the BFUG and its working structures.</w:t>
      </w:r>
    </w:p>
    <w:p w14:paraId="019A6D1D" w14:textId="77777777" w:rsidR="00080625" w:rsidRDefault="00080625" w:rsidP="00080625">
      <w:pPr>
        <w:pStyle w:val="Body"/>
        <w:rPr>
          <w:i/>
          <w:iCs/>
        </w:rPr>
      </w:pPr>
    </w:p>
    <w:p w14:paraId="1C58A7B6" w14:textId="77777777" w:rsidR="00080625" w:rsidRDefault="00080625" w:rsidP="00080625">
      <w:pPr>
        <w:rPr>
          <w:rFonts w:ascii="Times New Roman Bold"/>
        </w:rPr>
      </w:pPr>
      <w:r>
        <w:rPr>
          <w:rFonts w:ascii="Times New Roman Bold"/>
        </w:rPr>
        <w:t>IV.1.1</w:t>
      </w:r>
      <w:r>
        <w:rPr>
          <w:rFonts w:ascii="Times New Roman Bold"/>
        </w:rPr>
        <w:tab/>
        <w:t>Common principles of quality assurance to be applied across HE and VET</w:t>
      </w:r>
    </w:p>
    <w:p w14:paraId="1026B11C" w14:textId="77777777" w:rsidR="00080625" w:rsidRDefault="00080625" w:rsidP="00080625"/>
    <w:p w14:paraId="376542CC" w14:textId="77777777" w:rsidR="00080625" w:rsidRDefault="00080625" w:rsidP="00100C67">
      <w:pPr>
        <w:jc w:val="both"/>
      </w:pPr>
      <w:r w:rsidRPr="005C3CA0">
        <w:t xml:space="preserve">The frameworks for quality assurance in higher education and in vocational education and training need to be compatible and this basic principle should guide all further work on both frameworks. </w:t>
      </w:r>
    </w:p>
    <w:p w14:paraId="42C0501B" w14:textId="77777777" w:rsidR="00080625" w:rsidRPr="005C3CA0" w:rsidRDefault="00080625" w:rsidP="00100C67">
      <w:pPr>
        <w:jc w:val="both"/>
      </w:pPr>
    </w:p>
    <w:p w14:paraId="66CE029C" w14:textId="77777777" w:rsidR="00080625" w:rsidRDefault="00080625" w:rsidP="00100C67">
      <w:pPr>
        <w:spacing w:after="200" w:line="100" w:lineRule="atLeast"/>
        <w:jc w:val="both"/>
      </w:pPr>
      <w:r w:rsidRPr="005C3CA0">
        <w:t>Taking due account of the revised ESG as well as of EU recommendations,</w:t>
      </w:r>
      <w:r>
        <w:rPr>
          <w:i/>
        </w:rPr>
        <w:t xml:space="preserve"> ENQA and EQAVET are encouraged </w:t>
      </w:r>
      <w:r w:rsidRPr="005C3CA0">
        <w:t>to review the common principles of quality assurance in higher education in vocational education and training. ENQA is requested to ensure that the BFUG and/or any substructure dealing with structural reforms are duly informed of this work and to report back in due time before the 2018 Ministerial conference.</w:t>
      </w:r>
    </w:p>
    <w:p w14:paraId="0846FC9B" w14:textId="77777777" w:rsidR="00867363" w:rsidRDefault="00867363" w:rsidP="00100C67">
      <w:pPr>
        <w:spacing w:after="200" w:line="100" w:lineRule="atLeast"/>
        <w:jc w:val="both"/>
      </w:pPr>
    </w:p>
    <w:p w14:paraId="2655894C" w14:textId="77777777" w:rsidR="00867363" w:rsidRPr="00867363" w:rsidRDefault="00867363" w:rsidP="00100C67">
      <w:pPr>
        <w:spacing w:after="200" w:line="100" w:lineRule="atLeast"/>
        <w:jc w:val="both"/>
        <w:rPr>
          <w:lang w:val="en-GB"/>
        </w:rPr>
      </w:pPr>
    </w:p>
    <w:p w14:paraId="3A80EAEC" w14:textId="77777777" w:rsidR="00080625" w:rsidRDefault="00080625" w:rsidP="00D91480">
      <w:pPr>
        <w:jc w:val="both"/>
        <w:rPr>
          <w:rFonts w:ascii="Times New Roman Bold"/>
        </w:rPr>
      </w:pPr>
      <w:r>
        <w:rPr>
          <w:rFonts w:ascii="Times New Roman Bold"/>
        </w:rPr>
        <w:t>IV.1.2</w:t>
      </w:r>
      <w:r>
        <w:rPr>
          <w:rFonts w:ascii="Times New Roman Bold"/>
        </w:rPr>
        <w:tab/>
        <w:t>EQAR-registered quality assurance agencies operating in countries other than their countries of origin</w:t>
      </w:r>
    </w:p>
    <w:p w14:paraId="7EC1300E" w14:textId="77777777" w:rsidR="00867363" w:rsidRPr="00867363" w:rsidRDefault="00867363" w:rsidP="00D91480">
      <w:pPr>
        <w:jc w:val="both"/>
        <w:rPr>
          <w:lang w:val="en-GB"/>
        </w:rPr>
      </w:pPr>
    </w:p>
    <w:p w14:paraId="545D7E7F" w14:textId="77777777" w:rsidR="00867363" w:rsidRDefault="00867363" w:rsidP="00D91480">
      <w:pPr>
        <w:jc w:val="both"/>
      </w:pPr>
    </w:p>
    <w:p w14:paraId="21CAC041" w14:textId="77777777" w:rsidR="00080625" w:rsidRPr="005C3CA0" w:rsidRDefault="00080625"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ind w:hanging="720"/>
        <w:jc w:val="both"/>
        <w:rPr>
          <w:rFonts w:ascii="Times New Roman" w:hAnsi="Times New Roman" w:cs="Times New Roman"/>
          <w:sz w:val="24"/>
          <w:szCs w:val="24"/>
        </w:rPr>
      </w:pPr>
      <w:r>
        <w:rPr>
          <w:rFonts w:ascii="Times New Roman" w:hAnsi="Times New Roman" w:cs="Times New Roman"/>
          <w:i/>
          <w:sz w:val="24"/>
          <w:szCs w:val="24"/>
        </w:rPr>
        <w:t xml:space="preserve">EHEA members </w:t>
      </w:r>
      <w:r w:rsidRPr="005C3CA0">
        <w:rPr>
          <w:rFonts w:ascii="Times New Roman" w:hAnsi="Times New Roman" w:cs="Times New Roman"/>
          <w:sz w:val="24"/>
          <w:szCs w:val="24"/>
        </w:rPr>
        <w:t>should undertake further action, within their respective education systems, to implement the commitments made in the Bucharest Communiqué, in particular:</w:t>
      </w:r>
    </w:p>
    <w:p w14:paraId="7A3E4996" w14:textId="77777777" w:rsidR="00080625" w:rsidRPr="005C3CA0" w:rsidRDefault="00080625"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709" w:hanging="720"/>
        <w:jc w:val="both"/>
        <w:rPr>
          <w:rFonts w:ascii="Times New Roman" w:hAnsi="Times New Roman" w:cs="Times New Roman"/>
          <w:sz w:val="24"/>
          <w:szCs w:val="24"/>
        </w:rPr>
      </w:pPr>
      <w:r w:rsidRPr="005C3CA0">
        <w:rPr>
          <w:rFonts w:ascii="Times New Roman" w:hAnsi="Times New Roman" w:cs="Times New Roman"/>
          <w:sz w:val="24"/>
          <w:szCs w:val="24"/>
        </w:rPr>
        <w:t>Provide clear and transparent information (in English) on the requirements under which EQAR-registered agencies may operate, the criteria to be used and the responsibilities vis-à-vis national bodies.</w:t>
      </w:r>
    </w:p>
    <w:p w14:paraId="429A06BD" w14:textId="77777777" w:rsidR="00080625" w:rsidRDefault="00080625"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709" w:hanging="720"/>
        <w:jc w:val="both"/>
        <w:rPr>
          <w:rFonts w:ascii="Times New Roman" w:hAnsi="Times New Roman" w:cs="Times New Roman"/>
          <w:i/>
          <w:sz w:val="24"/>
          <w:szCs w:val="24"/>
        </w:rPr>
      </w:pPr>
      <w:r w:rsidRPr="005C3CA0">
        <w:rPr>
          <w:rFonts w:ascii="Times New Roman" w:hAnsi="Times New Roman" w:cs="Times New Roman"/>
          <w:sz w:val="24"/>
          <w:szCs w:val="24"/>
        </w:rPr>
        <w:t>Allow agencies that are registered in EQAR and, thus, have demonstrated that they work in line with the European Standards and Guidelines (ESG) to operate</w:t>
      </w:r>
      <w:r>
        <w:rPr>
          <w:rFonts w:ascii="Times New Roman" w:hAnsi="Times New Roman" w:cs="Times New Roman"/>
          <w:i/>
          <w:sz w:val="24"/>
          <w:szCs w:val="24"/>
        </w:rPr>
        <w:t xml:space="preserve"> throughout the </w:t>
      </w:r>
      <w:r w:rsidR="00867363">
        <w:rPr>
          <w:rFonts w:ascii="Times New Roman" w:hAnsi="Times New Roman" w:cs="Times New Roman"/>
          <w:i/>
          <w:sz w:val="24"/>
          <w:szCs w:val="24"/>
        </w:rPr>
        <w:t>EHEA,</w:t>
      </w:r>
      <w:r>
        <w:rPr>
          <w:rFonts w:ascii="Times New Roman" w:hAnsi="Times New Roman" w:cs="Times New Roman"/>
          <w:i/>
          <w:sz w:val="24"/>
          <w:szCs w:val="24"/>
        </w:rPr>
        <w:t xml:space="preserve"> in compliance </w:t>
      </w:r>
      <w:r w:rsidRPr="005C3CA0">
        <w:rPr>
          <w:rFonts w:ascii="Times New Roman" w:hAnsi="Times New Roman" w:cs="Times New Roman"/>
          <w:sz w:val="24"/>
          <w:szCs w:val="24"/>
        </w:rPr>
        <w:t>with the respective national requirements</w:t>
      </w:r>
      <w:r>
        <w:rPr>
          <w:rFonts w:ascii="Times New Roman" w:hAnsi="Times New Roman" w:cs="Times New Roman"/>
          <w:i/>
          <w:sz w:val="24"/>
          <w:szCs w:val="24"/>
        </w:rPr>
        <w:t>.</w:t>
      </w:r>
    </w:p>
    <w:p w14:paraId="2A015542" w14:textId="77777777" w:rsidR="00080625" w:rsidRPr="005C3CA0" w:rsidRDefault="00080625"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709" w:hanging="720"/>
        <w:jc w:val="both"/>
        <w:rPr>
          <w:rFonts w:ascii="DINPro-Regular" w:hAnsi="DINPro-Regular" w:cs="DINPro-Regular"/>
          <w:szCs w:val="20"/>
          <w:lang w:val="en-GB"/>
        </w:rPr>
      </w:pPr>
      <w:r w:rsidRPr="005C3CA0">
        <w:rPr>
          <w:rFonts w:ascii="Times New Roman" w:hAnsi="Times New Roman" w:cs="Times New Roman"/>
          <w:iCs/>
          <w:sz w:val="24"/>
          <w:szCs w:val="24"/>
        </w:rPr>
        <w:t>QA agencies that seek to offer accreditation, evaluation or audit to higher education institutions in different countries should establish clear and transparent processes and criteria for their cross-border work.</w:t>
      </w:r>
    </w:p>
    <w:p w14:paraId="10307B3A" w14:textId="77777777" w:rsidR="00080625" w:rsidRDefault="00080625" w:rsidP="00080625">
      <w:pPr>
        <w:rPr>
          <w:lang w:val="en-GB"/>
        </w:rPr>
      </w:pPr>
    </w:p>
    <w:p w14:paraId="2EF42707" w14:textId="77777777" w:rsidR="00080625" w:rsidRDefault="00080625" w:rsidP="00080625">
      <w:pPr>
        <w:rPr>
          <w:b/>
          <w:bCs/>
          <w:iCs/>
        </w:rPr>
      </w:pPr>
      <w:r w:rsidRPr="00715297">
        <w:rPr>
          <w:b/>
          <w:bCs/>
          <w:iCs/>
        </w:rPr>
        <w:t>IV.2.1</w:t>
      </w:r>
      <w:r w:rsidRPr="00715297">
        <w:rPr>
          <w:b/>
          <w:bCs/>
          <w:iCs/>
        </w:rPr>
        <w:tab/>
        <w:t>The place of short cycle qualifications in the QF-EHEA</w:t>
      </w:r>
    </w:p>
    <w:p w14:paraId="678A11E8" w14:textId="77777777" w:rsidR="00080625" w:rsidRPr="00715297" w:rsidRDefault="00080625" w:rsidP="00080625">
      <w:pPr>
        <w:rPr>
          <w:lang w:val="en-GB"/>
        </w:rPr>
      </w:pPr>
    </w:p>
    <w:p w14:paraId="36DDCD5E" w14:textId="77777777" w:rsidR="00080625" w:rsidRPr="00993900" w:rsidRDefault="00080625" w:rsidP="00D91480">
      <w:pPr>
        <w:pStyle w:val="Body"/>
        <w:jc w:val="both"/>
        <w:rPr>
          <w:color w:val="auto"/>
          <w:u w:color="FF0000"/>
        </w:rPr>
      </w:pPr>
      <w:r w:rsidRPr="00D45BF3">
        <w:rPr>
          <w:i/>
          <w:iCs/>
          <w:color w:val="auto"/>
        </w:rPr>
        <w:t xml:space="preserve">At their 2015 meeting, Ministers should decide </w:t>
      </w:r>
      <w:r w:rsidRPr="00993900">
        <w:rPr>
          <w:iCs/>
          <w:color w:val="auto"/>
        </w:rPr>
        <w:t>to include short cycle qualifications in the overarching framework of qualifications of the European Higher Education Area (QF-EHEA) based on</w:t>
      </w:r>
      <w:r w:rsidRPr="00993900">
        <w:rPr>
          <w:color w:val="auto"/>
        </w:rPr>
        <w:t xml:space="preserve"> </w:t>
      </w:r>
      <w:r w:rsidRPr="00993900">
        <w:rPr>
          <w:color w:val="auto"/>
          <w:u w:color="FF0000"/>
        </w:rPr>
        <w:t>the Dublin descriptor</w:t>
      </w:r>
      <w:r w:rsidRPr="00993900">
        <w:rPr>
          <w:rFonts w:eastAsia="Times New Roman" w:hAnsi="Times New Roman" w:cs="Times New Roman"/>
          <w:color w:val="auto"/>
          <w:u w:color="FF0000"/>
          <w:vertAlign w:val="superscript"/>
        </w:rPr>
        <w:footnoteReference w:id="3"/>
      </w:r>
      <w:r w:rsidRPr="00993900">
        <w:rPr>
          <w:color w:val="auto"/>
          <w:u w:color="FF0000"/>
        </w:rPr>
        <w:t xml:space="preserve"> for short cycle qualifications and quality assured according to the ESG</w:t>
      </w:r>
      <w:r w:rsidR="00C56383" w:rsidRPr="00C56383">
        <w:rPr>
          <w:color w:val="auto"/>
          <w:u w:color="FF0000"/>
        </w:rPr>
        <w:t xml:space="preserve"> </w:t>
      </w:r>
      <w:r w:rsidR="00C56383">
        <w:rPr>
          <w:color w:val="auto"/>
          <w:u w:color="FF0000"/>
        </w:rPr>
        <w:t>in order to give explicit recognition to the fact that many national frameworks now include short cycle qualifications but without an obligation on countries to include such qualifications in their NQF</w:t>
      </w:r>
      <w:r w:rsidRPr="00993900">
        <w:rPr>
          <w:color w:val="auto"/>
          <w:u w:color="FF0000"/>
        </w:rPr>
        <w:t>.</w:t>
      </w:r>
    </w:p>
    <w:p w14:paraId="761C720D" w14:textId="77777777" w:rsidR="00EB7127" w:rsidRDefault="00EB7127" w:rsidP="00080625">
      <w:pPr>
        <w:rPr>
          <w:b/>
          <w:bCs/>
          <w:iCs/>
        </w:rPr>
      </w:pPr>
    </w:p>
    <w:p w14:paraId="3C5053EF" w14:textId="77777777" w:rsidR="00080625" w:rsidRDefault="00080625" w:rsidP="00080625">
      <w:pPr>
        <w:rPr>
          <w:rFonts w:ascii="Times New Roman Bold"/>
        </w:rPr>
      </w:pPr>
      <w:r w:rsidRPr="00993900">
        <w:rPr>
          <w:b/>
          <w:bCs/>
          <w:iCs/>
        </w:rPr>
        <w:t>IV.2.2</w:t>
      </w:r>
      <w:r w:rsidRPr="00993900">
        <w:rPr>
          <w:b/>
          <w:bCs/>
          <w:iCs/>
        </w:rPr>
        <w:tab/>
      </w:r>
      <w:r>
        <w:rPr>
          <w:rFonts w:ascii="Times New Roman Bold"/>
        </w:rPr>
        <w:t>Referencing of access qualifications</w:t>
      </w:r>
    </w:p>
    <w:p w14:paraId="70B0D15C" w14:textId="77777777" w:rsidR="00080625" w:rsidRDefault="00080625" w:rsidP="00080625">
      <w:pPr>
        <w:rPr>
          <w:rFonts w:ascii="Times New Roman Bold"/>
        </w:rPr>
      </w:pPr>
    </w:p>
    <w:p w14:paraId="4A5CB8F2" w14:textId="77777777" w:rsidR="00080625" w:rsidRPr="00993900" w:rsidRDefault="00080625" w:rsidP="00080625">
      <w:pPr>
        <w:pStyle w:val="Body"/>
        <w:rPr>
          <w:iCs/>
        </w:rPr>
      </w:pPr>
      <w:r w:rsidRPr="00993900">
        <w:rPr>
          <w:iCs/>
        </w:rPr>
        <w:t xml:space="preserve">In view of the ongoing discussions at national level in some EHEA members, the SRWG has chosen to reserve judgment but recommends that the issue be on the structural reforms agenda of the EHEA also beyond 2015. </w:t>
      </w:r>
    </w:p>
    <w:p w14:paraId="623005F0" w14:textId="77777777" w:rsidR="00080625" w:rsidRPr="00715297" w:rsidRDefault="00080625" w:rsidP="00080625">
      <w:pPr>
        <w:pStyle w:val="Body"/>
        <w:rPr>
          <w:iCs/>
        </w:rPr>
      </w:pPr>
    </w:p>
    <w:p w14:paraId="6760A2D9" w14:textId="77777777" w:rsidR="00080625" w:rsidRDefault="00080625" w:rsidP="00080625">
      <w:pPr>
        <w:rPr>
          <w:rFonts w:ascii="Times New Roman Bold"/>
        </w:rPr>
      </w:pPr>
      <w:r>
        <w:rPr>
          <w:rFonts w:ascii="Times New Roman Bold"/>
        </w:rPr>
        <w:t>IV.2.3</w:t>
      </w:r>
      <w:r>
        <w:rPr>
          <w:rFonts w:ascii="Times New Roman Bold"/>
        </w:rPr>
        <w:tab/>
        <w:t>Third cycle qualifications</w:t>
      </w:r>
    </w:p>
    <w:p w14:paraId="015456CC" w14:textId="77777777" w:rsidR="00080625" w:rsidRDefault="00080625" w:rsidP="00080625">
      <w:pPr>
        <w:rPr>
          <w:rFonts w:ascii="Times New Roman Bold"/>
        </w:rPr>
      </w:pPr>
    </w:p>
    <w:p w14:paraId="1B927C2B" w14:textId="77777777" w:rsidR="00080625" w:rsidRDefault="00080625" w:rsidP="00080625">
      <w:r w:rsidRPr="008D3E85">
        <w:rPr>
          <w:b/>
          <w:i/>
        </w:rPr>
        <w:t>Higher education institutions</w:t>
      </w:r>
      <w:r>
        <w:t xml:space="preserve"> should:</w:t>
      </w:r>
    </w:p>
    <w:p w14:paraId="5DB24FF8" w14:textId="77777777" w:rsidR="00080625" w:rsidRDefault="00080625" w:rsidP="00080625"/>
    <w:p w14:paraId="1CB2B3FA" w14:textId="77777777" w:rsidR="00080625" w:rsidRDefault="00080625" w:rsidP="00B40521">
      <w:pPr>
        <w:pStyle w:val="ListParagraph"/>
        <w:numPr>
          <w:ilvl w:val="0"/>
          <w:numId w:val="91"/>
        </w:numPr>
        <w:ind w:hanging="720"/>
      </w:pPr>
      <w:r>
        <w:t xml:space="preserve">design and conduct third cycle programs to ensure that they develop competences that qualify third cycle graduates for a broad range of employment, within as well as outside </w:t>
      </w:r>
      <w:r>
        <w:lastRenderedPageBreak/>
        <w:t>of academia and research more broadly;</w:t>
      </w:r>
      <w:r w:rsidR="00100C67">
        <w:tab/>
      </w:r>
      <w:r w:rsidR="00100C67">
        <w:br/>
      </w:r>
    </w:p>
    <w:p w14:paraId="0EAF3592" w14:textId="77777777" w:rsidR="00080625" w:rsidRDefault="00080625" w:rsidP="00B40521">
      <w:pPr>
        <w:pStyle w:val="ListParagraph"/>
        <w:numPr>
          <w:ilvl w:val="0"/>
          <w:numId w:val="91"/>
        </w:numPr>
        <w:ind w:hanging="720"/>
      </w:pPr>
      <w:r>
        <w:t>describe both subject specific and generic competences students are expected to acquire through third cycle programs clearly and understandably and in such a way that the competences specific to third cycle qualifications are clearly demonstrated. Third cycle programs should, as appropriate, include the development of entrepreneurial competences and provide good career guidance</w:t>
      </w:r>
      <w:r w:rsidR="00203BE1">
        <w:t>.</w:t>
      </w:r>
    </w:p>
    <w:p w14:paraId="72A6DAE8" w14:textId="77777777" w:rsidR="00080625" w:rsidRDefault="00080625" w:rsidP="00080625"/>
    <w:p w14:paraId="0628F151" w14:textId="77777777" w:rsidR="00080625" w:rsidRDefault="00080625" w:rsidP="00100C67">
      <w:pPr>
        <w:jc w:val="both"/>
      </w:pPr>
      <w:r w:rsidRPr="009E1F2B">
        <w:rPr>
          <w:b/>
          <w:i/>
        </w:rPr>
        <w:t>Employers, both public and private</w:t>
      </w:r>
      <w:r>
        <w:t>, should consider the competences and skills acquired as well as the time spent to achieve them in doctoral education and/or postdoctoral fellowships as a part of applicants’ professional experience and could also take this period of time into account for the purpose of calculating seniority.</w:t>
      </w:r>
    </w:p>
    <w:p w14:paraId="6BBE6DCA" w14:textId="77777777" w:rsidR="00080625" w:rsidRDefault="00080625" w:rsidP="00100C67">
      <w:pPr>
        <w:jc w:val="both"/>
      </w:pPr>
    </w:p>
    <w:p w14:paraId="0386D586" w14:textId="77777777" w:rsidR="00080625" w:rsidRDefault="00080625" w:rsidP="00100C67">
      <w:pPr>
        <w:contextualSpacing/>
        <w:jc w:val="both"/>
      </w:pPr>
      <w:r w:rsidRPr="00C745A3">
        <w:rPr>
          <w:b/>
          <w:i/>
        </w:rPr>
        <w:t>Public authorities and higher education institutions</w:t>
      </w:r>
      <w:r>
        <w:t xml:space="preserve"> should:</w:t>
      </w:r>
    </w:p>
    <w:p w14:paraId="66BA21F6" w14:textId="77777777" w:rsidR="00080625" w:rsidRDefault="00080625" w:rsidP="00100C67">
      <w:pPr>
        <w:contextualSpacing/>
        <w:jc w:val="both"/>
      </w:pPr>
    </w:p>
    <w:p w14:paraId="0DB5C19F" w14:textId="77777777" w:rsidR="00080625" w:rsidRDefault="00080625" w:rsidP="00B40521">
      <w:pPr>
        <w:pStyle w:val="NoSpacing"/>
        <w:numPr>
          <w:ilvl w:val="0"/>
          <w:numId w:val="104"/>
        </w:numPr>
        <w:ind w:hanging="720"/>
      </w:pPr>
      <w:r>
        <w:t xml:space="preserve">provide students in third cycle programs with the possibility to include a stay abroad and/or a traineeship, work placement or similar experience </w:t>
      </w:r>
      <w:r w:rsidRPr="00901C53">
        <w:t xml:space="preserve">by adapting them to the research-based approach of </w:t>
      </w:r>
      <w:r>
        <w:t xml:space="preserve">their studies, </w:t>
      </w:r>
      <w:r w:rsidRPr="00F06004">
        <w:rPr>
          <w:i/>
        </w:rPr>
        <w:t>inter alia</w:t>
      </w:r>
      <w:r>
        <w:t xml:space="preserve"> by providing “mobility w</w:t>
      </w:r>
      <w:r w:rsidR="00E32727">
        <w:t>indows” in third cycle programs;</w:t>
      </w:r>
    </w:p>
    <w:p w14:paraId="10D1AFC8" w14:textId="77777777" w:rsidR="00100C67" w:rsidRDefault="00100C67" w:rsidP="00EB7127">
      <w:pPr>
        <w:pStyle w:val="NoSpacing"/>
        <w:ind w:left="720" w:hanging="720"/>
      </w:pPr>
    </w:p>
    <w:p w14:paraId="575135EA" w14:textId="77777777" w:rsidR="00080625" w:rsidRDefault="00080625" w:rsidP="00B40521">
      <w:pPr>
        <w:pStyle w:val="ListParagraph"/>
        <w:numPr>
          <w:ilvl w:val="0"/>
          <w:numId w:val="92"/>
        </w:numPr>
        <w:ind w:hanging="720"/>
      </w:pPr>
      <w:r>
        <w:t xml:space="preserve">provide </w:t>
      </w:r>
      <w:r w:rsidRPr="00755DBD">
        <w:t>doctoral candidates</w:t>
      </w:r>
      <w:r>
        <w:t xml:space="preserve"> and those considering applying for third cycle programs with information</w:t>
      </w:r>
      <w:r w:rsidRPr="00755DBD">
        <w:t xml:space="preserve"> about opportunities to cover the cost</w:t>
      </w:r>
      <w:r>
        <w:t>s</w:t>
      </w:r>
      <w:r w:rsidRPr="00755DBD">
        <w:t xml:space="preserve"> of their education (scholarships, </w:t>
      </w:r>
      <w:r>
        <w:t xml:space="preserve">loans, </w:t>
      </w:r>
      <w:r w:rsidRPr="00755DBD">
        <w:t>charity funds etc.)</w:t>
      </w:r>
      <w:r w:rsidR="00E32727">
        <w:t>;</w:t>
      </w:r>
    </w:p>
    <w:p w14:paraId="618E3CEE" w14:textId="77777777" w:rsidR="00100C67" w:rsidRDefault="00100C67" w:rsidP="00EB7127">
      <w:pPr>
        <w:ind w:left="720" w:hanging="720"/>
      </w:pPr>
    </w:p>
    <w:p w14:paraId="28C45805" w14:textId="77777777" w:rsidR="00080625" w:rsidRDefault="00080625" w:rsidP="00B40521">
      <w:pPr>
        <w:pStyle w:val="ListParagraph"/>
        <w:numPr>
          <w:ilvl w:val="0"/>
          <w:numId w:val="92"/>
        </w:numPr>
        <w:ind w:hanging="720"/>
      </w:pPr>
      <w:r>
        <w:t>provide transparent and understandable information on the competences and skills achieved by Doctoral graduates to a wide aca</w:t>
      </w:r>
      <w:r w:rsidR="00E32727">
        <w:t>demic and non-academic audience;</w:t>
      </w:r>
    </w:p>
    <w:p w14:paraId="0F717E54" w14:textId="77777777" w:rsidR="00100C67" w:rsidRDefault="00100C67" w:rsidP="00EB7127">
      <w:pPr>
        <w:pStyle w:val="ListParagraph"/>
        <w:numPr>
          <w:ilvl w:val="0"/>
          <w:numId w:val="0"/>
        </w:numPr>
        <w:ind w:left="709" w:hanging="720"/>
      </w:pPr>
    </w:p>
    <w:p w14:paraId="10080D13" w14:textId="77777777" w:rsidR="00080625" w:rsidRPr="00755DBD" w:rsidRDefault="00080625" w:rsidP="00B40521">
      <w:pPr>
        <w:pStyle w:val="ListParagraph"/>
        <w:numPr>
          <w:ilvl w:val="0"/>
          <w:numId w:val="92"/>
        </w:numPr>
        <w:ind w:hanging="720"/>
      </w:pPr>
      <w:r>
        <w:t xml:space="preserve">public authorities should provide incentives to higher education institutions to </w:t>
      </w:r>
      <w:r w:rsidR="00AF3931">
        <w:t xml:space="preserve">establish organizational frameworks (e.g. doctoral schools) aiming at </w:t>
      </w:r>
      <w:r>
        <w:t>upgrading the generic/transferable skills of doctoral candidates, stimulating interdisciplinarity, enhancing international cooperation and cooperation with businesses and non-profit and public organizations.</w:t>
      </w:r>
    </w:p>
    <w:p w14:paraId="1FEA39FE" w14:textId="77777777" w:rsidR="00EB7127" w:rsidRDefault="00EB7127">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p>
    <w:p w14:paraId="77BF7F91" w14:textId="77777777" w:rsidR="00AF3931" w:rsidRDefault="00AF3931">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p>
    <w:p w14:paraId="088DC3A8" w14:textId="77777777" w:rsidR="00080625" w:rsidRDefault="00080625" w:rsidP="00AF3931">
      <w:pPr>
        <w:jc w:val="both"/>
        <w:rPr>
          <w:rFonts w:ascii="Times New Roman Bold"/>
        </w:rPr>
      </w:pPr>
      <w:r>
        <w:rPr>
          <w:rFonts w:ascii="Times New Roman Bold"/>
        </w:rPr>
        <w:t>IV.2.4</w:t>
      </w:r>
      <w:r>
        <w:rPr>
          <w:rFonts w:ascii="Times New Roman Bold"/>
        </w:rPr>
        <w:tab/>
        <w:t>Implementation of qualifications frameworks</w:t>
      </w:r>
    </w:p>
    <w:p w14:paraId="4197BFC0" w14:textId="77777777" w:rsidR="00080625" w:rsidRDefault="00080625" w:rsidP="00AF3931">
      <w:pPr>
        <w:jc w:val="both"/>
        <w:rPr>
          <w:rFonts w:ascii="Times New Roman Bold"/>
        </w:rPr>
      </w:pPr>
    </w:p>
    <w:p w14:paraId="75A3F9AB" w14:textId="77777777" w:rsidR="00080625" w:rsidRDefault="00080625" w:rsidP="00B40521">
      <w:pPr>
        <w:pStyle w:val="ListParagraph"/>
        <w:numPr>
          <w:ilvl w:val="0"/>
          <w:numId w:val="73"/>
        </w:numPr>
        <w:ind w:left="709" w:hanging="709"/>
      </w:pPr>
      <w:r w:rsidRPr="00663018">
        <w:t>Public authorities should ensure and lead the development and implementation of national qualifications frameworks in a way that fully values and draws on the contribution of higher education institutions and other stakeholders and that furthers and promotes a learning outcomes approach.</w:t>
      </w:r>
    </w:p>
    <w:p w14:paraId="2EAE1BEB" w14:textId="77777777" w:rsidR="00080625" w:rsidRPr="00663018" w:rsidRDefault="00080625" w:rsidP="00B40521">
      <w:pPr>
        <w:pStyle w:val="ListParagraph"/>
        <w:numPr>
          <w:ilvl w:val="0"/>
          <w:numId w:val="73"/>
        </w:numPr>
        <w:ind w:left="709" w:hanging="709"/>
      </w:pPr>
      <w:r>
        <w:t>Public authorities should promote and raise awareness of their respective national qualifications frameworks. They should ensure publication of their self-certification reports and provide the BFUG Secretariat with the official information needed to publish the self-certification through the EHEA web site.</w:t>
      </w:r>
      <w:r w:rsidR="00E32727">
        <w:tab/>
      </w:r>
      <w:r w:rsidR="00E32727">
        <w:br/>
      </w:r>
    </w:p>
    <w:p w14:paraId="6871D784" w14:textId="77777777" w:rsidR="00080625" w:rsidRDefault="00080625" w:rsidP="00B40521">
      <w:pPr>
        <w:pStyle w:val="ListParagraph"/>
        <w:numPr>
          <w:ilvl w:val="0"/>
          <w:numId w:val="74"/>
        </w:numPr>
        <w:ind w:left="709" w:hanging="709"/>
      </w:pPr>
      <w:r w:rsidRPr="00663018">
        <w:lastRenderedPageBreak/>
        <w:t>Student participation in the development and implementation of qualifications frameworks is important to furthering student centered learning.</w:t>
      </w:r>
    </w:p>
    <w:p w14:paraId="7265D84A" w14:textId="77777777" w:rsidR="00E32727" w:rsidRPr="00663018" w:rsidRDefault="00E32727" w:rsidP="00AF3931">
      <w:pPr>
        <w:ind w:left="709" w:hanging="709"/>
      </w:pPr>
    </w:p>
    <w:p w14:paraId="482779F5" w14:textId="77777777" w:rsidR="00E32727" w:rsidRDefault="00080625" w:rsidP="00B40521">
      <w:pPr>
        <w:pStyle w:val="ListParagraph"/>
        <w:numPr>
          <w:ilvl w:val="0"/>
          <w:numId w:val="76"/>
        </w:numPr>
        <w:ind w:left="709" w:hanging="709"/>
      </w:pPr>
      <w:r w:rsidRPr="00663018">
        <w:t>To further the comparability and compatibility of self-certified national higher education frameworks, pan-European peer learning activities, exchange of experience and advice, and comparative studies should be promoted.</w:t>
      </w:r>
    </w:p>
    <w:p w14:paraId="2D7E7536" w14:textId="77777777" w:rsidR="00E32727" w:rsidRDefault="00E32727" w:rsidP="00EB7127">
      <w:pPr>
        <w:ind w:left="709" w:hanging="709"/>
      </w:pPr>
    </w:p>
    <w:p w14:paraId="67635DD9" w14:textId="77777777" w:rsidR="00080625" w:rsidRDefault="00080625" w:rsidP="00B40521">
      <w:pPr>
        <w:pStyle w:val="ListParagraph"/>
        <w:numPr>
          <w:ilvl w:val="0"/>
          <w:numId w:val="76"/>
        </w:numPr>
        <w:ind w:left="709" w:hanging="709"/>
      </w:pPr>
      <w:r w:rsidRPr="00663018">
        <w:t>Cooperation between the competent authorities for quality assurance, qualification frameworks and recognition should be reinforced in order to ensure that qualifications frameworks as a tool for modernization of higher education systems.</w:t>
      </w:r>
      <w:r>
        <w:t xml:space="preserve"> </w:t>
      </w:r>
    </w:p>
    <w:p w14:paraId="6A1447BD" w14:textId="77777777" w:rsidR="00080625" w:rsidRDefault="00080625" w:rsidP="00EB7127">
      <w:pPr>
        <w:pStyle w:val="ListParagraph"/>
        <w:numPr>
          <w:ilvl w:val="0"/>
          <w:numId w:val="0"/>
        </w:numPr>
        <w:ind w:left="709" w:hanging="709"/>
      </w:pPr>
    </w:p>
    <w:p w14:paraId="27110BCE" w14:textId="77777777" w:rsidR="00080625" w:rsidRPr="00663018" w:rsidRDefault="00080625" w:rsidP="00B40521">
      <w:pPr>
        <w:pStyle w:val="ListParagraph"/>
        <w:numPr>
          <w:ilvl w:val="0"/>
          <w:numId w:val="76"/>
        </w:numPr>
        <w:ind w:left="709" w:hanging="709"/>
      </w:pPr>
      <w:r>
        <w:t>All EHEA members should appoint their national correspondent for qualifications frameworks and ensure active participation in the network of national correspondents.</w:t>
      </w:r>
    </w:p>
    <w:p w14:paraId="53FEB820" w14:textId="77777777" w:rsidR="00080625" w:rsidRPr="00663018" w:rsidRDefault="00080625" w:rsidP="00EB7127">
      <w:pPr>
        <w:pStyle w:val="Body"/>
        <w:ind w:left="709" w:hanging="709"/>
      </w:pPr>
    </w:p>
    <w:p w14:paraId="6DEA78BE" w14:textId="77777777" w:rsidR="00080625" w:rsidRPr="004A4FAE" w:rsidRDefault="00080625" w:rsidP="00B40521">
      <w:pPr>
        <w:pStyle w:val="ListParagraph"/>
        <w:numPr>
          <w:ilvl w:val="0"/>
          <w:numId w:val="90"/>
        </w:numPr>
        <w:ind w:left="709" w:hanging="709"/>
      </w:pPr>
      <w:r>
        <w:t>All parties, including stakeholders, should further promote the use of qualifications frameworks based on learning outcomes.</w:t>
      </w:r>
    </w:p>
    <w:p w14:paraId="5726F80C" w14:textId="77777777" w:rsidR="00080625" w:rsidRDefault="00080625" w:rsidP="00080625">
      <w:pPr>
        <w:rPr>
          <w:rFonts w:ascii="Times New Roman Bold"/>
        </w:rPr>
      </w:pPr>
    </w:p>
    <w:p w14:paraId="0D06DB46" w14:textId="77777777" w:rsidR="00080625" w:rsidRDefault="00080625" w:rsidP="00080625">
      <w:pPr>
        <w:rPr>
          <w:rFonts w:ascii="Times New Roman Bold"/>
        </w:rPr>
      </w:pPr>
      <w:r>
        <w:rPr>
          <w:rFonts w:ascii="Times New Roman Bold"/>
        </w:rPr>
        <w:t>IV.3.1</w:t>
      </w:r>
      <w:r>
        <w:rPr>
          <w:rFonts w:ascii="Times New Roman Bold"/>
        </w:rPr>
        <w:tab/>
        <w:t>Review national legislation to fully comply with the Lisbon Recognition Convention and promote the use of the EAR-manual to advance recognition practices</w:t>
      </w:r>
    </w:p>
    <w:p w14:paraId="5B16CA05" w14:textId="77777777" w:rsidR="00080625" w:rsidRDefault="00080625" w:rsidP="00080625">
      <w:pPr>
        <w:rPr>
          <w:rFonts w:ascii="Times New Roman Bold"/>
        </w:rPr>
      </w:pPr>
    </w:p>
    <w:p w14:paraId="1451077F" w14:textId="77777777" w:rsidR="00080625" w:rsidRPr="003B23C3" w:rsidRDefault="00080625" w:rsidP="00080625">
      <w:pPr>
        <w:pStyle w:val="Body"/>
        <w:rPr>
          <w:iCs/>
        </w:rPr>
      </w:pPr>
      <w:r w:rsidRPr="003B23C3">
        <w:rPr>
          <w:iCs/>
        </w:rPr>
        <w:t xml:space="preserve">At their 2015 meeting, </w:t>
      </w:r>
      <w:r w:rsidRPr="004E05AC">
        <w:rPr>
          <w:i/>
          <w:iCs/>
        </w:rPr>
        <w:t>Ministers</w:t>
      </w:r>
      <w:r w:rsidRPr="003B23C3">
        <w:rPr>
          <w:iCs/>
        </w:rPr>
        <w:t xml:space="preserve"> should commit to reviewing their national legislation with a view to fully complying with the Lisbon Recognition Convention and report to the Bologna Secretariat by the end of 2016. The ENIC and NARIC Networks could be asked to prepare an analysis of the reports by the end of 2017.</w:t>
      </w:r>
    </w:p>
    <w:p w14:paraId="03995946" w14:textId="77777777" w:rsidR="00463B36" w:rsidRDefault="00463B36" w:rsidP="00080625">
      <w:pPr>
        <w:pStyle w:val="Body"/>
        <w:rPr>
          <w:i/>
          <w:iCs/>
        </w:rPr>
      </w:pPr>
    </w:p>
    <w:p w14:paraId="2D028682" w14:textId="77777777" w:rsidR="00080625" w:rsidRDefault="00080625" w:rsidP="00080625">
      <w:pPr>
        <w:pStyle w:val="Body"/>
      </w:pPr>
      <w:r>
        <w:rPr>
          <w:i/>
          <w:iCs/>
        </w:rPr>
        <w:t xml:space="preserve">Higher education institutions </w:t>
      </w:r>
      <w:r w:rsidRPr="003B23C3">
        <w:rPr>
          <w:iCs/>
        </w:rPr>
        <w:t xml:space="preserve">should make adequate use of the </w:t>
      </w:r>
      <w:r w:rsidRPr="004E05AC">
        <w:t>European Area of Recognition (EAR) manual in their own work on recognition</w:t>
      </w:r>
      <w:r>
        <w:t>.  They should review their own institutional procedures with a view to affording applicants adequate opportunities to appeal against recognition decisions made by the institution</w:t>
      </w:r>
      <w:r w:rsidRPr="00BF2506">
        <w:t xml:space="preserve"> </w:t>
      </w:r>
      <w:r>
        <w:t>and include the principle of fair recognition in their codes of ethical behavior.</w:t>
      </w:r>
    </w:p>
    <w:p w14:paraId="54EEE5EB" w14:textId="77777777" w:rsidR="00080625" w:rsidRPr="009F06BB" w:rsidRDefault="00080625" w:rsidP="00080625">
      <w:pPr>
        <w:pStyle w:val="Body"/>
        <w:rPr>
          <w:iCs/>
        </w:rPr>
      </w:pPr>
    </w:p>
    <w:p w14:paraId="6BF74727" w14:textId="77777777" w:rsidR="00080625" w:rsidRDefault="00080625" w:rsidP="00080625">
      <w:pPr>
        <w:rPr>
          <w:rFonts w:ascii="Times New Roman Bold"/>
        </w:rPr>
      </w:pPr>
      <w:r>
        <w:rPr>
          <w:rFonts w:ascii="Times New Roman Bold"/>
        </w:rPr>
        <w:t>IV.3.2</w:t>
      </w:r>
      <w:r>
        <w:rPr>
          <w:rFonts w:ascii="Times New Roman Bold"/>
        </w:rPr>
        <w:tab/>
        <w:t>Recognition of prior learning</w:t>
      </w:r>
    </w:p>
    <w:p w14:paraId="08719AC2" w14:textId="77777777" w:rsidR="00080625" w:rsidRDefault="00080625" w:rsidP="00080625">
      <w:pPr>
        <w:rPr>
          <w:rFonts w:ascii="Times New Roman Bold"/>
        </w:rPr>
      </w:pPr>
    </w:p>
    <w:p w14:paraId="094AB40F" w14:textId="77777777" w:rsidR="00080625" w:rsidRDefault="00080625" w:rsidP="00080625">
      <w:r w:rsidRPr="00A62D1B">
        <w:rPr>
          <w:i/>
        </w:rPr>
        <w:t>Public authorities</w:t>
      </w:r>
      <w:r>
        <w:t xml:space="preserve"> should</w:t>
      </w:r>
    </w:p>
    <w:p w14:paraId="11EA640A" w14:textId="77777777" w:rsidR="00080625" w:rsidRDefault="00080625" w:rsidP="00080625"/>
    <w:p w14:paraId="680C9D23" w14:textId="77777777" w:rsidR="00080625" w:rsidRDefault="00080625" w:rsidP="00B40521">
      <w:pPr>
        <w:pStyle w:val="ListParagraph"/>
        <w:numPr>
          <w:ilvl w:val="0"/>
          <w:numId w:val="86"/>
        </w:numPr>
        <w:ind w:hanging="720"/>
      </w:pPr>
      <w:r>
        <w:t xml:space="preserve">Review current legislation with a view to removing any remaining obstacles to the recognition of prior learning for the purposes of providing access to higher education programs and </w:t>
      </w:r>
      <w:r w:rsidR="00E34338">
        <w:t xml:space="preserve">facilitating the award of qualifications </w:t>
      </w:r>
      <w:r>
        <w:t>on the basis of prior learning;</w:t>
      </w:r>
    </w:p>
    <w:p w14:paraId="46F528D2" w14:textId="77777777" w:rsidR="00080625" w:rsidRDefault="00080625" w:rsidP="00B40521">
      <w:pPr>
        <w:pStyle w:val="ListParagraph"/>
        <w:numPr>
          <w:ilvl w:val="0"/>
          <w:numId w:val="86"/>
        </w:numPr>
        <w:ind w:hanging="720"/>
      </w:pPr>
      <w:r>
        <w:t xml:space="preserve">Review their national qualifications frameworks with a view to ensuring that learning paths within the framework provide adequately for the recognition of prior learning; </w:t>
      </w:r>
    </w:p>
    <w:p w14:paraId="462BE9B7" w14:textId="77777777" w:rsidR="00080625" w:rsidRDefault="00080625" w:rsidP="005C58C2">
      <w:pPr>
        <w:ind w:hanging="720"/>
      </w:pPr>
    </w:p>
    <w:p w14:paraId="1DB1DAC3" w14:textId="77777777" w:rsidR="00080625" w:rsidRDefault="00080625" w:rsidP="005C58C2">
      <w:r w:rsidRPr="00A62D1B">
        <w:rPr>
          <w:i/>
        </w:rPr>
        <w:t>Higher education institutions</w:t>
      </w:r>
      <w:r>
        <w:t xml:space="preserve"> should:</w:t>
      </w:r>
    </w:p>
    <w:p w14:paraId="4B22370B" w14:textId="77777777" w:rsidR="00080625" w:rsidRDefault="00080625" w:rsidP="005C58C2">
      <w:pPr>
        <w:ind w:hanging="720"/>
      </w:pPr>
    </w:p>
    <w:p w14:paraId="7AA6706B" w14:textId="77777777" w:rsidR="00080625" w:rsidRDefault="00080625" w:rsidP="00B40521">
      <w:pPr>
        <w:pStyle w:val="ListParagraph"/>
        <w:numPr>
          <w:ilvl w:val="0"/>
          <w:numId w:val="87"/>
        </w:numPr>
        <w:ind w:hanging="720"/>
      </w:pPr>
      <w:r>
        <w:t>Develop a coordinated institutional approach to the recognition of higher learning, if and where such an approach has not yet been adopted;</w:t>
      </w:r>
    </w:p>
    <w:p w14:paraId="5E33A764" w14:textId="77777777" w:rsidR="00463B36" w:rsidRDefault="00463B36" w:rsidP="005C58C2">
      <w:pPr>
        <w:pStyle w:val="ListParagraph"/>
        <w:numPr>
          <w:ilvl w:val="0"/>
          <w:numId w:val="0"/>
        </w:numPr>
        <w:ind w:left="720" w:hanging="720"/>
      </w:pPr>
    </w:p>
    <w:p w14:paraId="7EA97E2B" w14:textId="77777777" w:rsidR="00080625" w:rsidRDefault="00080625" w:rsidP="00B40521">
      <w:pPr>
        <w:pStyle w:val="ListParagraph"/>
        <w:numPr>
          <w:ilvl w:val="0"/>
          <w:numId w:val="87"/>
        </w:numPr>
        <w:ind w:hanging="720"/>
      </w:pPr>
      <w:r>
        <w:t>Commit to the recognition of prior learning by developing institutional policies and guidelines;</w:t>
      </w:r>
    </w:p>
    <w:p w14:paraId="475A2577" w14:textId="77777777" w:rsidR="00463B36" w:rsidRDefault="00463B36" w:rsidP="005C58C2">
      <w:pPr>
        <w:pStyle w:val="ListParagraph"/>
        <w:numPr>
          <w:ilvl w:val="0"/>
          <w:numId w:val="0"/>
        </w:numPr>
        <w:ind w:left="709" w:hanging="720"/>
      </w:pPr>
    </w:p>
    <w:p w14:paraId="685C2B28" w14:textId="77777777" w:rsidR="00080625" w:rsidRDefault="00080625" w:rsidP="00B40521">
      <w:pPr>
        <w:pStyle w:val="ListParagraph"/>
        <w:numPr>
          <w:ilvl w:val="0"/>
          <w:numId w:val="87"/>
        </w:numPr>
        <w:ind w:hanging="720"/>
      </w:pPr>
      <w:r>
        <w:t xml:space="preserve">Develop and design flexible curricula that provide and take account of opportunities for the recognition of prior learning and that include flexible modes of entry, progression and delivery; </w:t>
      </w:r>
    </w:p>
    <w:p w14:paraId="32F09112" w14:textId="77777777" w:rsidR="00463B36" w:rsidRDefault="00463B36" w:rsidP="005C58C2">
      <w:pPr>
        <w:pStyle w:val="ListParagraph"/>
        <w:numPr>
          <w:ilvl w:val="0"/>
          <w:numId w:val="0"/>
        </w:numPr>
        <w:ind w:left="720" w:hanging="720"/>
      </w:pPr>
    </w:p>
    <w:p w14:paraId="51FA3CD3" w14:textId="77777777" w:rsidR="00080625" w:rsidRDefault="00080625" w:rsidP="00B40521">
      <w:pPr>
        <w:pStyle w:val="ListParagraph"/>
        <w:numPr>
          <w:ilvl w:val="0"/>
          <w:numId w:val="87"/>
        </w:numPr>
        <w:ind w:hanging="720"/>
      </w:pPr>
      <w:r>
        <w:t>Ensure that possibilities for the recognition of prior learning are included in the development and design of curricula and study programs.</w:t>
      </w:r>
    </w:p>
    <w:p w14:paraId="07FC49F7" w14:textId="77777777" w:rsidR="00080625" w:rsidRDefault="00080625" w:rsidP="00080625">
      <w:r>
        <w:t xml:space="preserve"> </w:t>
      </w:r>
    </w:p>
    <w:p w14:paraId="74AE3E00" w14:textId="77777777" w:rsidR="00080625" w:rsidRDefault="00080625" w:rsidP="00463B36">
      <w:pPr>
        <w:jc w:val="both"/>
      </w:pPr>
      <w:r w:rsidRPr="00273809">
        <w:rPr>
          <w:i/>
        </w:rPr>
        <w:t>Employers</w:t>
      </w:r>
      <w:r>
        <w:t xml:space="preserve"> </w:t>
      </w:r>
      <w:r w:rsidRPr="00273809">
        <w:rPr>
          <w:i/>
        </w:rPr>
        <w:t>and higher education institutions, with the support of public authorities</w:t>
      </w:r>
      <w:r>
        <w:t xml:space="preserve"> as appropriate, should develop policies and practice for work based learning that provide sufficient grounds, </w:t>
      </w:r>
      <w:r w:rsidRPr="00273809">
        <w:rPr>
          <w:i/>
        </w:rPr>
        <w:t>inter alia</w:t>
      </w:r>
      <w:r>
        <w:t xml:space="preserve"> through the clear definition and attestation of learning outcomes, for the recognition of work based learning not a part of formal education for the purposes of providing access to higher education programs and awarding qualifications.</w:t>
      </w:r>
    </w:p>
    <w:p w14:paraId="5B8D8BD2" w14:textId="77777777" w:rsidR="00080625" w:rsidRDefault="00080625" w:rsidP="00463B36">
      <w:pPr>
        <w:jc w:val="both"/>
      </w:pPr>
    </w:p>
    <w:p w14:paraId="6039E103" w14:textId="77777777" w:rsidR="00080625" w:rsidRDefault="00080625" w:rsidP="00463B36">
      <w:pPr>
        <w:jc w:val="both"/>
      </w:pPr>
      <w:r>
        <w:t xml:space="preserve">The </w:t>
      </w:r>
      <w:r w:rsidRPr="00722AE6">
        <w:rPr>
          <w:i/>
        </w:rPr>
        <w:t>ENIC and NARIC Networks and the Lisbon Recognition Convention Committee</w:t>
      </w:r>
      <w:r>
        <w:t xml:space="preserve"> should develop proposals for coherent policy and practice for the recognition of prior learning throughout the EHEA. </w:t>
      </w:r>
      <w:r w:rsidRPr="00722AE6">
        <w:t>The</w:t>
      </w:r>
      <w:r w:rsidRPr="00722AE6">
        <w:rPr>
          <w:i/>
        </w:rPr>
        <w:t xml:space="preserve"> Lisbon Recognition Convention Committee</w:t>
      </w:r>
      <w:r>
        <w:t xml:space="preserve"> should consider whether a subsidiary text to the Lisbon Recognition Convention might be developed and, as appropriate, submit a draft text for adoption by 2018.</w:t>
      </w:r>
    </w:p>
    <w:p w14:paraId="277A153F" w14:textId="77777777" w:rsidR="00510CE8" w:rsidRPr="00722AE6" w:rsidRDefault="00510CE8" w:rsidP="00463B36">
      <w:pPr>
        <w:jc w:val="both"/>
      </w:pPr>
    </w:p>
    <w:p w14:paraId="118DCD9C" w14:textId="77777777" w:rsidR="00080625" w:rsidRDefault="00080625" w:rsidP="00463B36">
      <w:pPr>
        <w:jc w:val="both"/>
      </w:pPr>
      <w:r>
        <w:t xml:space="preserve">When developing its work program for the 2015 – 18 period, the </w:t>
      </w:r>
      <w:r w:rsidRPr="00B24FB8">
        <w:rPr>
          <w:i/>
        </w:rPr>
        <w:t>BFUG should</w:t>
      </w:r>
      <w:r>
        <w:t xml:space="preserve"> assess whether the RPL Network is (still) an appropriate instrument for furthering the recognition of prior learning within the EHEA.</w:t>
      </w:r>
    </w:p>
    <w:p w14:paraId="0815843C" w14:textId="77777777" w:rsidR="00A1173D" w:rsidRDefault="00A1173D" w:rsidP="00463B36">
      <w:pPr>
        <w:jc w:val="both"/>
      </w:pPr>
    </w:p>
    <w:p w14:paraId="3C7EABDE" w14:textId="77777777" w:rsidR="00080625" w:rsidRDefault="00080625" w:rsidP="00080625">
      <w:pPr>
        <w:pStyle w:val="Body"/>
        <w:rPr>
          <w:color w:val="FF0000"/>
          <w:u w:color="FF0000"/>
        </w:rPr>
      </w:pPr>
    </w:p>
    <w:p w14:paraId="629434B8" w14:textId="77777777" w:rsidR="00080625" w:rsidRDefault="00080625" w:rsidP="00A1173D">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r w:rsidRPr="002B3A7F">
        <w:rPr>
          <w:rFonts w:ascii="Times New Roman Bold"/>
        </w:rPr>
        <w:t>IV.4.1</w:t>
      </w:r>
      <w:r w:rsidRPr="002B3A7F">
        <w:rPr>
          <w:rFonts w:ascii="Times New Roman Bold"/>
        </w:rPr>
        <w:tab/>
        <w:t>Diploma Supplement</w:t>
      </w:r>
    </w:p>
    <w:p w14:paraId="6AB76536" w14:textId="77777777" w:rsidR="00080625" w:rsidRDefault="00080625" w:rsidP="00080625">
      <w:pPr>
        <w:rPr>
          <w:rFonts w:ascii="Times New Roman Bold"/>
        </w:rPr>
      </w:pPr>
    </w:p>
    <w:p w14:paraId="18B2B7D0" w14:textId="77777777" w:rsidR="00080625" w:rsidRPr="002B3A7F" w:rsidRDefault="00080625" w:rsidP="00080625">
      <w:pPr>
        <w:pStyle w:val="Body"/>
        <w:rPr>
          <w:iCs/>
        </w:rPr>
      </w:pPr>
      <w:r w:rsidRPr="00B30CB6">
        <w:rPr>
          <w:i/>
          <w:iCs/>
        </w:rPr>
        <w:t>At their 2015 meeting, Ministers should</w:t>
      </w:r>
      <w:r w:rsidRPr="002B3A7F">
        <w:rPr>
          <w:iCs/>
        </w:rPr>
        <w:t xml:space="preserve"> commit to fulfilling their previous commitment to issue the Diploma Supplement automatically, free of charge and in a widely spoken language in time for this commitment to be verified in the 2018 Implementation report.</w:t>
      </w:r>
    </w:p>
    <w:p w14:paraId="1B426F52" w14:textId="77777777" w:rsidR="00080625" w:rsidRPr="002B3A7F" w:rsidRDefault="00080625" w:rsidP="00080625">
      <w:pPr>
        <w:pStyle w:val="Body"/>
        <w:rPr>
          <w:iCs/>
        </w:rPr>
      </w:pPr>
      <w:r>
        <w:rPr>
          <w:iCs/>
        </w:rPr>
        <w:t xml:space="preserve"> </w:t>
      </w:r>
    </w:p>
    <w:p w14:paraId="5EB55E93" w14:textId="77777777" w:rsidR="00080625" w:rsidRPr="002B3A7F" w:rsidRDefault="00080625" w:rsidP="00080625">
      <w:pPr>
        <w:pStyle w:val="Body"/>
      </w:pPr>
      <w:r w:rsidRPr="00B30CB6">
        <w:rPr>
          <w:i/>
        </w:rPr>
        <w:t>T</w:t>
      </w:r>
      <w:r w:rsidRPr="00B30CB6">
        <w:rPr>
          <w:i/>
          <w:iCs/>
        </w:rPr>
        <w:t>he Council of Europe, the European Commission and UNESCO</w:t>
      </w:r>
      <w:r w:rsidRPr="00B30CB6">
        <w:rPr>
          <w:i/>
        </w:rPr>
        <w:t xml:space="preserve"> should</w:t>
      </w:r>
      <w:r w:rsidRPr="002B3A7F">
        <w:t>:</w:t>
      </w:r>
      <w:r w:rsidRPr="002B3A7F">
        <w:br/>
      </w:r>
    </w:p>
    <w:p w14:paraId="6EFA19AC" w14:textId="77777777" w:rsidR="00080625" w:rsidRDefault="00080625" w:rsidP="00B40521">
      <w:pPr>
        <w:pStyle w:val="ListParagraph"/>
        <w:numPr>
          <w:ilvl w:val="0"/>
          <w:numId w:val="66"/>
        </w:numPr>
        <w:ind w:left="709" w:hanging="709"/>
      </w:pPr>
      <w:r>
        <w:t>review the Diploma Supplement with a view to ensuring it reflects recent developments in higher education, including the development of learning outcomes and qualifications frameworks, is relevant and up to date for the purposes of mobility and the recognition of qualifications as well as promoting employability and that it takes into account the possibilities for providing up to date information offered by modern information technology, including the digitalization of the Diploma Supplement itself;</w:t>
      </w:r>
      <w:r w:rsidR="00203BE1">
        <w:br/>
      </w:r>
    </w:p>
    <w:p w14:paraId="0BB7C762" w14:textId="77777777" w:rsidR="009E204C" w:rsidRDefault="00080625" w:rsidP="00B40521">
      <w:pPr>
        <w:pStyle w:val="ListParagraph"/>
        <w:numPr>
          <w:ilvl w:val="0"/>
          <w:numId w:val="66"/>
        </w:numPr>
        <w:ind w:left="709" w:hanging="709"/>
      </w:pPr>
      <w:r>
        <w:t>include in the revision the specificities of doctoral education, in terms of program</w:t>
      </w:r>
      <w:r w:rsidRPr="00465C19">
        <w:t xml:space="preserve"> description, specific learning activities, thesis title and assessment, as well as mobility experiences, transferable skills, international cooperation activities that the student has </w:t>
      </w:r>
      <w:r w:rsidRPr="00465C19">
        <w:lastRenderedPageBreak/>
        <w:t xml:space="preserve">been involved in and research projects </w:t>
      </w:r>
      <w:r>
        <w:t xml:space="preserve">of which </w:t>
      </w:r>
      <w:r w:rsidRPr="00465C19">
        <w:t>the student has been a part</w:t>
      </w:r>
      <w:r>
        <w:t>;</w:t>
      </w:r>
      <w:r w:rsidR="009E204C">
        <w:tab/>
      </w:r>
      <w:r w:rsidR="009E204C">
        <w:br/>
      </w:r>
    </w:p>
    <w:p w14:paraId="2468C3A9" w14:textId="77777777" w:rsidR="00720B51" w:rsidRDefault="00080625" w:rsidP="00720B51">
      <w:pPr>
        <w:pStyle w:val="ListParagraph"/>
        <w:numPr>
          <w:ilvl w:val="0"/>
          <w:numId w:val="8"/>
        </w:numPr>
        <w:ind w:left="709" w:hanging="709"/>
      </w:pPr>
      <w:r>
        <w:t>ensure the adoption of any revised version of the Diploma Supplement, in identical versions, within the framework of the Lisbon Recognition Convention as wel</w:t>
      </w:r>
      <w:r w:rsidR="009E204C">
        <w:t>l as that of the European Union;</w:t>
      </w:r>
      <w:r w:rsidR="009E204C">
        <w:tab/>
      </w:r>
    </w:p>
    <w:p w14:paraId="6226E1B1" w14:textId="77777777" w:rsidR="00720B51" w:rsidRDefault="00720B51" w:rsidP="00720B51">
      <w:pPr>
        <w:pStyle w:val="ListParagraph"/>
        <w:numPr>
          <w:ilvl w:val="0"/>
          <w:numId w:val="0"/>
        </w:numPr>
        <w:ind w:left="709"/>
      </w:pPr>
    </w:p>
    <w:p w14:paraId="08AD1F17" w14:textId="77777777" w:rsidR="00080625" w:rsidRDefault="00080625" w:rsidP="00B40521">
      <w:pPr>
        <w:pStyle w:val="NoSpacing"/>
        <w:numPr>
          <w:ilvl w:val="0"/>
          <w:numId w:val="110"/>
        </w:numPr>
        <w:ind w:hanging="720"/>
      </w:pPr>
      <w:r>
        <w:t>ensure coherence between a review of the Diploma Supplement and the possible development of a “Doctoral Supplement” within the European Research Area.</w:t>
      </w:r>
    </w:p>
    <w:p w14:paraId="748E7C62" w14:textId="77777777" w:rsidR="00080625" w:rsidRPr="00B24FB8" w:rsidRDefault="00080625" w:rsidP="00080625">
      <w:pPr>
        <w:pStyle w:val="Body"/>
        <w:rPr>
          <w:iCs/>
          <w:color w:val="FF0000"/>
          <w:u w:color="FF0000"/>
        </w:rPr>
      </w:pPr>
    </w:p>
    <w:p w14:paraId="1946C34D" w14:textId="77777777" w:rsidR="00080625" w:rsidRDefault="00080625" w:rsidP="00080625">
      <w:pPr>
        <w:pStyle w:val="Body"/>
        <w:rPr>
          <w:i/>
          <w:iCs/>
          <w:color w:val="FF0000"/>
          <w:u w:color="FF0000"/>
        </w:rPr>
      </w:pPr>
    </w:p>
    <w:p w14:paraId="4ABF12A6" w14:textId="77777777" w:rsidR="00080625" w:rsidRPr="006346D6" w:rsidRDefault="00080625" w:rsidP="00080625">
      <w:pPr>
        <w:rPr>
          <w:rFonts w:ascii="Times New Roman Bold"/>
        </w:rPr>
      </w:pPr>
      <w:r w:rsidRPr="006346D6">
        <w:rPr>
          <w:rFonts w:ascii="Times New Roman Bold"/>
        </w:rPr>
        <w:t>IV.4.2</w:t>
      </w:r>
      <w:r w:rsidRPr="006346D6">
        <w:rPr>
          <w:rFonts w:ascii="Times New Roman Bold"/>
        </w:rPr>
        <w:tab/>
        <w:t>Review of the ECTS Users</w:t>
      </w:r>
      <w:r w:rsidRPr="006346D6">
        <w:t xml:space="preserve">’ </w:t>
      </w:r>
      <w:r w:rsidRPr="006346D6">
        <w:rPr>
          <w:rFonts w:ascii="Times New Roman Bold"/>
        </w:rPr>
        <w:t>Guide</w:t>
      </w:r>
    </w:p>
    <w:p w14:paraId="1F3B548E" w14:textId="77777777" w:rsidR="00080625" w:rsidRDefault="00080625" w:rsidP="00080625">
      <w:pPr>
        <w:pStyle w:val="Body"/>
      </w:pPr>
    </w:p>
    <w:p w14:paraId="422794CB" w14:textId="77777777" w:rsidR="00080625" w:rsidRPr="00D67703" w:rsidRDefault="00080625" w:rsidP="00080625">
      <w:pPr>
        <w:spacing w:after="240"/>
        <w:jc w:val="both"/>
        <w:outlineLvl w:val="0"/>
      </w:pPr>
      <w:r>
        <w:t>T</w:t>
      </w:r>
      <w:r w:rsidRPr="00B24FB8">
        <w:t>he ministers</w:t>
      </w:r>
      <w:r>
        <w:t xml:space="preserve"> of the European Higher E</w:t>
      </w:r>
      <w:r w:rsidRPr="00D67703">
        <w:t xml:space="preserve">ducation Area </w:t>
      </w:r>
      <w:r>
        <w:t>should adopt the ECTS Users’</w:t>
      </w:r>
      <w:r w:rsidRPr="00D67703">
        <w:t xml:space="preserve"> Guide </w:t>
      </w:r>
      <w:r>
        <w:t>and make it</w:t>
      </w:r>
      <w:r w:rsidRPr="00D67703">
        <w:t xml:space="preserve"> an </w:t>
      </w:r>
      <w:r w:rsidRPr="00B24FB8">
        <w:t>official EHEA document</w:t>
      </w:r>
      <w:r w:rsidRPr="00D67703">
        <w:t>.</w:t>
      </w:r>
    </w:p>
    <w:p w14:paraId="0383F4FC" w14:textId="77777777" w:rsidR="00080625" w:rsidRDefault="00080625" w:rsidP="00080625">
      <w:pPr>
        <w:pStyle w:val="Body"/>
      </w:pPr>
      <w:r>
        <w:br w:type="page"/>
      </w:r>
    </w:p>
    <w:p w14:paraId="785A14BA" w14:textId="77777777" w:rsidR="00080625" w:rsidRDefault="00080625" w:rsidP="00080625">
      <w:pPr>
        <w:pStyle w:val="Body"/>
      </w:pPr>
    </w:p>
    <w:p w14:paraId="32DA11B7" w14:textId="77777777" w:rsidR="00080625" w:rsidRPr="009E204C" w:rsidRDefault="00080625" w:rsidP="009E204C">
      <w:pPr>
        <w:pStyle w:val="ListParagraph"/>
        <w:numPr>
          <w:ilvl w:val="0"/>
          <w:numId w:val="4"/>
        </w:numPr>
        <w:tabs>
          <w:tab w:val="clear" w:pos="1080"/>
          <w:tab w:val="num" w:pos="709"/>
        </w:tabs>
        <w:ind w:left="709" w:hanging="709"/>
        <w:rPr>
          <w:rFonts w:eastAsia="Times New Roman Bold" w:hAnsi="Times New Roman Bold" w:cs="Times New Roman Bold"/>
          <w:b/>
          <w:sz w:val="32"/>
          <w:szCs w:val="32"/>
        </w:rPr>
      </w:pPr>
      <w:r w:rsidRPr="009E204C">
        <w:rPr>
          <w:b/>
          <w:sz w:val="32"/>
          <w:szCs w:val="32"/>
        </w:rPr>
        <w:t>ABOUT THE REPORT</w:t>
      </w:r>
    </w:p>
    <w:p w14:paraId="72E673EB" w14:textId="77777777" w:rsidR="00080625" w:rsidRDefault="00080625" w:rsidP="00080625">
      <w:pPr>
        <w:pStyle w:val="Body"/>
        <w:rPr>
          <w:rFonts w:ascii="Times New Roman Bold" w:eastAsia="Times New Roman Bold" w:hAnsi="Times New Roman Bold" w:cs="Times New Roman Bold"/>
        </w:rPr>
      </w:pPr>
    </w:p>
    <w:p w14:paraId="0DF9E16E" w14:textId="77777777" w:rsidR="00080625" w:rsidRDefault="00080625" w:rsidP="00080625">
      <w:pPr>
        <w:pStyle w:val="Body"/>
        <w:rPr>
          <w:rFonts w:ascii="Times New Roman Bold"/>
        </w:rPr>
      </w:pPr>
      <w:r>
        <w:rPr>
          <w:rFonts w:ascii="Times New Roman Bold"/>
        </w:rPr>
        <w:t>I.1</w:t>
      </w:r>
      <w:r>
        <w:rPr>
          <w:rFonts w:ascii="Times New Roman Bold"/>
        </w:rPr>
        <w:tab/>
        <w:t>MANDATE AND MEMBERSHIP</w:t>
      </w:r>
    </w:p>
    <w:p w14:paraId="4649F188" w14:textId="77777777" w:rsidR="009E204C" w:rsidRDefault="009E204C" w:rsidP="00080625">
      <w:pPr>
        <w:pStyle w:val="Body"/>
        <w:rPr>
          <w:rFonts w:ascii="Times New Roman Bold" w:eastAsia="Times New Roman Bold" w:hAnsi="Times New Roman Bold" w:cs="Times New Roman Bold"/>
        </w:rPr>
      </w:pPr>
    </w:p>
    <w:p w14:paraId="1DC3CD91" w14:textId="77777777" w:rsidR="00080625" w:rsidRDefault="00080625" w:rsidP="009E204C">
      <w:pPr>
        <w:pStyle w:val="NoSpacing"/>
        <w:jc w:val="both"/>
      </w:pPr>
      <w:r>
        <w:t xml:space="preserve">The EHEA Working Group on Structural Reforms (Structural Reforms Working Group - SWRG) was appointed by the BFUG at its meeting in Nicosia on August 28 </w:t>
      </w:r>
      <w:r>
        <w:rPr>
          <w:rFonts w:ascii="Arial Unicode MS"/>
        </w:rPr>
        <w:t>–</w:t>
      </w:r>
      <w:r>
        <w:rPr>
          <w:rFonts w:ascii="Arial Unicode MS"/>
        </w:rPr>
        <w:t xml:space="preserve"> </w:t>
      </w:r>
      <w:r>
        <w:t xml:space="preserve">29, 2012.  The SRWG is one of four working groups appointed for the 2012 </w:t>
      </w:r>
      <w:r>
        <w:rPr>
          <w:rFonts w:ascii="Arial Unicode MS"/>
        </w:rPr>
        <w:t>–</w:t>
      </w:r>
      <w:r>
        <w:rPr>
          <w:rFonts w:ascii="Arial Unicode MS"/>
        </w:rPr>
        <w:t xml:space="preserve"> </w:t>
      </w:r>
      <w:r>
        <w:t xml:space="preserve">15 work program. While each working group </w:t>
      </w:r>
      <w:r>
        <w:rPr>
          <w:rFonts w:ascii="Arial Unicode MS"/>
        </w:rPr>
        <w:t>–</w:t>
      </w:r>
      <w:r>
        <w:rPr>
          <w:rFonts w:ascii="Arial Unicode MS"/>
        </w:rPr>
        <w:t xml:space="preserve"> </w:t>
      </w:r>
      <w:r>
        <w:t xml:space="preserve">perhaps with the exception of the Implementation WG - has had a broader mandate than previous working groups, it is fair to say that the SRWG has had the broadest mandate of all groups.  This is reflected in the four policy areas - quality assurance, qualifications frameworks, the recognition of qualifications, and transparency instruments </w:t>
      </w:r>
      <w:r>
        <w:rPr>
          <w:rFonts w:ascii="Arial Unicode MS"/>
        </w:rPr>
        <w:t>–</w:t>
      </w:r>
      <w:r>
        <w:rPr>
          <w:rFonts w:ascii="Arial Unicode MS"/>
        </w:rPr>
        <w:t xml:space="preserve"> </w:t>
      </w:r>
      <w:r>
        <w:t xml:space="preserve">included in its mandate as well as  in the fact that all except one of the sub-structures appointed for the 2012 </w:t>
      </w:r>
      <w:r>
        <w:rPr>
          <w:rFonts w:ascii="Arial Unicode MS"/>
        </w:rPr>
        <w:t>–</w:t>
      </w:r>
      <w:r>
        <w:rPr>
          <w:rFonts w:ascii="Arial Unicode MS"/>
        </w:rPr>
        <w:t xml:space="preserve"> </w:t>
      </w:r>
      <w:r>
        <w:t>15 work program came under the responsibility of the SRWG. The substructures</w:t>
      </w:r>
      <w:r w:rsidR="009E204C">
        <w:br/>
      </w:r>
    </w:p>
    <w:p w14:paraId="7BB20160" w14:textId="77777777" w:rsidR="00080625" w:rsidRDefault="00080625" w:rsidP="004A614A">
      <w:pPr>
        <w:pStyle w:val="ListParagraph"/>
        <w:numPr>
          <w:ilvl w:val="0"/>
          <w:numId w:val="5"/>
        </w:numPr>
      </w:pPr>
      <w:r>
        <w:t xml:space="preserve">The </w:t>
      </w:r>
      <w:r>
        <w:rPr>
          <w:i/>
          <w:iCs/>
        </w:rPr>
        <w:t>ad hoc</w:t>
      </w:r>
      <w:r>
        <w:t xml:space="preserve"> working group on third cycle qualifications</w:t>
      </w:r>
    </w:p>
    <w:p w14:paraId="76EBA793" w14:textId="77777777" w:rsidR="00080625" w:rsidRDefault="00080625" w:rsidP="004A614A">
      <w:pPr>
        <w:pStyle w:val="ListParagraph"/>
        <w:numPr>
          <w:ilvl w:val="0"/>
          <w:numId w:val="6"/>
        </w:numPr>
      </w:pPr>
      <w:r>
        <w:t xml:space="preserve">The </w:t>
      </w:r>
      <w:r>
        <w:rPr>
          <w:i/>
          <w:iCs/>
        </w:rPr>
        <w:t>ad hoc</w:t>
      </w:r>
      <w:r>
        <w:t xml:space="preserve"> working group on revising the ECTS users</w:t>
      </w:r>
      <w:r>
        <w:t>’</w:t>
      </w:r>
      <w:r>
        <w:t xml:space="preserve"> Guide</w:t>
      </w:r>
    </w:p>
    <w:p w14:paraId="49889B3A" w14:textId="77777777" w:rsidR="00080625" w:rsidRDefault="00080625" w:rsidP="004A614A">
      <w:pPr>
        <w:pStyle w:val="ListParagraph"/>
        <w:numPr>
          <w:ilvl w:val="0"/>
          <w:numId w:val="7"/>
        </w:numPr>
      </w:pPr>
      <w:r>
        <w:t>The network of national correspondents for qualifications frameworks</w:t>
      </w:r>
    </w:p>
    <w:p w14:paraId="18B7DE68" w14:textId="77777777" w:rsidR="00080625" w:rsidRDefault="00080625" w:rsidP="004A614A">
      <w:pPr>
        <w:pStyle w:val="ListParagraph"/>
        <w:numPr>
          <w:ilvl w:val="0"/>
          <w:numId w:val="8"/>
        </w:numPr>
      </w:pPr>
      <w:r>
        <w:t>The network on the recognition of prior learning</w:t>
      </w:r>
    </w:p>
    <w:p w14:paraId="60DC098E" w14:textId="77777777" w:rsidR="00FD436E" w:rsidRDefault="00FD436E" w:rsidP="00FD436E">
      <w:pPr>
        <w:pStyle w:val="Body"/>
      </w:pPr>
    </w:p>
    <w:p w14:paraId="74677B41" w14:textId="77777777" w:rsidR="00080625" w:rsidRDefault="00080625" w:rsidP="00FD436E">
      <w:pPr>
        <w:pStyle w:val="NoSpacing"/>
        <w:jc w:val="both"/>
      </w:pPr>
      <w:r>
        <w:t xml:space="preserve">have reported to the SRWG and have, with the exception of the network on prior learning, contributed to the present report.  The terms of reference of the SRWG and its substructures are reproduced in Appendices 1 </w:t>
      </w:r>
      <w:r>
        <w:rPr>
          <w:rFonts w:ascii="Arial Unicode MS"/>
        </w:rPr>
        <w:t>–</w:t>
      </w:r>
      <w:r>
        <w:rPr>
          <w:rFonts w:ascii="Arial Unicode MS"/>
        </w:rPr>
        <w:t xml:space="preserve"> </w:t>
      </w:r>
      <w:r>
        <w:t>5.</w:t>
      </w:r>
    </w:p>
    <w:p w14:paraId="40F05151" w14:textId="77777777" w:rsidR="00FD436E" w:rsidRDefault="00FD436E" w:rsidP="00FD436E">
      <w:pPr>
        <w:pStyle w:val="NoSpacing"/>
        <w:jc w:val="both"/>
      </w:pPr>
    </w:p>
    <w:p w14:paraId="5E6C6F0F" w14:textId="77777777" w:rsidR="00FD436E" w:rsidRDefault="00080625" w:rsidP="00FD436E">
      <w:pPr>
        <w:pStyle w:val="NoSpacing"/>
        <w:jc w:val="both"/>
      </w:pPr>
      <w:r>
        <w:t xml:space="preserve">The main reason why the BFUG decided to appoint only four working groups in the 2012 </w:t>
      </w:r>
      <w:r>
        <w:rPr>
          <w:rFonts w:ascii="Arial Unicode MS"/>
        </w:rPr>
        <w:t>–</w:t>
      </w:r>
      <w:r>
        <w:rPr>
          <w:rFonts w:ascii="Arial Unicode MS"/>
        </w:rPr>
        <w:t xml:space="preserve"> </w:t>
      </w:r>
      <w:r>
        <w:t xml:space="preserve">15 program, and to give each one a broad mandate, was a desire to provide a more coherent context and framework for the further development of the European Higher Education Area. This was not least the case for structural reforms, which have been one of the hallmarks of the EHEA. </w:t>
      </w:r>
    </w:p>
    <w:p w14:paraId="00ED7C1A" w14:textId="77777777" w:rsidR="00FD436E" w:rsidRDefault="00FD436E" w:rsidP="00FD436E">
      <w:pPr>
        <w:pStyle w:val="NoSpacing"/>
        <w:jc w:val="both"/>
      </w:pPr>
    </w:p>
    <w:p w14:paraId="31BEA945" w14:textId="77777777" w:rsidR="00080625" w:rsidRDefault="00080625" w:rsidP="00FD436E">
      <w:pPr>
        <w:pStyle w:val="NoSpacing"/>
        <w:jc w:val="both"/>
      </w:pPr>
      <w:r>
        <w:t xml:space="preserve">While important reforms have been devised and implemented </w:t>
      </w:r>
      <w:r>
        <w:rPr>
          <w:rFonts w:ascii="Arial Unicode MS"/>
        </w:rPr>
        <w:t>–</w:t>
      </w:r>
      <w:r>
        <w:rPr>
          <w:rFonts w:ascii="Arial Unicode MS"/>
        </w:rPr>
        <w:t xml:space="preserve"> </w:t>
      </w:r>
      <w:r>
        <w:t xml:space="preserve">at least to a considerable extent - in each of the four policy areas covered by the SRWG there was also a feeling that these reforms had been developed with insufficient attention to the overall effects of structural reforms. </w:t>
      </w:r>
    </w:p>
    <w:p w14:paraId="7A707BE7" w14:textId="77777777" w:rsidR="00080625" w:rsidRDefault="00080625" w:rsidP="00FD436E">
      <w:pPr>
        <w:pStyle w:val="Body"/>
        <w:jc w:val="both"/>
      </w:pPr>
      <w:r>
        <w:t xml:space="preserve">The BFUG therefore decided to appoint a single working group for all areas of structural reforms rather than separate groups for each policy area, as in previous work programs. This is reflected in a very broad and detailed mandate as well as in the overwhelming interest expressed by BFUG members and consultative members in the SRWG.  </w:t>
      </w:r>
    </w:p>
    <w:p w14:paraId="484E4F55" w14:textId="77777777" w:rsidR="00FD436E" w:rsidRDefault="00FD436E" w:rsidP="00FD436E">
      <w:pPr>
        <w:pStyle w:val="NoSpacing"/>
      </w:pPr>
    </w:p>
    <w:p w14:paraId="7F463C3A" w14:textId="77777777" w:rsidR="00080625" w:rsidRDefault="00080625" w:rsidP="00FD436E">
      <w:pPr>
        <w:pStyle w:val="NoSpacing"/>
        <w:jc w:val="both"/>
      </w:pPr>
      <w:r>
        <w:t xml:space="preserve">The SRWG has been co-chaired by Sjur Bergan (Council of Europe </w:t>
      </w:r>
      <w:r>
        <w:rPr>
          <w:rFonts w:ascii="Arial Unicode MS"/>
        </w:rPr>
        <w:t>–</w:t>
      </w:r>
      <w:r>
        <w:rPr>
          <w:rFonts w:ascii="Arial Unicode MS"/>
        </w:rPr>
        <w:t xml:space="preserve"> </w:t>
      </w:r>
      <w:r w:rsidRPr="003B23C3">
        <w:t>coordinator), Bart</w:t>
      </w:r>
      <w:r>
        <w:rPr>
          <w:rFonts w:ascii="Arial Unicode MS"/>
        </w:rPr>
        <w:t>ł</w:t>
      </w:r>
      <w:r>
        <w:t>omiej Banaszak (Poland), Fr. Friedrich Bechina, FSO (Holy See) and No</w:t>
      </w:r>
      <w:r w:rsidRPr="003B23C3">
        <w:t>ë</w:t>
      </w:r>
      <w:r>
        <w:t xml:space="preserve">l Vercruysse (Flemish Community of Belgium).  The co-chairs have also drafted the report, with contributions by some members of the SRWG for specific points. Three of the four sub-structures – the </w:t>
      </w:r>
      <w:r w:rsidRPr="003B23C3">
        <w:rPr>
          <w:i/>
        </w:rPr>
        <w:t>ad hoc</w:t>
      </w:r>
      <w:r>
        <w:t xml:space="preserve"> working group on doctoral qualifications, the </w:t>
      </w:r>
      <w:r w:rsidRPr="003B23C3">
        <w:rPr>
          <w:i/>
        </w:rPr>
        <w:t>ad hoc</w:t>
      </w:r>
      <w:r>
        <w:t xml:space="preserve"> group on the ECTS Users’ Guide, and the Network of national correspondents for qualifications frameworks – have also contributed to the report. Regrettably, no substantial contribution has been received from the Network on the recognition of prior learning. The BFUG Secretariat, represented by its Head, Gayane Harutyunyan, and by </w:t>
      </w:r>
      <w:r>
        <w:lastRenderedPageBreak/>
        <w:t>Ani Hakobyan, has provided the secretariat for the Group. Some 40 BFUG members and consultative members have participated in the work of the SRWG and the full list of members is provided in Appendix 6.  The extensive membership of the group means that the SRWG has been broadly representative of both the members and the consultative members of the BFUG even if, for some members, the need to cover the cost of their own participation may have been an obstacle. The sub-structures have in part been represented in the SRWG. In addition, the Co-Chairs of the SRWG have met with the co-chairs of the sub-structures on several occasions.</w:t>
      </w:r>
    </w:p>
    <w:p w14:paraId="448180CB" w14:textId="77777777" w:rsidR="00080625" w:rsidRDefault="00080625" w:rsidP="00FD436E">
      <w:pPr>
        <w:pStyle w:val="Body"/>
      </w:pPr>
    </w:p>
    <w:p w14:paraId="3736D22D" w14:textId="77777777" w:rsidR="00080625" w:rsidRDefault="00080625" w:rsidP="00FD436E">
      <w:pPr>
        <w:pStyle w:val="Body"/>
        <w:rPr>
          <w:rFonts w:ascii="Times New Roman Bold" w:eastAsia="Times New Roman Bold" w:hAnsi="Times New Roman Bold" w:cs="Times New Roman Bold"/>
        </w:rPr>
      </w:pPr>
      <w:r>
        <w:rPr>
          <w:rFonts w:ascii="Times New Roman Bold"/>
        </w:rPr>
        <w:t>I.2</w:t>
      </w:r>
      <w:r>
        <w:rPr>
          <w:rFonts w:ascii="Times New Roman Bold"/>
        </w:rPr>
        <w:tab/>
        <w:t xml:space="preserve">STRUCTURE AND EMPHASIS </w:t>
      </w:r>
    </w:p>
    <w:p w14:paraId="4D29C770" w14:textId="77777777" w:rsidR="00FD436E" w:rsidRDefault="00FD436E" w:rsidP="00FD436E">
      <w:pPr>
        <w:pStyle w:val="Body"/>
      </w:pPr>
    </w:p>
    <w:p w14:paraId="56D4EB47" w14:textId="77777777" w:rsidR="00080625" w:rsidRDefault="00080625" w:rsidP="00FD436E">
      <w:pPr>
        <w:pStyle w:val="NoSpacing"/>
        <w:jc w:val="both"/>
      </w:pPr>
      <w:r>
        <w:t xml:space="preserve">In line with the desire to see the four policy areas covered by the SRWG in context, this report emphasizes overarching issues of structural reforms. It covers all elements specified in its terms of reference but not in the order listed in the ToR.  Since many of the elements of the ToR are specific to a single policy area, this report also seeks to deal with several elements in context.  Readers should therefore not expect to find specific chapters or sub-chapters for each item of the ToR. The report underlines that, even if a broad diversity will continue to exist with regard to qualifications frameworks and quality assurance, structural reforms have to be coherent and they need to be implemented properly and timely. This is why the SRWG puts forward a proposal, in chapter III, to make the European </w:t>
      </w:r>
      <w:r w:rsidR="00510CE8">
        <w:t>Higher</w:t>
      </w:r>
      <w:r>
        <w:t xml:space="preserve"> Education Area a European area for transparency and recognition. The SRWG believes the proposals it puts forward to the BFUG </w:t>
      </w:r>
      <w:r>
        <w:rPr>
          <w:rFonts w:ascii="Arial Unicode MS"/>
        </w:rPr>
        <w:t>–</w:t>
      </w:r>
      <w:r>
        <w:rPr>
          <w:rFonts w:ascii="Arial Unicode MS"/>
        </w:rPr>
        <w:t xml:space="preserve"> </w:t>
      </w:r>
      <w:r>
        <w:t xml:space="preserve">and through the BFUG to the Yerevan ministerial conference </w:t>
      </w:r>
      <w:r>
        <w:rPr>
          <w:rFonts w:ascii="Arial Unicode MS"/>
        </w:rPr>
        <w:t>–</w:t>
      </w:r>
      <w:r>
        <w:rPr>
          <w:rFonts w:ascii="Arial Unicode MS"/>
        </w:rPr>
        <w:t xml:space="preserve"> </w:t>
      </w:r>
      <w:r>
        <w:t>will help further this essential goal</w:t>
      </w:r>
      <w:r w:rsidR="00E27BB1">
        <w:t xml:space="preserve"> and will contribute to a better common understanding of the importance of those structural reforms</w:t>
      </w:r>
      <w:r>
        <w:t>.</w:t>
      </w:r>
    </w:p>
    <w:p w14:paraId="4152E998" w14:textId="77777777" w:rsidR="00FD436E" w:rsidRDefault="00FD436E" w:rsidP="00FD436E">
      <w:pPr>
        <w:pStyle w:val="Body"/>
        <w:jc w:val="both"/>
      </w:pPr>
    </w:p>
    <w:p w14:paraId="24D84E27" w14:textId="77777777" w:rsidR="00080625" w:rsidRDefault="00080625" w:rsidP="00FD436E">
      <w:pPr>
        <w:pStyle w:val="Body"/>
        <w:jc w:val="both"/>
      </w:pPr>
      <w:r>
        <w:t>There was some discussion in the SRWG on whether the report should mainly focus on policy recommendations or also include an overview of the implementation of adopted policy measures in EHEA countries.  While there is inevitably a measure of both in the report, the emphasis is on policy recommendations. The main reason for this is that the BFUG appointed a separate working group to report on the implementation of the European Higher Education Area (hereafter: the Implementation WG).  Should the SRWG have made the implementation of structural reforms a mainstay of its report, this would have implied either a repetition of information provided by the Implementation WG or requiring EHEA countries to undertake a supplementary reporting exercise to provide information on structural reforms in addition to the quite extensive information requested by the Implementation WG. Neither option seemed advisable, and this was further underscored by the fact that whereas the SRWG was required to submit its draft report in fall 2014, as were two other working groups, the Implementation WG was given a deadline in early 2015 to ensure that the Implementation report a far as possible be based on updated information.  A separate reporting exercise by the SRWG would therefore also have been based on less updated information than that of the Implementation WG and the risk of unintended discrepancies between the two would have been very real.</w:t>
      </w:r>
    </w:p>
    <w:p w14:paraId="193AF128" w14:textId="77777777" w:rsidR="00FD436E" w:rsidRDefault="00FD436E" w:rsidP="00FD436E">
      <w:pPr>
        <w:pStyle w:val="Body"/>
      </w:pPr>
    </w:p>
    <w:p w14:paraId="05424DD9" w14:textId="77777777" w:rsidR="00080625" w:rsidRDefault="00080625" w:rsidP="00FD436E">
      <w:pPr>
        <w:pStyle w:val="Body"/>
        <w:jc w:val="both"/>
      </w:pPr>
      <w:r>
        <w:t>Ideally, the information provided by the Implementation WG would have provided a basis on which the SRWG could consider measures to improve implementation in areas where implementation is unsatisfactory.  However, given the timetable, this was not possible.</w:t>
      </w:r>
    </w:p>
    <w:p w14:paraId="5BB127CA" w14:textId="77777777" w:rsidR="00FD436E" w:rsidRDefault="00FD436E" w:rsidP="00FD436E">
      <w:pPr>
        <w:pStyle w:val="Body"/>
        <w:jc w:val="both"/>
      </w:pPr>
    </w:p>
    <w:p w14:paraId="365065CC" w14:textId="77777777" w:rsidR="00080625" w:rsidRDefault="00080625" w:rsidP="00FD436E">
      <w:pPr>
        <w:pStyle w:val="Body"/>
        <w:jc w:val="both"/>
      </w:pPr>
      <w:r>
        <w:t xml:space="preserve">However, the SRWG wishes to underline that all available evidence indicates that the implementation of structural reforms is uneven throughout the EHEA and according to policy </w:t>
      </w:r>
      <w:r>
        <w:lastRenderedPageBreak/>
        <w:t>area. For example, not all countries of the EHEA have yet developed their national qualifications frameworks and self-certified them against the overarching framework of qualifications of the EHEA (QF-EHEA).  Not all quality assurance agencies operating in the EHEA do so in full accordance with the Standards and Guidelines for Quality Assurance in the European Higher Education Area (ESG). It is therefore essential that the BFUG co-chairs and the Bologna Secretariat be mandated to contact the competent authorities of EHEA members with an unsatisfactory implementation in the 2015 EHEA Implementation report by the end of 2015 with offers of assistance and to report back on the outcomes of such assistance in time for the 2018 ministerial conference.</w:t>
      </w:r>
    </w:p>
    <w:p w14:paraId="455E0EC9" w14:textId="77777777" w:rsidR="00080625" w:rsidRDefault="00080625" w:rsidP="00FD436E">
      <w:pPr>
        <w:pStyle w:val="Body"/>
      </w:pPr>
    </w:p>
    <w:p w14:paraId="446A2064" w14:textId="77777777" w:rsidR="00FD436E" w:rsidRDefault="00080625" w:rsidP="00FD436E">
      <w:pPr>
        <w:pStyle w:val="NoSpacing"/>
        <w:jc w:val="both"/>
      </w:pPr>
      <w:r>
        <w:t xml:space="preserve">The report, then, aims to develop policy recommendations for how structural reforms should develop as a key part of the European Higher Education Area over the next few years, at least until 2020.   The point should perhaps be made that, in the same way that building a European Higher Education Area by 2010 once seemed like a long term, distant goal but shortly thereafter seemed like </w:t>
      </w:r>
      <w:r>
        <w:rPr>
          <w:rFonts w:ascii="Arial Unicode MS"/>
        </w:rPr>
        <w:t>“</w:t>
      </w:r>
      <w:r>
        <w:t>only tomorrow</w:t>
      </w:r>
      <w:r>
        <w:rPr>
          <w:rFonts w:ascii="Arial Unicode MS"/>
        </w:rPr>
        <w:t>”</w:t>
      </w:r>
      <w:r>
        <w:t xml:space="preserve">, 2020 will by the time Ministers meet in Yerevan at most be a medium term goal. It may be worth recalling that the Yerevan ministerial conference in 2015 will mark the midterm of the second period of the EHEA, as the Bergen ministerial conference in 2005 marked the mid-term of the first period (1999 </w:t>
      </w:r>
      <w:r>
        <w:rPr>
          <w:rFonts w:ascii="Arial Unicode MS"/>
        </w:rPr>
        <w:t>–</w:t>
      </w:r>
      <w:r>
        <w:rPr>
          <w:rFonts w:ascii="Arial Unicode MS"/>
        </w:rPr>
        <w:t xml:space="preserve"> </w:t>
      </w:r>
      <w:r>
        <w:t xml:space="preserve">2010).  It is recalled that in Bergen, </w:t>
      </w:r>
    </w:p>
    <w:p w14:paraId="36698155" w14:textId="77777777" w:rsidR="00080625" w:rsidRDefault="00080625" w:rsidP="00FD436E">
      <w:pPr>
        <w:pStyle w:val="NoSpacing"/>
      </w:pPr>
      <w:r>
        <w:t>Ministers adopted the QF-EHEA as well as the ESG. As mentioned, the SRWG now puts forward a proposal for a European area for transparency and recognition</w:t>
      </w:r>
      <w:r w:rsidR="00FD436E">
        <w:t>.</w:t>
      </w:r>
    </w:p>
    <w:p w14:paraId="08936E07" w14:textId="77777777" w:rsidR="00FD436E" w:rsidRDefault="00FD436E" w:rsidP="00FD436E">
      <w:pPr>
        <w:pStyle w:val="Body"/>
      </w:pPr>
    </w:p>
    <w:p w14:paraId="1AF0B559" w14:textId="77777777" w:rsidR="00080625" w:rsidRDefault="00080625" w:rsidP="00FD436E">
      <w:pPr>
        <w:pStyle w:val="Body"/>
        <w:jc w:val="both"/>
      </w:pPr>
      <w:r>
        <w:t>The report seeks to balance very extensive terms of reference with the need to focus attention on a limited set of politically pertinent recommendations. It seeks to square this particular circle by highlighting its main political recommendation in the executive summary, which will also give readers a fair idea of the main thrust of the report, and then by supporting the main recommendations by more developed treatment of main issues as well as by putting forward a set of more technical recommendations in the main body of the report, which the SRWG assumes will have a narrower but more specialist readership. The report will not give separate consideration to each and every element of its terms of Reference but will seek to cross reference to the ToR whenever possible and meaningful.</w:t>
      </w:r>
    </w:p>
    <w:p w14:paraId="1F69D0A8" w14:textId="77777777" w:rsidR="00FD436E" w:rsidRDefault="00FD436E" w:rsidP="00FD436E">
      <w:pPr>
        <w:pStyle w:val="Body"/>
      </w:pPr>
    </w:p>
    <w:p w14:paraId="39766EC9" w14:textId="77777777" w:rsidR="00080625" w:rsidRDefault="00080625" w:rsidP="00FD436E">
      <w:pPr>
        <w:pStyle w:val="Body"/>
      </w:pPr>
      <w:r>
        <w:t>For each of the issues addressed in this report, the SRWG aims to cover:</w:t>
      </w:r>
    </w:p>
    <w:p w14:paraId="0F84DFE0" w14:textId="77777777" w:rsidR="00FD436E" w:rsidRDefault="00FD436E" w:rsidP="00080625">
      <w:pPr>
        <w:pStyle w:val="Body"/>
        <w:ind w:left="567" w:right="713"/>
        <w:rPr>
          <w:b/>
          <w:bCs/>
          <w:i/>
          <w:iCs/>
        </w:rPr>
      </w:pPr>
    </w:p>
    <w:p w14:paraId="778D5975" w14:textId="77777777" w:rsidR="00080625" w:rsidRDefault="00080625" w:rsidP="00080625">
      <w:pPr>
        <w:pStyle w:val="Body"/>
        <w:ind w:left="567" w:right="713"/>
        <w:rPr>
          <w:b/>
          <w:bCs/>
          <w:i/>
          <w:iCs/>
        </w:rPr>
      </w:pPr>
      <w:r>
        <w:rPr>
          <w:b/>
          <w:bCs/>
          <w:i/>
          <w:iCs/>
        </w:rPr>
        <w:t>Concept</w:t>
      </w:r>
    </w:p>
    <w:p w14:paraId="04ADC97B" w14:textId="77777777" w:rsidR="00080625" w:rsidRDefault="00080625" w:rsidP="00080625">
      <w:pPr>
        <w:pStyle w:val="Body"/>
        <w:ind w:left="567" w:right="713"/>
      </w:pPr>
      <w:r>
        <w:t>What is the concept covered? Is the concept clear or is there a need for the EHEA, at the competent level (Ministers, BFUG, Working Group, as the case may be) to clarify the concept?</w:t>
      </w:r>
    </w:p>
    <w:p w14:paraId="1A171D6C" w14:textId="77777777" w:rsidR="00080625" w:rsidRDefault="00080625" w:rsidP="00080625">
      <w:pPr>
        <w:pStyle w:val="Body"/>
        <w:ind w:left="567" w:right="713"/>
      </w:pPr>
    </w:p>
    <w:p w14:paraId="03D07262" w14:textId="77777777" w:rsidR="00080625" w:rsidRDefault="00080625" w:rsidP="00080625">
      <w:pPr>
        <w:pStyle w:val="Body"/>
        <w:ind w:left="567" w:right="713"/>
        <w:rPr>
          <w:b/>
          <w:bCs/>
          <w:i/>
          <w:iCs/>
        </w:rPr>
      </w:pPr>
      <w:r>
        <w:rPr>
          <w:b/>
          <w:bCs/>
          <w:i/>
          <w:iCs/>
        </w:rPr>
        <w:t>Description</w:t>
      </w:r>
    </w:p>
    <w:p w14:paraId="6EC0CB47" w14:textId="77777777" w:rsidR="00080625" w:rsidRDefault="00080625" w:rsidP="00080625">
      <w:pPr>
        <w:pStyle w:val="Body"/>
        <w:ind w:left="567" w:right="713"/>
      </w:pPr>
      <w:r>
        <w:t>A brief description of the issue and how it relates to structural reform, as well as of the level(s) (EHEA, regional, national, institutional) concerned.</w:t>
      </w:r>
    </w:p>
    <w:p w14:paraId="75434D0A" w14:textId="77777777" w:rsidR="00080625" w:rsidRDefault="00080625" w:rsidP="00080625">
      <w:pPr>
        <w:pStyle w:val="Body"/>
        <w:ind w:left="567" w:right="713"/>
      </w:pPr>
    </w:p>
    <w:p w14:paraId="31EF685A" w14:textId="77777777" w:rsidR="00080625" w:rsidRDefault="00080625" w:rsidP="00080625">
      <w:pPr>
        <w:pStyle w:val="Body"/>
        <w:ind w:left="567" w:right="713"/>
        <w:rPr>
          <w:b/>
          <w:bCs/>
          <w:i/>
          <w:iCs/>
        </w:rPr>
      </w:pPr>
      <w:r>
        <w:rPr>
          <w:b/>
          <w:bCs/>
          <w:i/>
          <w:iCs/>
        </w:rPr>
        <w:t>Issue</w:t>
      </w:r>
    </w:p>
    <w:p w14:paraId="488317F1" w14:textId="77777777" w:rsidR="00080625" w:rsidRDefault="00080625" w:rsidP="00080625">
      <w:pPr>
        <w:pStyle w:val="Body"/>
        <w:ind w:left="567" w:right="713"/>
      </w:pPr>
      <w:r>
        <w:t>What is the direct issue that needs to be addressed? What is the problem and why is it a part of the report?</w:t>
      </w:r>
    </w:p>
    <w:p w14:paraId="683A4AD2" w14:textId="77777777" w:rsidR="00080625" w:rsidRDefault="00080625" w:rsidP="00080625">
      <w:pPr>
        <w:pStyle w:val="Body"/>
        <w:ind w:left="567" w:right="713"/>
      </w:pPr>
    </w:p>
    <w:p w14:paraId="1F554510" w14:textId="77777777" w:rsidR="00FD436E" w:rsidRDefault="00FD436E" w:rsidP="00080625">
      <w:pPr>
        <w:pStyle w:val="Body"/>
        <w:ind w:left="567" w:right="713"/>
        <w:rPr>
          <w:b/>
          <w:bCs/>
          <w:i/>
          <w:iCs/>
        </w:rPr>
      </w:pPr>
    </w:p>
    <w:p w14:paraId="25474A6F" w14:textId="77777777" w:rsidR="00080625" w:rsidRDefault="00080625" w:rsidP="00080625">
      <w:pPr>
        <w:pStyle w:val="Body"/>
        <w:ind w:left="567" w:right="713"/>
        <w:rPr>
          <w:b/>
          <w:bCs/>
          <w:i/>
          <w:iCs/>
        </w:rPr>
      </w:pPr>
      <w:r w:rsidRPr="00EA1551">
        <w:rPr>
          <w:b/>
          <w:bCs/>
          <w:i/>
          <w:iCs/>
        </w:rPr>
        <w:t>Solution(s)/Recommendation(s)</w:t>
      </w:r>
    </w:p>
    <w:p w14:paraId="3AFF5313" w14:textId="77777777" w:rsidR="00080625" w:rsidRDefault="00080625" w:rsidP="00FD436E">
      <w:pPr>
        <w:pStyle w:val="NoSpacing"/>
        <w:ind w:left="567"/>
      </w:pPr>
      <w:r>
        <w:t xml:space="preserve">What does the SRWG recommend in response to the issue? This may not only be an issue of “what?” but also of “who?”, “how?” and “by when?” </w:t>
      </w:r>
    </w:p>
    <w:p w14:paraId="7022D611" w14:textId="77777777" w:rsidR="00080625" w:rsidRDefault="00080625" w:rsidP="00080625">
      <w:pPr>
        <w:pStyle w:val="Body"/>
      </w:pPr>
    </w:p>
    <w:p w14:paraId="037B4609" w14:textId="77777777" w:rsidR="00080625" w:rsidRPr="003B23C3" w:rsidRDefault="00080625" w:rsidP="00080625">
      <w:pPr>
        <w:pStyle w:val="Body"/>
        <w:rPr>
          <w:b/>
          <w:i/>
        </w:rPr>
      </w:pPr>
      <w:r w:rsidRPr="003B23C3">
        <w:rPr>
          <w:b/>
          <w:i/>
        </w:rPr>
        <w:t>Recommendation</w:t>
      </w:r>
    </w:p>
    <w:p w14:paraId="2B3A847D" w14:textId="77777777" w:rsidR="00080625" w:rsidRDefault="00080625" w:rsidP="00080625">
      <w:pPr>
        <w:pStyle w:val="Body"/>
      </w:pPr>
    </w:p>
    <w:p w14:paraId="7EF9723E" w14:textId="77777777" w:rsidR="00080625" w:rsidRDefault="00080625" w:rsidP="00B40521">
      <w:pPr>
        <w:pStyle w:val="ListParagraph"/>
        <w:numPr>
          <w:ilvl w:val="0"/>
          <w:numId w:val="56"/>
        </w:numPr>
        <w:ind w:left="709" w:hanging="709"/>
      </w:pPr>
      <w:r>
        <w:t>Countries are encouraged to draw on the experience of other EHEA partners in implementing structural reforms, e.g. through peer learning activities or targeted advice</w:t>
      </w:r>
      <w:r w:rsidR="00203E77">
        <w:t>, also with a view to build the capacity to implement EHEA reforms at grass roots level, also with a view to build the capacity to implement EHEA reforms at grass roots level</w:t>
      </w:r>
      <w:r>
        <w:t>. The BFUG co-chairs and the Bologna Secretariat are mandated to contact the competent authorities of EHEA members with an unsatisfactory implementation of structural reforms in the 2015 EHEA Implementation report by the end of 2015 with offers of assistance and to report back on the outcomes of such assistance in time for the 2018 ministerial conference.</w:t>
      </w:r>
    </w:p>
    <w:p w14:paraId="42A0B5A0" w14:textId="77777777" w:rsidR="00080625" w:rsidRDefault="00080625" w:rsidP="00080625">
      <w:pPr>
        <w:pStyle w:val="Body"/>
      </w:pPr>
    </w:p>
    <w:p w14:paraId="2A6493C4" w14:textId="77777777" w:rsidR="00080625" w:rsidRDefault="00080625" w:rsidP="00080625">
      <w:pPr>
        <w:pStyle w:val="Body"/>
        <w:rPr>
          <w:rFonts w:ascii="Times New Roman Bold" w:eastAsia="Times New Roman Bold" w:hAnsi="Times New Roman Bold" w:cs="Times New Roman Bold"/>
        </w:rPr>
      </w:pPr>
      <w:r>
        <w:rPr>
          <w:rFonts w:ascii="Times New Roman Bold"/>
        </w:rPr>
        <w:t>I.3</w:t>
      </w:r>
      <w:r>
        <w:rPr>
          <w:rFonts w:ascii="Times New Roman Bold"/>
        </w:rPr>
        <w:tab/>
        <w:t>TARGET GROUPS FOR THIS REPORT</w:t>
      </w:r>
    </w:p>
    <w:p w14:paraId="6F859B78" w14:textId="77777777" w:rsidR="00FD436E" w:rsidRDefault="00FD436E" w:rsidP="00080625"/>
    <w:p w14:paraId="73AA3F8E" w14:textId="77777777" w:rsidR="00080625" w:rsidRPr="004A4FAE" w:rsidRDefault="00080625" w:rsidP="00080625">
      <w:r>
        <w:t xml:space="preserve">The main target group for this report is higher education policy makers in public authorities, institutions, and stakeholder organizations. Since structural reforms mainly concern education </w:t>
      </w:r>
      <w:r>
        <w:rPr>
          <w:i/>
          <w:iCs/>
        </w:rPr>
        <w:t>systems</w:t>
      </w:r>
      <w:r>
        <w:t xml:space="preserve">, most recommendations are directed at the public authorities responsible for those systems. Nevertheless, as we underline strongly in the report, structures will not work unless they are implemented and uneven implementation of seemingly coherent structures could even undo important aspects of the European Higher Education Area. Therefore, leaders and policy makers at higher education institutions and in higher education organizations, including those of students and staff, are also important target groups for this report.  </w:t>
      </w:r>
      <w:r w:rsidRPr="004A4FAE">
        <w:t xml:space="preserve">While the SRWG </w:t>
      </w:r>
      <w:r>
        <w:t xml:space="preserve">is not in the first place intended for </w:t>
      </w:r>
      <w:r w:rsidRPr="004A4FAE">
        <w:t xml:space="preserve">a broad public, we </w:t>
      </w:r>
      <w:r>
        <w:t>feel confident that its</w:t>
      </w:r>
      <w:r w:rsidRPr="004A4FAE">
        <w:t xml:space="preserve"> main recommendations will reach practitioners </w:t>
      </w:r>
      <w:r>
        <w:t xml:space="preserve">in various fields covered by the report, </w:t>
      </w:r>
      <w:r w:rsidRPr="004A4FAE">
        <w:t xml:space="preserve">through implementation activities </w:t>
      </w:r>
      <w:r>
        <w:t xml:space="preserve">and related initiatives </w:t>
      </w:r>
      <w:r w:rsidRPr="004A4FAE">
        <w:t>in EHEA member states.</w:t>
      </w:r>
    </w:p>
    <w:p w14:paraId="65551941" w14:textId="77777777" w:rsidR="00080625" w:rsidRDefault="00080625" w:rsidP="00080625">
      <w:pPr>
        <w:pStyle w:val="Body"/>
      </w:pPr>
    </w:p>
    <w:p w14:paraId="0CB6B765" w14:textId="77777777" w:rsidR="00080625" w:rsidRDefault="00080625" w:rsidP="00FD436E">
      <w:pPr>
        <w:pStyle w:val="Body"/>
        <w:ind w:left="720" w:hanging="720"/>
        <w:rPr>
          <w:rFonts w:ascii="Times New Roman Bold" w:eastAsia="Times New Roman Bold" w:hAnsi="Times New Roman Bold" w:cs="Times New Roman Bold"/>
        </w:rPr>
      </w:pPr>
      <w:r w:rsidRPr="00EA1551">
        <w:rPr>
          <w:rFonts w:ascii="Times New Roman Bold"/>
        </w:rPr>
        <w:t>I.4</w:t>
      </w:r>
      <w:r w:rsidRPr="00EA1551">
        <w:rPr>
          <w:rFonts w:ascii="Times New Roman Bold"/>
        </w:rPr>
        <w:tab/>
        <w:t>RELATIONSHIP TO THE OTHER EHEA WORKING GROUPS AND ACTIVITIES</w:t>
      </w:r>
    </w:p>
    <w:p w14:paraId="58A65CEE" w14:textId="77777777" w:rsidR="00FD436E" w:rsidRDefault="00FD436E" w:rsidP="00080625">
      <w:pPr>
        <w:pStyle w:val="Body"/>
      </w:pPr>
    </w:p>
    <w:p w14:paraId="0147FBFE" w14:textId="77777777" w:rsidR="00080625" w:rsidRDefault="00080625" w:rsidP="00FD436E">
      <w:pPr>
        <w:pStyle w:val="Body"/>
        <w:jc w:val="both"/>
      </w:pPr>
      <w:r>
        <w:t>In keeping with its ToR, the SRWG and its co-chairs have cooperated with the other EHEA working groups.  They have in particular consulted with the co-chairs of the Implementation WG but have also maintained contacts with the co-chairs of the WGs on internationalization and mobility and the social dimension and lifelong learning.</w:t>
      </w:r>
    </w:p>
    <w:p w14:paraId="419AF778" w14:textId="77777777" w:rsidR="00FD436E" w:rsidRDefault="00FD436E" w:rsidP="00FD436E">
      <w:pPr>
        <w:pStyle w:val="NoSpacing"/>
        <w:jc w:val="both"/>
      </w:pPr>
    </w:p>
    <w:p w14:paraId="71149946" w14:textId="77777777" w:rsidR="00080625" w:rsidRDefault="00080625" w:rsidP="00FD436E">
      <w:pPr>
        <w:pStyle w:val="NoSpacing"/>
        <w:jc w:val="both"/>
        <w:rPr>
          <w:u w:color="FF0000"/>
        </w:rPr>
      </w:pPr>
      <w:r>
        <w:t xml:space="preserve">At the proposal of the SRWG and the WG on internationalization and mobility, the BFUG appointed an </w:t>
      </w:r>
      <w:r>
        <w:rPr>
          <w:i/>
          <w:iCs/>
        </w:rPr>
        <w:t>ad hoc</w:t>
      </w:r>
      <w:r>
        <w:t xml:space="preserve"> group</w:t>
      </w:r>
      <w:r>
        <w:rPr>
          <w:rFonts w:eastAsia="Times New Roman"/>
          <w:vertAlign w:val="superscript"/>
        </w:rPr>
        <w:footnoteReference w:id="4"/>
      </w:r>
      <w:r>
        <w:t xml:space="preserve"> to make proposals concerning the quality assurance of joint programs and degrees.  The SRWG discussed the proposal by this </w:t>
      </w:r>
      <w:r>
        <w:rPr>
          <w:i/>
          <w:iCs/>
        </w:rPr>
        <w:t>ad hoc</w:t>
      </w:r>
      <w:r>
        <w:t xml:space="preserve"> group at two of its meetings and, with the WG on Internationalization and Mobility, recommended that the BFUG considers adoption of the proposal. </w:t>
      </w:r>
      <w:commentRangeStart w:id="2"/>
      <w:r>
        <w:rPr>
          <w:u w:color="FF0000"/>
        </w:rPr>
        <w:t xml:space="preserve">The report by this </w:t>
      </w:r>
      <w:r>
        <w:rPr>
          <w:i/>
          <w:iCs/>
          <w:u w:color="FF0000"/>
        </w:rPr>
        <w:t>ad hoc</w:t>
      </w:r>
      <w:r>
        <w:rPr>
          <w:u w:color="FF0000"/>
        </w:rPr>
        <w:t xml:space="preserve"> group was considered by the BFUG </w:t>
      </w:r>
      <w:r>
        <w:rPr>
          <w:u w:color="FF0000"/>
        </w:rPr>
        <w:lastRenderedPageBreak/>
        <w:t xml:space="preserve">at its meeting on April 9 </w:t>
      </w:r>
      <w:r>
        <w:rPr>
          <w:rFonts w:ascii="Arial Unicode MS"/>
          <w:u w:color="FF0000"/>
        </w:rPr>
        <w:t>–</w:t>
      </w:r>
      <w:r>
        <w:rPr>
          <w:rFonts w:ascii="Arial Unicode MS"/>
          <w:u w:color="FF0000"/>
        </w:rPr>
        <w:t xml:space="preserve"> </w:t>
      </w:r>
      <w:r>
        <w:rPr>
          <w:u w:color="FF0000"/>
        </w:rPr>
        <w:t>10, 2014 and was finally adopted by the BFUG at its meeting on September 16 – 17</w:t>
      </w:r>
      <w:r w:rsidR="00A1173D">
        <w:rPr>
          <w:u w:color="FF0000"/>
        </w:rPr>
        <w:t>, 2014</w:t>
      </w:r>
      <w:r>
        <w:rPr>
          <w:u w:color="FF0000"/>
        </w:rPr>
        <w:t xml:space="preserve">. </w:t>
      </w:r>
      <w:commentRangeEnd w:id="2"/>
      <w:r>
        <w:rPr>
          <w:rStyle w:val="CommentReference"/>
          <w:rFonts w:eastAsia="Times New Roman"/>
        </w:rPr>
        <w:commentReference w:id="2"/>
      </w:r>
      <w:r>
        <w:t xml:space="preserve">Two important activities of structural reforms were explicitly </w:t>
      </w:r>
      <w:r>
        <w:rPr>
          <w:i/>
          <w:iCs/>
        </w:rPr>
        <w:t>not</w:t>
      </w:r>
      <w:r>
        <w:t xml:space="preserve"> included in the ToR of the SRWG. The revision of the Standards and Guidelines for Quality Assurance in the European Higher Education Area (ESG) was conducted by a </w:t>
      </w:r>
      <w:r w:rsidRPr="003B23C3">
        <w:t>steering</w:t>
      </w:r>
      <w:r>
        <w:t xml:space="preserve"> group appointed by the E 4 Group organizations (ENQA, ESU, EUA, EURASHE) and Business Europe, Education International and EQAR.   Members of the SRWG who are also members of the BFUG contributed to the thematic session on the ESG organized at the BFUG meeting in Vilnius in November 2013 and the SRWG held an in-depth discussion of the revised ESG at its meeting in December 2013.   </w:t>
      </w:r>
    </w:p>
    <w:p w14:paraId="3E490033" w14:textId="77777777" w:rsidR="00FD436E" w:rsidRDefault="00FD436E" w:rsidP="00080625">
      <w:pPr>
        <w:pStyle w:val="Body"/>
      </w:pPr>
    </w:p>
    <w:p w14:paraId="1199826A" w14:textId="77777777" w:rsidR="00080625" w:rsidRDefault="00080625" w:rsidP="00FD436E">
      <w:pPr>
        <w:pStyle w:val="NoSpacing"/>
      </w:pPr>
      <w:r>
        <w:t>Proposals for the automatic recognition of qualifications have, as stipulated in the Bucharest Communiqu</w:t>
      </w:r>
      <w:r>
        <w:rPr>
          <w:rFonts w:ascii="Arial Unicode MS"/>
        </w:rPr>
        <w:t>é</w:t>
      </w:r>
      <w:r>
        <w:t xml:space="preserve">, been developed by a </w:t>
      </w:r>
      <w:r>
        <w:rPr>
          <w:rFonts w:ascii="Arial Unicode MS"/>
        </w:rPr>
        <w:t>“</w:t>
      </w:r>
      <w:r>
        <w:t>pathfinder group</w:t>
      </w:r>
      <w:r>
        <w:rPr>
          <w:rFonts w:ascii="Arial Unicode MS"/>
        </w:rPr>
        <w:t>”</w:t>
      </w:r>
      <w:r>
        <w:rPr>
          <w:rFonts w:ascii="Arial Unicode MS"/>
        </w:rPr>
        <w:t xml:space="preserve"> </w:t>
      </w:r>
      <w:r>
        <w:t>appointed and chaired by the European Commission. The SRWG has received oral information on the work of this group.</w:t>
      </w:r>
    </w:p>
    <w:p w14:paraId="492CE6D6" w14:textId="77777777" w:rsidR="00374524" w:rsidRDefault="00374524" w:rsidP="00FD436E">
      <w:pPr>
        <w:pStyle w:val="NoSpacing"/>
      </w:pPr>
    </w:p>
    <w:p w14:paraId="5AA080C6" w14:textId="77777777" w:rsidR="00374524" w:rsidRDefault="00374524" w:rsidP="00FD436E">
      <w:pPr>
        <w:pStyle w:val="NoSpacing"/>
      </w:pPr>
    </w:p>
    <w:p w14:paraId="5A790E62" w14:textId="77777777" w:rsidR="00080625" w:rsidRDefault="00080625" w:rsidP="00080625">
      <w:pPr>
        <w:pStyle w:val="Body"/>
      </w:pPr>
    </w:p>
    <w:p w14:paraId="7129B95D" w14:textId="77777777" w:rsidR="00080625" w:rsidRPr="00FD436E" w:rsidRDefault="00080625" w:rsidP="00FD436E">
      <w:pPr>
        <w:pStyle w:val="NoSpacing"/>
        <w:rPr>
          <w:rFonts w:eastAsia="Times New Roman Bold" w:hAnsi="Times New Roman Bold" w:cs="Times New Roman Bold"/>
          <w:b/>
        </w:rPr>
      </w:pPr>
      <w:r w:rsidRPr="00FD436E">
        <w:rPr>
          <w:b/>
        </w:rPr>
        <w:t>I.5</w:t>
      </w:r>
      <w:r w:rsidRPr="00FD436E">
        <w:rPr>
          <w:b/>
        </w:rPr>
        <w:tab/>
        <w:t>STRUCTURAL REFORMS IN THE EHEA: BASIS AND ACHIEVEMENTS</w:t>
      </w:r>
    </w:p>
    <w:p w14:paraId="68B916F9" w14:textId="77777777" w:rsidR="00FD436E" w:rsidRDefault="00FD436E" w:rsidP="00FD436E">
      <w:pPr>
        <w:pStyle w:val="NoSpacing"/>
      </w:pPr>
    </w:p>
    <w:p w14:paraId="1FB347C5" w14:textId="77777777" w:rsidR="00080625" w:rsidRDefault="00080625" w:rsidP="00FD436E">
      <w:pPr>
        <w:pStyle w:val="NoSpacing"/>
      </w:pPr>
      <w:r>
        <w:t xml:space="preserve">Structural reforms have been a </w:t>
      </w:r>
      <w:r>
        <w:rPr>
          <w:rFonts w:ascii="Arial Unicode MS"/>
        </w:rPr>
        <w:t>–</w:t>
      </w:r>
      <w:r>
        <w:rPr>
          <w:rFonts w:ascii="Arial Unicode MS"/>
        </w:rPr>
        <w:t xml:space="preserve"> </w:t>
      </w:r>
      <w:r w:rsidRPr="003B23C3">
        <w:t xml:space="preserve">perhaps </w:t>
      </w:r>
      <w:r>
        <w:rPr>
          <w:i/>
          <w:iCs/>
        </w:rPr>
        <w:t>the</w:t>
      </w:r>
      <w:r>
        <w:rPr>
          <w:rFonts w:ascii="Arial Unicode MS"/>
        </w:rPr>
        <w:t xml:space="preserve"> </w:t>
      </w:r>
      <w:r>
        <w:rPr>
          <w:rFonts w:ascii="Arial Unicode MS"/>
        </w:rPr>
        <w:t>–</w:t>
      </w:r>
      <w:r>
        <w:rPr>
          <w:rFonts w:ascii="Arial Unicode MS"/>
        </w:rPr>
        <w:t xml:space="preserve"> </w:t>
      </w:r>
      <w:r>
        <w:t>main feature of the development of the European Higher Education Area and the EHEA has adopted important standards:</w:t>
      </w:r>
    </w:p>
    <w:p w14:paraId="3BD506F7" w14:textId="77777777" w:rsidR="00FD436E" w:rsidRDefault="00FD436E" w:rsidP="00FD436E">
      <w:pPr>
        <w:pStyle w:val="NoSpacing"/>
      </w:pPr>
    </w:p>
    <w:p w14:paraId="7679069F" w14:textId="77777777" w:rsidR="00E67F60" w:rsidRDefault="00080625" w:rsidP="00720B51">
      <w:pPr>
        <w:pStyle w:val="ListParagraph"/>
        <w:numPr>
          <w:ilvl w:val="0"/>
          <w:numId w:val="9"/>
        </w:numPr>
        <w:ind w:left="709" w:hanging="709"/>
      </w:pPr>
      <w:r>
        <w:t xml:space="preserve">For </w:t>
      </w:r>
      <w:r w:rsidRPr="00E67F60">
        <w:rPr>
          <w:i/>
          <w:iCs/>
        </w:rPr>
        <w:t>quality assurance</w:t>
      </w:r>
      <w:r>
        <w:t>, the ESG</w:t>
      </w:r>
      <w:r>
        <w:rPr>
          <w:vertAlign w:val="superscript"/>
        </w:rPr>
        <w:footnoteReference w:id="5"/>
      </w:r>
      <w:r>
        <w:t xml:space="preserve"> were adopted by Ministers in 2005, used as criteria by the European Quality Assurance Register for Higher Education (EQAR)</w:t>
      </w:r>
      <w:r>
        <w:rPr>
          <w:vertAlign w:val="superscript"/>
        </w:rPr>
        <w:footnoteReference w:id="6"/>
      </w:r>
      <w:r>
        <w:t xml:space="preserve"> established in 2008;</w:t>
      </w:r>
      <w:r w:rsidR="00E67F60">
        <w:br/>
      </w:r>
    </w:p>
    <w:p w14:paraId="1BFFFA40" w14:textId="77777777" w:rsidR="00080625" w:rsidRDefault="00080625" w:rsidP="00B40521">
      <w:pPr>
        <w:pStyle w:val="NoSpacing"/>
        <w:numPr>
          <w:ilvl w:val="0"/>
          <w:numId w:val="105"/>
        </w:numPr>
        <w:ind w:hanging="709"/>
        <w:jc w:val="both"/>
      </w:pPr>
      <w:r w:rsidRPr="00E67F60">
        <w:t>For qualifications frameworks, the overarching framework of qualifications of the European Higher Education Area (QF-EHEA)</w:t>
      </w:r>
      <w:r w:rsidRPr="00E67F60">
        <w:footnoteReference w:id="7"/>
      </w:r>
      <w:r w:rsidRPr="00E67F60">
        <w:t xml:space="preserve"> was adopted by Ministers in 2005 and Ministers at the same time made a commitment to developing their respective national frameworks and to self-certify them against the QF-EHEA – originally by 2010 and later by 2012. While not formally part of the EHEA, the European Qualifications Framework for lifelong learning (EQF)</w:t>
      </w:r>
      <w:r w:rsidRPr="00E67F60">
        <w:footnoteReference w:id="8"/>
      </w:r>
      <w:r w:rsidRPr="00E67F60">
        <w:t>, adopted by the European Union in 2008, is clearly highly relevant and excellent cooperation has been established between the QF-EHEA and the EQF</w:t>
      </w:r>
      <w:r>
        <w:t xml:space="preserve">. </w:t>
      </w:r>
    </w:p>
    <w:p w14:paraId="46301FB9" w14:textId="77777777" w:rsidR="00080625" w:rsidRDefault="00080625" w:rsidP="00720B51">
      <w:pPr>
        <w:pStyle w:val="ListParagraph"/>
        <w:numPr>
          <w:ilvl w:val="0"/>
          <w:numId w:val="10"/>
        </w:numPr>
        <w:ind w:left="709" w:hanging="709"/>
      </w:pPr>
      <w:r>
        <w:t xml:space="preserve">For </w:t>
      </w:r>
      <w:r>
        <w:rPr>
          <w:i/>
          <w:iCs/>
        </w:rPr>
        <w:t>recognition</w:t>
      </w:r>
      <w:r>
        <w:t>, the Council of Europe/UNESCO Convention on the Recognition of Qualifications concerning Higher Education in the European Region (Lisbon Recognition Convention)</w:t>
      </w:r>
      <w:r>
        <w:rPr>
          <w:vertAlign w:val="superscript"/>
        </w:rPr>
        <w:footnoteReference w:id="9"/>
      </w:r>
      <w:r>
        <w:t xml:space="preserve"> was adopted in 1997, came into force in 1999 and is the only legally binding standard of the EHEA;</w:t>
      </w:r>
    </w:p>
    <w:p w14:paraId="3F3DD812" w14:textId="77777777" w:rsidR="00080625" w:rsidRDefault="00080625" w:rsidP="00720B51">
      <w:pPr>
        <w:pStyle w:val="ListParagraph"/>
        <w:numPr>
          <w:ilvl w:val="0"/>
          <w:numId w:val="11"/>
        </w:numPr>
        <w:ind w:left="709" w:hanging="709"/>
      </w:pPr>
      <w:r>
        <w:t xml:space="preserve">For </w:t>
      </w:r>
      <w:r>
        <w:rPr>
          <w:i/>
          <w:iCs/>
        </w:rPr>
        <w:t>transparency instruments</w:t>
      </w:r>
      <w:r>
        <w:t>, the European Credit Transfer and Accumulation System (ECTS; a European Commission instrument) and  the Diploma Supplement</w:t>
      </w:r>
      <w:r>
        <w:rPr>
          <w:vertAlign w:val="superscript"/>
        </w:rPr>
        <w:footnoteReference w:id="10"/>
      </w:r>
      <w:r>
        <w:t xml:space="preserve"> (DS; </w:t>
      </w:r>
      <w:r>
        <w:lastRenderedPageBreak/>
        <w:t>developed jointly by the European Commission, the Council of Europe and UNESCO and a part of both the Lisbon Recognition Convention and Europass) were developed in other contexts but have become an integrated part of</w:t>
      </w:r>
      <w:r w:rsidDel="00B77C7E">
        <w:t xml:space="preserve"> </w:t>
      </w:r>
      <w:r>
        <w:t>the EHEA. The commitment made by Ministers in 2003 to deliver the DS automatically, free of charge and in a widely spoken European language sadly remains one of the unfulfilled commitments of the EHEA.  The BFUG has been also given a mandate to continue monitoring a number of other transparency tools which have been developed by different actors, also outside the realm of the Bologna Process.</w:t>
      </w:r>
    </w:p>
    <w:p w14:paraId="4296F88A" w14:textId="77777777" w:rsidR="00E24EC6" w:rsidRDefault="00E24EC6" w:rsidP="00080625">
      <w:pPr>
        <w:pStyle w:val="Body"/>
      </w:pPr>
    </w:p>
    <w:p w14:paraId="34C9A358" w14:textId="77777777" w:rsidR="00080625" w:rsidRDefault="00080625" w:rsidP="00080625">
      <w:pPr>
        <w:pStyle w:val="Body"/>
      </w:pPr>
      <w:r>
        <w:t xml:space="preserve">All four policy areas have also been the subject of reports and suggestions presented to Ministerial conferences.  For the 2012 ministerial conferences, these </w:t>
      </w:r>
      <w:commentRangeStart w:id="3"/>
      <w:r>
        <w:t>were</w:t>
      </w:r>
      <w:commentRangeEnd w:id="3"/>
      <w:r>
        <w:commentReference w:id="3"/>
      </w:r>
      <w:r>
        <w:t>:</w:t>
      </w:r>
    </w:p>
    <w:p w14:paraId="368C3F4F" w14:textId="77777777" w:rsidR="00E24EC6" w:rsidRDefault="00E24EC6" w:rsidP="00E24EC6">
      <w:pPr>
        <w:pStyle w:val="NoSpacing"/>
      </w:pPr>
    </w:p>
    <w:p w14:paraId="3D659975" w14:textId="77777777" w:rsidR="00080625" w:rsidRDefault="00080625" w:rsidP="00B40521">
      <w:pPr>
        <w:pStyle w:val="NoSpacing"/>
        <w:numPr>
          <w:ilvl w:val="0"/>
          <w:numId w:val="105"/>
        </w:numPr>
        <w:ind w:hanging="720"/>
      </w:pPr>
      <w:r>
        <w:t xml:space="preserve">On qualifications frameworks, a </w:t>
      </w:r>
      <w:hyperlink r:id="rId9" w:history="1">
        <w:r>
          <w:rPr>
            <w:rStyle w:val="Hyperlink1"/>
          </w:rPr>
          <w:t>report by the working group</w:t>
        </w:r>
      </w:hyperlink>
      <w:r>
        <w:t>.</w:t>
      </w:r>
    </w:p>
    <w:p w14:paraId="7DBCFC96" w14:textId="77777777" w:rsidR="00080625" w:rsidRDefault="00080625" w:rsidP="00B40521">
      <w:pPr>
        <w:pStyle w:val="NoSpacing"/>
        <w:numPr>
          <w:ilvl w:val="0"/>
          <w:numId w:val="105"/>
        </w:numPr>
        <w:ind w:hanging="720"/>
      </w:pPr>
      <w:r>
        <w:t xml:space="preserve">On recognition, a </w:t>
      </w:r>
      <w:hyperlink r:id="rId10" w:history="1">
        <w:r>
          <w:rPr>
            <w:rStyle w:val="Hyperlink1"/>
          </w:rPr>
          <w:t>report by the working group</w:t>
        </w:r>
      </w:hyperlink>
      <w:r>
        <w:t xml:space="preserve"> as well as a report by </w:t>
      </w:r>
      <w:hyperlink r:id="rId11" w:history="1">
        <w:r>
          <w:rPr>
            <w:rStyle w:val="Hyperlink1"/>
          </w:rPr>
          <w:t>the network on the recognition of prior learning</w:t>
        </w:r>
      </w:hyperlink>
      <w:r>
        <w:t>.</w:t>
      </w:r>
    </w:p>
    <w:p w14:paraId="5632F396" w14:textId="77777777" w:rsidR="00080625" w:rsidRDefault="00080625" w:rsidP="00B40521">
      <w:pPr>
        <w:pStyle w:val="NoSpacing"/>
        <w:numPr>
          <w:ilvl w:val="0"/>
          <w:numId w:val="105"/>
        </w:numPr>
        <w:ind w:hanging="720"/>
      </w:pPr>
      <w:r>
        <w:t xml:space="preserve">On transparency instruments, </w:t>
      </w:r>
      <w:hyperlink r:id="rId12" w:history="1">
        <w:r>
          <w:rPr>
            <w:rStyle w:val="Hyperlink1"/>
          </w:rPr>
          <w:t>a report by the working group</w:t>
        </w:r>
      </w:hyperlink>
      <w:r>
        <w:t>.</w:t>
      </w:r>
    </w:p>
    <w:p w14:paraId="7BB7AD50" w14:textId="77777777" w:rsidR="00080625" w:rsidRDefault="00080625" w:rsidP="00B40521">
      <w:pPr>
        <w:pStyle w:val="NoSpacing"/>
        <w:numPr>
          <w:ilvl w:val="0"/>
          <w:numId w:val="105"/>
        </w:numPr>
        <w:ind w:hanging="720"/>
      </w:pPr>
      <w:r>
        <w:t xml:space="preserve">Quality assurance was not the subject of a specific working group but the </w:t>
      </w:r>
      <w:hyperlink r:id="rId13" w:history="1">
        <w:r>
          <w:rPr>
            <w:rStyle w:val="Hyperlink1"/>
          </w:rPr>
          <w:t>report by ENQA</w:t>
        </w:r>
      </w:hyperlink>
      <w:r>
        <w:t xml:space="preserve"> and the </w:t>
      </w:r>
      <w:hyperlink r:id="rId14" w:history="1">
        <w:r>
          <w:rPr>
            <w:rStyle w:val="Hyperlink1"/>
          </w:rPr>
          <w:t>message by EQAR</w:t>
        </w:r>
      </w:hyperlink>
      <w:r>
        <w:t xml:space="preserve"> focused on the topic. </w:t>
      </w:r>
    </w:p>
    <w:p w14:paraId="5080BE83" w14:textId="77777777" w:rsidR="00E24EC6" w:rsidRDefault="00E24EC6" w:rsidP="00080625">
      <w:pPr>
        <w:pStyle w:val="Body"/>
      </w:pPr>
    </w:p>
    <w:p w14:paraId="76198985" w14:textId="77777777" w:rsidR="00080625" w:rsidRDefault="00080625" w:rsidP="00E24EC6">
      <w:pPr>
        <w:pStyle w:val="NoSpacing"/>
        <w:jc w:val="both"/>
      </w:pPr>
      <w:r>
        <w:t xml:space="preserve">The SRWG is well aware of the fact that higher education worldwide is undergoing many changes and that many of those changes will have a (structural) impact on European higher education systems.  On line education provision such as MOOCs may be the most obvious example, even if there are differing opinions on the impact and sustainability of MOOCs. The present report cannot explore the impact of these changes, in part because the SRWG terms of reference are both extensive and specific and in part because many of these developments are still in the making. However, the EHEA needs to follow developments closely also in the 2015 </w:t>
      </w:r>
      <w:r>
        <w:rPr>
          <w:rFonts w:ascii="Arial Unicode MS"/>
        </w:rPr>
        <w:t>–</w:t>
      </w:r>
      <w:r>
        <w:rPr>
          <w:rFonts w:ascii="Arial Unicode MS"/>
        </w:rPr>
        <w:t xml:space="preserve"> </w:t>
      </w:r>
      <w:r>
        <w:t>18 work period and Ministers or the BFUG may wish to reflect on what the impact of some of the developments may be on the very concept of an education system.</w:t>
      </w:r>
    </w:p>
    <w:p w14:paraId="4CBD9CAA" w14:textId="77777777" w:rsidR="00E24EC6" w:rsidRDefault="00E24EC6" w:rsidP="00E24EC6">
      <w:pPr>
        <w:pStyle w:val="Body"/>
        <w:jc w:val="both"/>
      </w:pPr>
    </w:p>
    <w:p w14:paraId="21300E96" w14:textId="77777777" w:rsidR="00080625" w:rsidRDefault="00080625" w:rsidP="00E24EC6">
      <w:pPr>
        <w:pStyle w:val="Body"/>
        <w:jc w:val="both"/>
      </w:pPr>
      <w:r>
        <w:t>Analysis of and recommendations on structural reforms in higher education are also influenced by and influence developments in the field of research. As will be shown by the sections concerning the third cycle, the attention paid to the most advanced level of education, with specific attention to doctoral education, is steadily increasing. We shall improve the structural reforms in the EHEA w</w:t>
      </w:r>
      <w:r w:rsidRPr="004A4FAE">
        <w:t xml:space="preserve">hile </w:t>
      </w:r>
      <w:r>
        <w:t xml:space="preserve">taking into account </w:t>
      </w:r>
      <w:r w:rsidRPr="004A4FAE">
        <w:t xml:space="preserve">the </w:t>
      </w:r>
      <w:r>
        <w:t>parallel reinforcement of a European Research Area (ERA).  The ERA is formally not a part of the Bologna Process, but is nevertheless of great importance to European higher education, which encompasses research as well as teaching and learning and service to society. For the 28 members of the EHEA that are also members of the European Union, the development of the ERA is particularly important as they are formally a part of the ERA framework. The ERA is, however, of great importance also the EHEA members that are not EU countries.</w:t>
      </w:r>
    </w:p>
    <w:p w14:paraId="4BAC4863" w14:textId="77777777" w:rsidR="00080625" w:rsidRDefault="00080625" w:rsidP="0022105E">
      <w:pPr>
        <w:pStyle w:val="Body"/>
      </w:pPr>
    </w:p>
    <w:p w14:paraId="2B61EB23" w14:textId="77777777" w:rsidR="00080625" w:rsidRDefault="00080625" w:rsidP="00E24EC6">
      <w:pPr>
        <w:pStyle w:val="NoSpacing"/>
        <w:jc w:val="both"/>
      </w:pPr>
      <w:r>
        <w:t xml:space="preserve">Finally, it should be noted that the BFUG at its meeting on April 9 – 10, 204 decided to launch a broad ranging discussion on the future orientation and priorities of the European Higher Education Area.  The major part of the BFUG meeting on September 18 – 19 was devoted to this discussion, which is essential to drafting the Yerevan Communiqué and which will, hopefully, be decisive for the future development of the European Higher Education Area. For obvious reasons </w:t>
      </w:r>
      <w:r>
        <w:lastRenderedPageBreak/>
        <w:t>of timing, the present report could not incorporate elements of this discussion but the SRWG and individual members of the group have made strong contributions to the debate.</w:t>
      </w:r>
    </w:p>
    <w:p w14:paraId="66866A24" w14:textId="77777777" w:rsidR="000D3DE0" w:rsidRDefault="000D3DE0">
      <w:pPr>
        <w:pBdr>
          <w:top w:val="none" w:sz="0" w:space="0" w:color="auto"/>
          <w:left w:val="none" w:sz="0" w:space="0" w:color="auto"/>
          <w:bottom w:val="none" w:sz="0" w:space="0" w:color="auto"/>
          <w:right w:val="none" w:sz="0" w:space="0" w:color="auto"/>
          <w:between w:val="none" w:sz="0" w:space="0" w:color="auto"/>
          <w:bar w:val="none" w:sz="0" w:color="auto"/>
        </w:pBdr>
        <w:spacing w:after="200"/>
        <w:rPr>
          <w:rFonts w:hAnsi="Arial Unicode MS" w:cs="Arial Unicode MS"/>
          <w:color w:val="000000"/>
          <w:u w:color="000000"/>
        </w:rPr>
      </w:pPr>
      <w:r>
        <w:br w:type="page"/>
      </w:r>
    </w:p>
    <w:p w14:paraId="4DA2CB68" w14:textId="77777777" w:rsidR="00080625" w:rsidRDefault="00080625" w:rsidP="00E24EC6">
      <w:pPr>
        <w:pStyle w:val="Body"/>
      </w:pPr>
    </w:p>
    <w:p w14:paraId="796236EF" w14:textId="77777777" w:rsidR="00080625" w:rsidRPr="00E24EC6" w:rsidRDefault="00080625" w:rsidP="00E24EC6">
      <w:pPr>
        <w:pStyle w:val="ListParagraph"/>
        <w:numPr>
          <w:ilvl w:val="0"/>
          <w:numId w:val="4"/>
        </w:numPr>
        <w:tabs>
          <w:tab w:val="clear" w:pos="1080"/>
          <w:tab w:val="num" w:pos="709"/>
        </w:tabs>
        <w:ind w:left="709" w:hanging="709"/>
        <w:rPr>
          <w:rFonts w:eastAsia="Times New Roman Bold" w:hAnsi="Times New Roman Bold" w:cs="Times New Roman Bold"/>
          <w:b/>
          <w:sz w:val="32"/>
          <w:szCs w:val="32"/>
        </w:rPr>
      </w:pPr>
      <w:r w:rsidRPr="00E24EC6">
        <w:rPr>
          <w:sz w:val="32"/>
          <w:szCs w:val="32"/>
        </w:rPr>
        <w:t xml:space="preserve"> </w:t>
      </w:r>
      <w:r w:rsidRPr="00E24EC6">
        <w:rPr>
          <w:b/>
          <w:sz w:val="32"/>
          <w:szCs w:val="32"/>
        </w:rPr>
        <w:t>POLITICAL AND POLICY CONTEXT</w:t>
      </w:r>
    </w:p>
    <w:p w14:paraId="47E26D14" w14:textId="77777777" w:rsidR="00080625" w:rsidRDefault="00080625" w:rsidP="00E24EC6">
      <w:pPr>
        <w:pStyle w:val="Body"/>
        <w:rPr>
          <w:rFonts w:ascii="Times New Roman Bold" w:eastAsia="Times New Roman Bold" w:hAnsi="Times New Roman Bold" w:cs="Times New Roman Bold"/>
        </w:rPr>
      </w:pPr>
    </w:p>
    <w:p w14:paraId="547F74A7" w14:textId="77777777" w:rsidR="00080625" w:rsidRDefault="00080625" w:rsidP="00E24EC6">
      <w:pPr>
        <w:pStyle w:val="Body"/>
        <w:rPr>
          <w:rFonts w:ascii="Times New Roman Bold" w:eastAsia="Times New Roman Bold" w:hAnsi="Times New Roman Bold" w:cs="Times New Roman Bold"/>
        </w:rPr>
      </w:pPr>
      <w:r>
        <w:rPr>
          <w:rFonts w:ascii="Times New Roman Bold"/>
        </w:rPr>
        <w:t>II.1</w:t>
      </w:r>
      <w:r>
        <w:rPr>
          <w:rFonts w:ascii="Times New Roman Bold"/>
        </w:rPr>
        <w:tab/>
        <w:t>STRUCTURES FOR WHAT PURPOSES?</w:t>
      </w:r>
    </w:p>
    <w:p w14:paraId="38AB0316" w14:textId="77777777" w:rsidR="00080625" w:rsidRDefault="00080625" w:rsidP="00E24EC6">
      <w:pPr>
        <w:pStyle w:val="BodyA"/>
        <w:rPr>
          <w:rFonts w:ascii="Times New Roman Bold" w:eastAsia="Times New Roman Bold" w:hAnsi="Times New Roman Bold" w:cs="Times New Roman Bold"/>
        </w:rPr>
      </w:pPr>
    </w:p>
    <w:p w14:paraId="13A2235C" w14:textId="77777777" w:rsidR="00080625" w:rsidRDefault="00080625" w:rsidP="00E24EC6">
      <w:pPr>
        <w:pStyle w:val="Body"/>
      </w:pPr>
      <w:r>
        <w:t>Higher education in Europe as well as each higher education systems face the challenges of:</w:t>
      </w:r>
    </w:p>
    <w:p w14:paraId="4E333505" w14:textId="77777777" w:rsidR="00E24EC6" w:rsidRDefault="00E24EC6" w:rsidP="00E24EC6">
      <w:pPr>
        <w:pStyle w:val="ListParagraph"/>
        <w:numPr>
          <w:ilvl w:val="0"/>
          <w:numId w:val="0"/>
        </w:numPr>
      </w:pPr>
    </w:p>
    <w:p w14:paraId="1D85EE4A" w14:textId="77777777" w:rsidR="00080625" w:rsidRDefault="00080625" w:rsidP="00787ED4">
      <w:pPr>
        <w:pStyle w:val="ListParagraph"/>
        <w:numPr>
          <w:ilvl w:val="0"/>
          <w:numId w:val="13"/>
        </w:numPr>
        <w:ind w:left="709" w:hanging="709"/>
      </w:pPr>
      <w:r>
        <w:t>making the most of the skills and abilities of all members of societies throughout their lives as well as of providing all individuals with the opportunity to develop their abilities and aspirations to the full;</w:t>
      </w:r>
    </w:p>
    <w:p w14:paraId="36134ED2" w14:textId="77777777" w:rsidR="00E24EC6" w:rsidRDefault="00E24EC6" w:rsidP="00E24EC6">
      <w:pPr>
        <w:pStyle w:val="ListParagraph"/>
        <w:numPr>
          <w:ilvl w:val="0"/>
          <w:numId w:val="0"/>
        </w:numPr>
        <w:ind w:left="709"/>
      </w:pPr>
    </w:p>
    <w:p w14:paraId="1DC3A223" w14:textId="77777777" w:rsidR="00080625" w:rsidRDefault="00080625" w:rsidP="00787ED4">
      <w:pPr>
        <w:pStyle w:val="ListParagraph"/>
        <w:numPr>
          <w:ilvl w:val="0"/>
          <w:numId w:val="14"/>
        </w:numPr>
        <w:ind w:left="709" w:hanging="709"/>
      </w:pPr>
      <w:r>
        <w:t>sustaining excellent teaching and learning, research and scholarship, and community service and engagement: quality, efficiency, effectiveness and equity;</w:t>
      </w:r>
    </w:p>
    <w:p w14:paraId="752FD601" w14:textId="77777777" w:rsidR="00E24EC6" w:rsidRDefault="00E24EC6" w:rsidP="00E24EC6">
      <w:pPr>
        <w:pStyle w:val="ListParagraph"/>
        <w:numPr>
          <w:ilvl w:val="0"/>
          <w:numId w:val="0"/>
        </w:numPr>
        <w:ind w:left="709"/>
      </w:pPr>
    </w:p>
    <w:p w14:paraId="4731D488" w14:textId="77777777" w:rsidR="00080625" w:rsidRDefault="00080625" w:rsidP="00787ED4">
      <w:pPr>
        <w:pStyle w:val="ListParagraph"/>
        <w:numPr>
          <w:ilvl w:val="0"/>
          <w:numId w:val="15"/>
        </w:numPr>
        <w:ind w:left="709" w:hanging="709"/>
      </w:pPr>
      <w:r>
        <w:t>creating environments in which skills and what knowledge are translated into innovative solutions to the complex problems our societies face (e.g. health, poverty, energy, food, migration, cities, sustainable employment, commitment to public space);</w:t>
      </w:r>
    </w:p>
    <w:p w14:paraId="5DB33C19" w14:textId="77777777" w:rsidR="00E24EC6" w:rsidRDefault="00E24EC6" w:rsidP="00E24EC6">
      <w:pPr>
        <w:pStyle w:val="ListParagraph"/>
        <w:numPr>
          <w:ilvl w:val="0"/>
          <w:numId w:val="0"/>
        </w:numPr>
        <w:ind w:left="709"/>
      </w:pPr>
    </w:p>
    <w:p w14:paraId="40156AFE" w14:textId="77777777" w:rsidR="00080625" w:rsidRDefault="00080625" w:rsidP="00787ED4">
      <w:pPr>
        <w:pStyle w:val="ListParagraph"/>
        <w:numPr>
          <w:ilvl w:val="0"/>
          <w:numId w:val="16"/>
        </w:numPr>
        <w:ind w:left="709" w:hanging="709"/>
      </w:pPr>
      <w:r>
        <w:t xml:space="preserve">building and maintaining trust and confidence: in public authorities, between </w:t>
      </w:r>
      <w:r w:rsidR="00184099">
        <w:t xml:space="preserve">higher education and </w:t>
      </w:r>
      <w:r>
        <w:t xml:space="preserve">members of society, between countries and cultures, and between individuals and societal institutions, </w:t>
      </w:r>
    </w:p>
    <w:p w14:paraId="10B658EF" w14:textId="77777777" w:rsidR="00E24EC6" w:rsidRDefault="00E24EC6" w:rsidP="00E24EC6">
      <w:pPr>
        <w:pStyle w:val="Body"/>
      </w:pPr>
    </w:p>
    <w:p w14:paraId="3E7E8751" w14:textId="77777777" w:rsidR="00080625" w:rsidRDefault="00080625" w:rsidP="00E24EC6">
      <w:pPr>
        <w:pStyle w:val="NoSpacing"/>
        <w:jc w:val="both"/>
      </w:pPr>
      <w:r>
        <w:t xml:space="preserve">The European Higher Education Area was established through implementation of the </w:t>
      </w:r>
      <w:commentRangeStart w:id="4"/>
      <w:r>
        <w:t>principles</w:t>
      </w:r>
      <w:r>
        <w:rPr>
          <w:rFonts w:eastAsia="Times New Roman"/>
          <w:vertAlign w:val="superscript"/>
        </w:rPr>
        <w:footnoteReference w:id="11"/>
      </w:r>
      <w:r>
        <w:t xml:space="preserve"> </w:t>
      </w:r>
      <w:commentRangeEnd w:id="4"/>
      <w:r>
        <w:rPr>
          <w:rStyle w:val="CommentReference"/>
          <w:rFonts w:eastAsia="Times New Roman"/>
        </w:rPr>
        <w:commentReference w:id="4"/>
      </w:r>
      <w:r>
        <w:t>of the Bologna Process. By drawing on their common strengths, values, and their diverse experiences as well as by acknowledging each other</w:t>
      </w:r>
      <w:r w:rsidRPr="003B23C3">
        <w:rPr>
          <w:rFonts w:ascii="Arial Unicode MS"/>
        </w:rPr>
        <w:t>’</w:t>
      </w:r>
      <w:r>
        <w:t>s specificities, the EHEA offers a unique opportunity for European countries to develop an attractive higher education that enable all students and citizens to acquire international experience and intercultural knowledge, understanding, skills and attitudes through high-quality education. Within this framework a distinction could be made between:</w:t>
      </w:r>
    </w:p>
    <w:p w14:paraId="1719F4A3" w14:textId="77777777" w:rsidR="00E24EC6" w:rsidRDefault="00E24EC6" w:rsidP="00E24EC6">
      <w:pPr>
        <w:pStyle w:val="NoSpacing"/>
        <w:jc w:val="both"/>
      </w:pPr>
    </w:p>
    <w:p w14:paraId="59CACC42" w14:textId="77777777" w:rsidR="00080625" w:rsidRDefault="00080625" w:rsidP="00787ED4">
      <w:pPr>
        <w:pStyle w:val="ListParagraph"/>
        <w:numPr>
          <w:ilvl w:val="0"/>
          <w:numId w:val="28"/>
        </w:numPr>
      </w:pPr>
      <w:r>
        <w:t>subject-specific knowledge, understanding and skills;</w:t>
      </w:r>
    </w:p>
    <w:p w14:paraId="540ADEE9" w14:textId="77777777" w:rsidR="00080625" w:rsidRDefault="00080625" w:rsidP="001115C9">
      <w:pPr>
        <w:pStyle w:val="ListParagraph"/>
        <w:numPr>
          <w:ilvl w:val="0"/>
          <w:numId w:val="29"/>
        </w:numPr>
        <w:ind w:left="709" w:hanging="709"/>
      </w:pPr>
      <w:r>
        <w:lastRenderedPageBreak/>
        <w:t>generic skills and attitudes: personal skills and attitudes; intercultural understanding, skills and attitudes; linguistic skills and responsible world citizenship.</w:t>
      </w:r>
    </w:p>
    <w:p w14:paraId="40166FCE" w14:textId="77777777" w:rsidR="00E24EC6" w:rsidRDefault="00E24EC6" w:rsidP="00080625">
      <w:pPr>
        <w:pStyle w:val="Body"/>
      </w:pPr>
    </w:p>
    <w:p w14:paraId="37CBFF8A" w14:textId="77777777" w:rsidR="00080625" w:rsidRDefault="00080625" w:rsidP="00080625">
      <w:pPr>
        <w:pStyle w:val="Body"/>
      </w:pPr>
      <w:r>
        <w:t xml:space="preserve">The EHEA increases the capacity of higher education institutions and national higher education systems provide their graduates with the competences and attitudes needed to face the global challenges. </w:t>
      </w:r>
    </w:p>
    <w:p w14:paraId="28171279" w14:textId="77777777" w:rsidR="00E24EC6" w:rsidRDefault="00E24EC6" w:rsidP="00080625">
      <w:pPr>
        <w:autoSpaceDE w:val="0"/>
        <w:autoSpaceDN w:val="0"/>
        <w:adjustRightInd w:val="0"/>
      </w:pPr>
    </w:p>
    <w:p w14:paraId="182C6E6C" w14:textId="77777777" w:rsidR="00080625" w:rsidRPr="00DB4AF0" w:rsidRDefault="00080625" w:rsidP="00080625">
      <w:pPr>
        <w:autoSpaceDE w:val="0"/>
        <w:autoSpaceDN w:val="0"/>
        <w:adjustRightInd w:val="0"/>
      </w:pPr>
      <w:r>
        <w:t xml:space="preserve">The EHEA should enable higher education institutions, staff and students to make their full contribution to </w:t>
      </w:r>
      <w:r w:rsidRPr="00DB4AF0">
        <w:t>preparing students for life as active citizens in a democratic society; preparing students for their future care</w:t>
      </w:r>
      <w:r>
        <w:t xml:space="preserve">ers and enabling their personal </w:t>
      </w:r>
      <w:r w:rsidRPr="00DB4AF0">
        <w:t>development; cr</w:t>
      </w:r>
      <w:r>
        <w:t xml:space="preserve">eating and maintaining a broad, </w:t>
      </w:r>
      <w:r w:rsidRPr="00DB4AF0">
        <w:t>advanced knowledge base; and</w:t>
      </w:r>
      <w:r>
        <w:t xml:space="preserve"> </w:t>
      </w:r>
      <w:r w:rsidRPr="00DB4AF0">
        <w:t>stimulating research and innovation</w:t>
      </w:r>
      <w:r>
        <w:rPr>
          <w:rStyle w:val="FootnoteReference"/>
        </w:rPr>
        <w:footnoteReference w:id="12"/>
      </w:r>
      <w:r>
        <w:t>,</w:t>
      </w:r>
    </w:p>
    <w:p w14:paraId="7B94DD21" w14:textId="77777777" w:rsidR="00080625" w:rsidRDefault="00080625" w:rsidP="00080625">
      <w:pPr>
        <w:pStyle w:val="Body"/>
      </w:pPr>
      <w:r>
        <w:t>through:</w:t>
      </w:r>
    </w:p>
    <w:p w14:paraId="18F42829" w14:textId="77777777" w:rsidR="00E24EC6" w:rsidRDefault="00E24EC6" w:rsidP="00080625">
      <w:pPr>
        <w:pStyle w:val="Body"/>
      </w:pPr>
    </w:p>
    <w:p w14:paraId="69B57965" w14:textId="77777777" w:rsidR="00080625" w:rsidRDefault="00080625" w:rsidP="00720B51">
      <w:pPr>
        <w:pStyle w:val="ListParagraph"/>
        <w:numPr>
          <w:ilvl w:val="0"/>
          <w:numId w:val="30"/>
        </w:numPr>
        <w:tabs>
          <w:tab w:val="left" w:pos="709"/>
        </w:tabs>
        <w:ind w:left="709" w:hanging="709"/>
      </w:pPr>
      <w:r>
        <w:t>a reinforcement of European cooperation: joint study programs, joint research projects, joint cross-border community engagement projects, joint change projects, international work placements and internships;</w:t>
      </w:r>
    </w:p>
    <w:p w14:paraId="71FF02FC" w14:textId="77777777" w:rsidR="00080625" w:rsidRDefault="00080625" w:rsidP="00787ED4">
      <w:pPr>
        <w:pStyle w:val="ListParagraph"/>
        <w:numPr>
          <w:ilvl w:val="0"/>
          <w:numId w:val="30"/>
        </w:numPr>
      </w:pPr>
      <w:r>
        <w:t>mobility of students and staff;</w:t>
      </w:r>
    </w:p>
    <w:p w14:paraId="5F2281F2" w14:textId="77777777" w:rsidR="00080625" w:rsidRDefault="00080625" w:rsidP="00787ED4">
      <w:pPr>
        <w:pStyle w:val="ListParagraph"/>
        <w:numPr>
          <w:ilvl w:val="0"/>
          <w:numId w:val="31"/>
        </w:numPr>
      </w:pPr>
      <w:r>
        <w:t>a reinforcement of international cooperation;</w:t>
      </w:r>
    </w:p>
    <w:p w14:paraId="49DFF941" w14:textId="77777777" w:rsidR="00080625" w:rsidRDefault="00080625" w:rsidP="00787ED4">
      <w:pPr>
        <w:pStyle w:val="ListParagraph"/>
        <w:numPr>
          <w:ilvl w:val="0"/>
          <w:numId w:val="32"/>
        </w:numPr>
      </w:pPr>
      <w:r>
        <w:t>easy recognition of qualifications across the EHEA.</w:t>
      </w:r>
    </w:p>
    <w:p w14:paraId="306A125F" w14:textId="77777777" w:rsidR="00E24EC6" w:rsidRDefault="00E24EC6" w:rsidP="00080625">
      <w:pPr>
        <w:pStyle w:val="Body"/>
      </w:pPr>
    </w:p>
    <w:p w14:paraId="704FA598" w14:textId="77777777" w:rsidR="00080625" w:rsidRDefault="00080625" w:rsidP="00E24EC6">
      <w:pPr>
        <w:pStyle w:val="Body"/>
        <w:jc w:val="both"/>
      </w:pPr>
      <w:r>
        <w:t xml:space="preserve">Given the globalization of our social, cultural, economic, technological and political environment, the quality and the performance of each higher education system depend not only of the intrinsic strengths but also on the strengths and vitality of the institutions and higher education systems elsewhere. Our institutions and our systems continue to be enriched by the flow of talents and ideas from abroad. </w:t>
      </w:r>
    </w:p>
    <w:p w14:paraId="3A90A551" w14:textId="77777777" w:rsidR="00E24EC6" w:rsidRDefault="00E24EC6" w:rsidP="00E24EC6">
      <w:pPr>
        <w:pStyle w:val="BodyA"/>
        <w:jc w:val="both"/>
        <w:rPr>
          <w:rFonts w:eastAsia="Arial Unicode MS" w:hAnsi="Arial Unicode MS" w:cs="Arial Unicode MS"/>
        </w:rPr>
      </w:pPr>
    </w:p>
    <w:p w14:paraId="5A22D9E2" w14:textId="77777777" w:rsidR="00080625" w:rsidRDefault="00080625" w:rsidP="00E24EC6">
      <w:pPr>
        <w:pStyle w:val="NoSpacing"/>
        <w:jc w:val="both"/>
      </w:pPr>
      <w:r>
        <w:t>Structural reforms have been the hallmark of the European Higher Education Area and have gained considerable visibility. Even if structural reforms have been unevenly developed among policy areas and countries, the “Bologna structural reforms” have been a relative success.  The success is clear in terms of establishing and amending structures such as quality assurance arrangements and guidelines and qualifications frameworks and ratifications of the Lisbon Recognition Convention.  It is less clear in terms of implementing structures, and the EHEA will not be brought about unless its structural reforms are implemented in practice.</w:t>
      </w:r>
    </w:p>
    <w:p w14:paraId="060D9B8E" w14:textId="77777777" w:rsidR="00E24EC6" w:rsidRDefault="00E24EC6" w:rsidP="00E24EC6">
      <w:pPr>
        <w:pStyle w:val="NoSpacing"/>
        <w:jc w:val="both"/>
      </w:pPr>
    </w:p>
    <w:p w14:paraId="53155201" w14:textId="77777777" w:rsidR="00080625" w:rsidRDefault="00080625" w:rsidP="00E24EC6">
      <w:pPr>
        <w:pStyle w:val="NoSpacing"/>
        <w:jc w:val="both"/>
      </w:pPr>
      <w:r>
        <w:t>The European Higher Education Area has, however, perhaps been less successful in spelling out the rationale for its structural reform and in making clear the values on which they rest and that they seek to further. The SRWG therefore feels it is important to put its report and recommendations within a broader political and policy context.</w:t>
      </w:r>
    </w:p>
    <w:p w14:paraId="73F7CBC6" w14:textId="77777777" w:rsidR="00E24EC6" w:rsidRDefault="00E24EC6" w:rsidP="00E24EC6">
      <w:pPr>
        <w:pStyle w:val="BodyA"/>
        <w:jc w:val="both"/>
        <w:rPr>
          <w:rFonts w:eastAsia="Arial Unicode MS" w:hAnsi="Arial Unicode MS" w:cs="Arial Unicode MS"/>
        </w:rPr>
      </w:pPr>
    </w:p>
    <w:p w14:paraId="04515BDA" w14:textId="77777777" w:rsidR="00080625" w:rsidRDefault="00080625" w:rsidP="00E24EC6">
      <w:pPr>
        <w:pStyle w:val="NoSpacing"/>
        <w:jc w:val="both"/>
      </w:pPr>
      <w:r>
        <w:t xml:space="preserve">This report, then, articulates the view that structural reforms are means to achieve political and policy goals even if structural reforms themselves are insufficient to bring about the EHEA. Structures cannot be ends in themselves. The political and policy goals of the European Higher Education Area have been spelled out in the Declarations and Communiqués adopted by Ministers from 1999 through 2012.  </w:t>
      </w:r>
    </w:p>
    <w:p w14:paraId="403D637B" w14:textId="77777777" w:rsidR="00080625" w:rsidRDefault="00080625" w:rsidP="00E24EC6">
      <w:pPr>
        <w:pStyle w:val="BodyA"/>
        <w:jc w:val="both"/>
      </w:pPr>
      <w:r>
        <w:rPr>
          <w:rFonts w:eastAsia="Arial Unicode MS" w:hAnsi="Arial Unicode MS" w:cs="Arial Unicode MS"/>
        </w:rPr>
        <w:lastRenderedPageBreak/>
        <w:t xml:space="preserve">The European Higher Education Area aims to allow students, staff, and graduates to move as freely as possible between all the countries and education systems making up the EHEA and to do so while maintaining the full value of their qualifications for access to further studies, on the European labor market and, more broadly, in the context of lifelong learning. The European Higher Education Area aims to facilitate cooperation between systems, institutions, and individual staff and students throughout the EHEA and to make European higher education known and appreciated throughout the world as a European framework and not only as the sum of individual higher education systems. The EHEA is a framework that underlines what we have in common as Europeans while also providing individual systems and institutions to draw on their particular strengths and traditions. The EHEA, therefore, provides for variation within an overall framework that ensures coherence. </w:t>
      </w:r>
    </w:p>
    <w:p w14:paraId="0E1E42BF" w14:textId="77777777" w:rsidR="00E24EC6" w:rsidRDefault="00E24EC6" w:rsidP="00080625">
      <w:pPr>
        <w:pStyle w:val="BodyA"/>
        <w:rPr>
          <w:rFonts w:eastAsia="Arial Unicode MS" w:hAnsi="Arial Unicode MS" w:cs="Arial Unicode MS"/>
        </w:rPr>
      </w:pPr>
    </w:p>
    <w:p w14:paraId="39F363CB" w14:textId="77777777" w:rsidR="00080625" w:rsidRDefault="00080625" w:rsidP="00E24EC6">
      <w:pPr>
        <w:pStyle w:val="BodyA"/>
        <w:jc w:val="both"/>
        <w:rPr>
          <w:shd w:val="clear" w:color="auto" w:fill="FFFF00"/>
        </w:rPr>
      </w:pPr>
      <w:r>
        <w:rPr>
          <w:rFonts w:eastAsia="Arial Unicode MS" w:hAnsi="Arial Unicode MS" w:cs="Arial Unicode MS"/>
        </w:rPr>
        <w:t>The European Higher Education Area is a framework for the development of common policies as well as for mutual learning. Members of the EHEA should be open about successful as well as less successful experiences within their own systems as well as about the reasons for success or failures</w:t>
      </w:r>
      <w:r>
        <w:rPr>
          <w:shd w:val="clear" w:color="auto" w:fill="FFFF00"/>
        </w:rPr>
        <w:br/>
      </w:r>
    </w:p>
    <w:p w14:paraId="49482462" w14:textId="77777777" w:rsidR="00080625" w:rsidRDefault="00080625" w:rsidP="00080625">
      <w:pPr>
        <w:pStyle w:val="Body"/>
      </w:pPr>
      <w:commentRangeStart w:id="5"/>
      <w:r>
        <w:t>The need for a coherent view of structural reform as well as to place structural reforms in a broader policy context was also underlined in the SRWG mandate:</w:t>
      </w:r>
    </w:p>
    <w:p w14:paraId="6FA8A1EF" w14:textId="77777777" w:rsidR="00E24EC6" w:rsidRDefault="00E24EC6" w:rsidP="00080625">
      <w:pPr>
        <w:pStyle w:val="Body"/>
      </w:pPr>
    </w:p>
    <w:p w14:paraId="335941F7" w14:textId="77777777" w:rsidR="00080625" w:rsidRDefault="00080625" w:rsidP="00E24EC6">
      <w:pPr>
        <w:pStyle w:val="Body"/>
        <w:spacing w:after="120"/>
        <w:ind w:left="567" w:right="855"/>
        <w:jc w:val="both"/>
      </w:pPr>
      <w:r>
        <w:t>“</w:t>
      </w:r>
      <w:r>
        <w:t>The Working Group should consider structural reforms in relation to the major purposes of higher education:</w:t>
      </w:r>
    </w:p>
    <w:p w14:paraId="02446931" w14:textId="77777777" w:rsidR="00080625" w:rsidRDefault="00080625" w:rsidP="00787ED4">
      <w:pPr>
        <w:pStyle w:val="Body"/>
        <w:numPr>
          <w:ilvl w:val="0"/>
          <w:numId w:val="33"/>
        </w:numPr>
        <w:tabs>
          <w:tab w:val="num" w:pos="1134"/>
        </w:tabs>
        <w:ind w:left="1134" w:right="855" w:hanging="567"/>
      </w:pPr>
      <w:r>
        <w:t>Preparing for employment;</w:t>
      </w:r>
    </w:p>
    <w:p w14:paraId="158422B8" w14:textId="77777777" w:rsidR="00080625" w:rsidRDefault="00080625" w:rsidP="00787ED4">
      <w:pPr>
        <w:pStyle w:val="Body"/>
        <w:numPr>
          <w:ilvl w:val="0"/>
          <w:numId w:val="34"/>
        </w:numPr>
        <w:tabs>
          <w:tab w:val="num" w:pos="1134"/>
        </w:tabs>
        <w:ind w:left="1134" w:right="855" w:hanging="567"/>
      </w:pPr>
      <w:r>
        <w:t>Preparing for life as active citizens in democratic societies;</w:t>
      </w:r>
    </w:p>
    <w:p w14:paraId="09349CE1" w14:textId="77777777" w:rsidR="00080625" w:rsidRDefault="00080625" w:rsidP="00787ED4">
      <w:pPr>
        <w:pStyle w:val="Body"/>
        <w:numPr>
          <w:ilvl w:val="0"/>
          <w:numId w:val="35"/>
        </w:numPr>
        <w:tabs>
          <w:tab w:val="num" w:pos="1134"/>
        </w:tabs>
        <w:ind w:left="1134" w:right="855" w:hanging="567"/>
      </w:pPr>
      <w:r>
        <w:t>Personal development;</w:t>
      </w:r>
    </w:p>
    <w:p w14:paraId="4273186A" w14:textId="77777777" w:rsidR="00080625" w:rsidRDefault="00080625" w:rsidP="00787ED4">
      <w:pPr>
        <w:pStyle w:val="Body"/>
        <w:numPr>
          <w:ilvl w:val="0"/>
          <w:numId w:val="36"/>
        </w:numPr>
        <w:tabs>
          <w:tab w:val="num" w:pos="1134"/>
        </w:tabs>
        <w:ind w:left="1134" w:right="855" w:hanging="567"/>
      </w:pPr>
      <w:r>
        <w:t>The development and maintenance of a broad, advanced knowledge base;</w:t>
      </w:r>
    </w:p>
    <w:p w14:paraId="547C6895" w14:textId="77777777" w:rsidR="00080625" w:rsidRDefault="00080625" w:rsidP="00080625">
      <w:pPr>
        <w:pStyle w:val="Body"/>
        <w:ind w:right="855"/>
      </w:pPr>
    </w:p>
    <w:p w14:paraId="43C5004F" w14:textId="77777777" w:rsidR="00080625" w:rsidRDefault="00080625" w:rsidP="00080625">
      <w:pPr>
        <w:pStyle w:val="Body"/>
        <w:ind w:left="1134" w:right="855" w:hanging="567"/>
      </w:pPr>
      <w:r>
        <w:t>as well as the three missions:</w:t>
      </w:r>
    </w:p>
    <w:p w14:paraId="77A9AAEA" w14:textId="77777777" w:rsidR="00080625" w:rsidRDefault="00080625" w:rsidP="00080625">
      <w:pPr>
        <w:pStyle w:val="Body"/>
        <w:ind w:left="1134" w:right="855" w:hanging="567"/>
      </w:pPr>
    </w:p>
    <w:p w14:paraId="430ED981" w14:textId="77777777" w:rsidR="00080625" w:rsidRDefault="00080625" w:rsidP="00787ED4">
      <w:pPr>
        <w:pStyle w:val="Body"/>
        <w:numPr>
          <w:ilvl w:val="0"/>
          <w:numId w:val="37"/>
        </w:numPr>
        <w:tabs>
          <w:tab w:val="num" w:pos="1134"/>
        </w:tabs>
        <w:ind w:left="1134" w:right="855" w:hanging="567"/>
      </w:pPr>
      <w:r>
        <w:t xml:space="preserve">teaching and learning; </w:t>
      </w:r>
    </w:p>
    <w:p w14:paraId="2BBB0581" w14:textId="77777777" w:rsidR="00080625" w:rsidRDefault="00080625" w:rsidP="00787ED4">
      <w:pPr>
        <w:pStyle w:val="Body"/>
        <w:numPr>
          <w:ilvl w:val="0"/>
          <w:numId w:val="38"/>
        </w:numPr>
        <w:tabs>
          <w:tab w:val="num" w:pos="1134"/>
        </w:tabs>
        <w:ind w:left="1134" w:right="855" w:hanging="567"/>
      </w:pPr>
      <w:r>
        <w:t xml:space="preserve">research; </w:t>
      </w:r>
    </w:p>
    <w:p w14:paraId="40CEDEF5" w14:textId="77777777" w:rsidR="00080625" w:rsidRDefault="00080625" w:rsidP="00787ED4">
      <w:pPr>
        <w:pStyle w:val="Body"/>
        <w:numPr>
          <w:ilvl w:val="0"/>
          <w:numId w:val="39"/>
        </w:numPr>
        <w:tabs>
          <w:tab w:val="num" w:pos="1134"/>
        </w:tabs>
        <w:ind w:left="1134" w:right="855" w:hanging="567"/>
      </w:pPr>
      <w:r>
        <w:t xml:space="preserve">service to society.  </w:t>
      </w:r>
    </w:p>
    <w:p w14:paraId="5B4C4694" w14:textId="77777777" w:rsidR="00080625" w:rsidRDefault="00080625" w:rsidP="00080625">
      <w:pPr>
        <w:pStyle w:val="Body"/>
        <w:ind w:left="1134" w:right="855" w:hanging="567"/>
      </w:pPr>
    </w:p>
    <w:p w14:paraId="183C72FC" w14:textId="77777777" w:rsidR="00080625" w:rsidRDefault="00080625" w:rsidP="00080625">
      <w:pPr>
        <w:pStyle w:val="Default"/>
        <w:ind w:left="1134" w:right="855" w:hanging="567"/>
        <w:rPr>
          <w:rFonts w:ascii="Times New Roman" w:eastAsia="Times New Roman" w:hAnsi="Times New Roman" w:cs="Times New Roman"/>
        </w:rPr>
      </w:pPr>
      <w:r>
        <w:rPr>
          <w:rFonts w:ascii="Times New Roman"/>
        </w:rPr>
        <w:t>It should further be guided by the following policy considerations:</w:t>
      </w:r>
    </w:p>
    <w:p w14:paraId="6213F181" w14:textId="77777777" w:rsidR="00080625" w:rsidRDefault="00080625" w:rsidP="00080625">
      <w:pPr>
        <w:pStyle w:val="Body"/>
        <w:ind w:left="1134" w:right="855" w:hanging="567"/>
      </w:pPr>
    </w:p>
    <w:p w14:paraId="3224D867" w14:textId="77777777" w:rsidR="00080625" w:rsidRDefault="00080625" w:rsidP="00787ED4">
      <w:pPr>
        <w:pStyle w:val="Body"/>
        <w:numPr>
          <w:ilvl w:val="0"/>
          <w:numId w:val="40"/>
        </w:numPr>
        <w:tabs>
          <w:tab w:val="num" w:pos="1134"/>
        </w:tabs>
        <w:ind w:left="1134" w:right="855" w:hanging="567"/>
      </w:pPr>
      <w:r>
        <w:t>Students, employers and society at large want more objective, reliable and high quality information about higher education;</w:t>
      </w:r>
    </w:p>
    <w:p w14:paraId="4A8EA888" w14:textId="77777777" w:rsidR="00080625" w:rsidRDefault="00080625" w:rsidP="00787ED4">
      <w:pPr>
        <w:pStyle w:val="Body"/>
        <w:numPr>
          <w:ilvl w:val="0"/>
          <w:numId w:val="41"/>
        </w:numPr>
        <w:tabs>
          <w:tab w:val="num" w:pos="1134"/>
        </w:tabs>
        <w:ind w:left="1134" w:right="855" w:hanging="567"/>
      </w:pPr>
      <w:r>
        <w:t>There is an increasing societal expectation of Higher Education Institutions that they enhance the employability of graduates and provide students with skills relevant to the labour market;</w:t>
      </w:r>
    </w:p>
    <w:p w14:paraId="5DE43D53" w14:textId="77777777" w:rsidR="00080625" w:rsidRDefault="00080625" w:rsidP="00787ED4">
      <w:pPr>
        <w:pStyle w:val="Body"/>
        <w:numPr>
          <w:ilvl w:val="0"/>
          <w:numId w:val="42"/>
        </w:numPr>
        <w:tabs>
          <w:tab w:val="num" w:pos="1134"/>
        </w:tabs>
        <w:ind w:left="1134" w:right="855" w:hanging="567"/>
      </w:pPr>
      <w:r>
        <w:t>There is a need to adapt the Bologna goals and instruments for structural reforms to the ever changing context of higher education and of our societies and to the evolving needs within the EHEA;</w:t>
      </w:r>
    </w:p>
    <w:p w14:paraId="181183C7" w14:textId="77777777" w:rsidR="00080625" w:rsidRDefault="00080625" w:rsidP="00787ED4">
      <w:pPr>
        <w:pStyle w:val="Body"/>
        <w:numPr>
          <w:ilvl w:val="0"/>
          <w:numId w:val="43"/>
        </w:numPr>
        <w:tabs>
          <w:tab w:val="num" w:pos="1134"/>
        </w:tabs>
        <w:ind w:left="1134" w:right="855" w:hanging="567"/>
      </w:pPr>
      <w:r>
        <w:lastRenderedPageBreak/>
        <w:t>There is a need to build trust and confidence in higher education;</w:t>
      </w:r>
    </w:p>
    <w:p w14:paraId="72F92EF9" w14:textId="77777777" w:rsidR="00080625" w:rsidRDefault="00080625" w:rsidP="00787ED4">
      <w:pPr>
        <w:pStyle w:val="Body"/>
        <w:numPr>
          <w:ilvl w:val="0"/>
          <w:numId w:val="44"/>
        </w:numPr>
        <w:tabs>
          <w:tab w:val="num" w:pos="1134"/>
        </w:tabs>
        <w:ind w:left="1134" w:right="855" w:hanging="567"/>
      </w:pPr>
      <w:r>
        <w:t>The relationship between the structural reforms developed within the EHEA and their impact on other regions needs to be considered;</w:t>
      </w:r>
    </w:p>
    <w:p w14:paraId="5C8C03D0" w14:textId="77777777" w:rsidR="00080625" w:rsidRDefault="00080625" w:rsidP="00787ED4">
      <w:pPr>
        <w:pStyle w:val="Body"/>
        <w:numPr>
          <w:ilvl w:val="0"/>
          <w:numId w:val="45"/>
        </w:numPr>
        <w:tabs>
          <w:tab w:val="num" w:pos="1134"/>
        </w:tabs>
        <w:ind w:left="1134" w:right="855" w:hanging="567"/>
      </w:pPr>
      <w:r>
        <w:t>There is a need for a more supportive environment for academic staff and students;</w:t>
      </w:r>
    </w:p>
    <w:p w14:paraId="027B180F" w14:textId="77777777" w:rsidR="00080625" w:rsidRDefault="00080625" w:rsidP="00787ED4">
      <w:pPr>
        <w:pStyle w:val="Body"/>
        <w:numPr>
          <w:ilvl w:val="0"/>
          <w:numId w:val="46"/>
        </w:numPr>
        <w:tabs>
          <w:tab w:val="num" w:pos="1134"/>
        </w:tabs>
        <w:ind w:left="1134" w:right="855" w:hanging="567"/>
      </w:pPr>
      <w:r>
        <w:t>Higher Education needs to contribute to Lifelong Learning.</w:t>
      </w:r>
      <w:r>
        <w:t>”</w:t>
      </w:r>
    </w:p>
    <w:commentRangeEnd w:id="5"/>
    <w:p w14:paraId="4756B497" w14:textId="77777777" w:rsidR="00080625" w:rsidRDefault="00080625" w:rsidP="00080625">
      <w:pPr>
        <w:pStyle w:val="Body"/>
      </w:pPr>
      <w:r>
        <w:rPr>
          <w:rStyle w:val="CommentReference"/>
          <w:rFonts w:eastAsia="Times New Roman" w:hAnsi="Times New Roman" w:cs="Times New Roman"/>
        </w:rPr>
        <w:commentReference w:id="5"/>
      </w:r>
    </w:p>
    <w:p w14:paraId="645AE716" w14:textId="77777777" w:rsidR="00080625" w:rsidRDefault="00080625" w:rsidP="00080625">
      <w:pPr>
        <w:pStyle w:val="Body"/>
      </w:pPr>
    </w:p>
    <w:p w14:paraId="0E602CDC" w14:textId="77777777" w:rsidR="00080625" w:rsidRDefault="00080625" w:rsidP="00080625">
      <w:pPr>
        <w:pStyle w:val="Body"/>
        <w:rPr>
          <w:rFonts w:ascii="Times New Roman Bold" w:eastAsia="Times New Roman Bold" w:hAnsi="Times New Roman Bold" w:cs="Times New Roman Bold"/>
        </w:rPr>
      </w:pPr>
      <w:r>
        <w:rPr>
          <w:rFonts w:ascii="Times New Roman Bold"/>
        </w:rPr>
        <w:t>II.2</w:t>
      </w:r>
      <w:r>
        <w:rPr>
          <w:rFonts w:ascii="Times New Roman Bold"/>
        </w:rPr>
        <w:tab/>
        <w:t>FUNDING AND RESPONSIBILITY FOR THE BOLOGNA PROCESS</w:t>
      </w:r>
    </w:p>
    <w:p w14:paraId="1AA59CAF" w14:textId="77777777" w:rsidR="00E24EC6" w:rsidRDefault="00E24EC6" w:rsidP="00080625">
      <w:pPr>
        <w:pStyle w:val="Body"/>
      </w:pPr>
    </w:p>
    <w:p w14:paraId="5E78B838" w14:textId="77777777" w:rsidR="00080625" w:rsidRDefault="00080625" w:rsidP="00E24EC6">
      <w:pPr>
        <w:pStyle w:val="Body"/>
        <w:jc w:val="both"/>
      </w:pPr>
      <w:r>
        <w:t xml:space="preserve">The fact that the EHEA is a framework for voluntary cooperation also has financial consequences.  The EHEA is organized on the principle that overall policy goals are agreed at European level and implemented within the framework of national higher education systems, in which higher education institutions and organizations and stakeholders of course play a key role. </w:t>
      </w:r>
    </w:p>
    <w:p w14:paraId="58402398" w14:textId="77777777" w:rsidR="00E24EC6" w:rsidRDefault="00E24EC6" w:rsidP="00E24EC6">
      <w:pPr>
        <w:pStyle w:val="Body"/>
        <w:jc w:val="both"/>
      </w:pPr>
    </w:p>
    <w:p w14:paraId="2FA26399" w14:textId="77777777" w:rsidR="00080625" w:rsidRDefault="00080625" w:rsidP="00E24EC6">
      <w:pPr>
        <w:pStyle w:val="NoSpacing"/>
        <w:jc w:val="both"/>
      </w:pPr>
      <w:r>
        <w:t xml:space="preserve">There is, therefore, no </w:t>
      </w:r>
      <w:r>
        <w:rPr>
          <w:rFonts w:ascii="Arial Unicode MS"/>
        </w:rPr>
        <w:t>“</w:t>
      </w:r>
      <w:r>
        <w:rPr>
          <w:lang w:val="sv-SE"/>
        </w:rPr>
        <w:t>Bologna budget</w:t>
      </w:r>
      <w:r>
        <w:rPr>
          <w:rFonts w:ascii="Arial Unicode MS"/>
        </w:rPr>
        <w:t>”</w:t>
      </w:r>
      <w:r>
        <w:rPr>
          <w:rFonts w:ascii="Arial Unicode MS"/>
        </w:rPr>
        <w:t xml:space="preserve"> </w:t>
      </w:r>
      <w:r>
        <w:t xml:space="preserve">at the level of the EHEA. Even if the European Commission provides substantial funding for EHEA-related projects and activities, the implementation of the structural reforms of the EHEA depends essentially on national funding as well as on the funding of each institution. Both are vulnerable to the financial crisis that many EHEA countries have been experiencing over the past few years and are in many cases still experiencing.  </w:t>
      </w:r>
    </w:p>
    <w:p w14:paraId="03D3B535" w14:textId="77777777" w:rsidR="00E24EC6" w:rsidRDefault="00E24EC6" w:rsidP="00E24EC6">
      <w:pPr>
        <w:pStyle w:val="NoSpacing"/>
        <w:jc w:val="both"/>
      </w:pPr>
    </w:p>
    <w:p w14:paraId="6BDB76D0" w14:textId="77777777" w:rsidR="00080625" w:rsidRDefault="00080625" w:rsidP="00E24EC6">
      <w:pPr>
        <w:pStyle w:val="NoSpacing"/>
        <w:jc w:val="both"/>
      </w:pPr>
      <w:r>
        <w:t xml:space="preserve">The SRWG does not believe that establishing a </w:t>
      </w:r>
      <w:r>
        <w:rPr>
          <w:rFonts w:ascii="Arial Unicode MS"/>
        </w:rPr>
        <w:t>“</w:t>
      </w:r>
      <w:r>
        <w:rPr>
          <w:lang w:val="sv-SE"/>
        </w:rPr>
        <w:t>Bologna budget</w:t>
      </w:r>
      <w:r>
        <w:rPr>
          <w:rFonts w:ascii="Arial Unicode MS"/>
        </w:rPr>
        <w:t>”</w:t>
      </w:r>
      <w:r>
        <w:rPr>
          <w:rFonts w:ascii="Arial Unicode MS"/>
        </w:rPr>
        <w:t xml:space="preserve"> </w:t>
      </w:r>
      <w:r>
        <w:t xml:space="preserve">would be a realistic option in the current circumstances and any such initiative would at any rate be well beyond the SRWG mandate. The SRWG nevertheless feels compelled to point out that the implementation of structural reform, and hence the development of the EHEA, is constrained by limitations on public finances and that these are unevenly spread across the EHEA. </w:t>
      </w:r>
    </w:p>
    <w:p w14:paraId="5D69EB1E" w14:textId="77777777" w:rsidR="00080625" w:rsidRDefault="00080625" w:rsidP="00080625">
      <w:pPr>
        <w:pStyle w:val="Body"/>
      </w:pPr>
    </w:p>
    <w:p w14:paraId="436DCAEB" w14:textId="77777777" w:rsidR="00080625" w:rsidRDefault="00080625" w:rsidP="00080625">
      <w:pPr>
        <w:pStyle w:val="Body"/>
      </w:pPr>
    </w:p>
    <w:p w14:paraId="660E7E39" w14:textId="77777777" w:rsidR="00080625" w:rsidRDefault="00080625" w:rsidP="00080625">
      <w:pPr>
        <w:pStyle w:val="Body"/>
      </w:pPr>
      <w:r>
        <w:br w:type="page"/>
      </w:r>
    </w:p>
    <w:p w14:paraId="550D3D47" w14:textId="77777777" w:rsidR="00080625" w:rsidRDefault="00080625" w:rsidP="00080625">
      <w:pPr>
        <w:pStyle w:val="Body"/>
      </w:pPr>
    </w:p>
    <w:p w14:paraId="77F4AE32" w14:textId="77777777" w:rsidR="00080625" w:rsidRDefault="00080625" w:rsidP="00080625">
      <w:pPr>
        <w:pStyle w:val="Body"/>
      </w:pPr>
    </w:p>
    <w:p w14:paraId="00CBB977" w14:textId="77777777" w:rsidR="00080625" w:rsidRPr="00E24EC6" w:rsidRDefault="00080625" w:rsidP="00787ED4">
      <w:pPr>
        <w:pStyle w:val="ListParagraph"/>
        <w:numPr>
          <w:ilvl w:val="0"/>
          <w:numId w:val="47"/>
        </w:numPr>
        <w:rPr>
          <w:rFonts w:eastAsia="Times New Roman Bold" w:hAnsi="Times New Roman Bold" w:cs="Times New Roman Bold"/>
          <w:b/>
          <w:sz w:val="32"/>
          <w:szCs w:val="32"/>
        </w:rPr>
      </w:pPr>
      <w:r w:rsidRPr="00E24EC6">
        <w:rPr>
          <w:b/>
          <w:sz w:val="32"/>
          <w:szCs w:val="32"/>
        </w:rPr>
        <w:t>OVERARCHING ISSUES - DEVELOPING A COHERENT APPROACH TO STRUCTURAL REFORMS</w:t>
      </w:r>
    </w:p>
    <w:p w14:paraId="2296C31A" w14:textId="77777777" w:rsidR="00E24EC6" w:rsidRDefault="00E24EC6" w:rsidP="00080625">
      <w:pPr>
        <w:pStyle w:val="Body"/>
      </w:pPr>
    </w:p>
    <w:p w14:paraId="0CC7911E" w14:textId="77777777" w:rsidR="00080625" w:rsidRDefault="00080625" w:rsidP="00E24EC6">
      <w:pPr>
        <w:pStyle w:val="Body"/>
        <w:jc w:val="both"/>
      </w:pPr>
      <w:r>
        <w:t>An important reason why the SRWG was established was, as mentioned, a desire on the part of the BFUG to see the structural reforms at the heart of the development of the EHEA as a coherent whole as well as a concern that structural reforms had so far been developed piecemeal and possibly even at cross purposes.  In the view of the SRWG, the EHEA should, among other things, be an area of transparency in which recognition is easy and often automatic</w:t>
      </w:r>
      <w:r>
        <w:rPr>
          <w:rStyle w:val="FootnoteReference"/>
        </w:rPr>
        <w:footnoteReference w:id="13"/>
      </w:r>
      <w:r>
        <w:t>.  This is the reason why the SRWG now puts forward a proposal to develop a European area of transparency and recognition. The proposal is developed further in this part of the report.</w:t>
      </w:r>
    </w:p>
    <w:p w14:paraId="5F16F49D" w14:textId="77777777" w:rsidR="00E24EC6" w:rsidRDefault="00E24EC6" w:rsidP="00E24EC6">
      <w:pPr>
        <w:jc w:val="both"/>
      </w:pPr>
    </w:p>
    <w:p w14:paraId="0EB322E3" w14:textId="77777777" w:rsidR="00080625" w:rsidRDefault="00080625" w:rsidP="00E24EC6">
      <w:pPr>
        <w:jc w:val="both"/>
      </w:pPr>
      <w:r>
        <w:t>It is our vision that the EHEA increase the capacity of national higher education systems and their higher education institutions to provide their graduates with the knowledge, understanding and skills needed to face the global challenges.  The chart demonstrates the interconnectedness and the inter-linkages between the various areas of structural reforms. Only by implementing those structural reforms properly will the advantages of the EHEA be realized.  A minimum degree of convergence is needed in order to maintain the diversity of institutions and programs.</w:t>
      </w:r>
    </w:p>
    <w:p w14:paraId="094E1338" w14:textId="77777777" w:rsidR="00080625" w:rsidRDefault="00080625" w:rsidP="00080625">
      <w:r>
        <w:t xml:space="preserve">The core is the quality and the relevance of the learning experience of the student. The ultimate aim is to equip graduates with the knowledge and understanding and the essential skills for personal, societal, and professional success in today's world. Therefore the curriculum is at the center of the implementation of structural reforms. </w:t>
      </w:r>
    </w:p>
    <w:p w14:paraId="1343FA07" w14:textId="77777777" w:rsidR="00080625" w:rsidRDefault="00080625" w:rsidP="00080625">
      <w:pPr>
        <w:pStyle w:val="Body"/>
      </w:pPr>
    </w:p>
    <w:p w14:paraId="31DB983D" w14:textId="77777777" w:rsidR="00080625" w:rsidRDefault="00080625" w:rsidP="00E33447">
      <w:pPr>
        <w:pStyle w:val="Body"/>
      </w:pPr>
      <w:r>
        <w:rPr>
          <w:noProof/>
          <w:lang w:val="ru-RU" w:eastAsia="ru-RU"/>
        </w:rPr>
        <w:lastRenderedPageBreak/>
        <w:drawing>
          <wp:inline distT="0" distB="0" distL="0" distR="0" wp14:anchorId="01C6E6B0" wp14:editId="468C9EF1">
            <wp:extent cx="5880172" cy="4020756"/>
            <wp:effectExtent l="0" t="381000" r="25400" b="1841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06C30C1" w14:textId="77777777" w:rsidR="00080625" w:rsidRDefault="00080625" w:rsidP="00080625">
      <w:pPr>
        <w:pStyle w:val="Body"/>
      </w:pPr>
    </w:p>
    <w:p w14:paraId="619738B9" w14:textId="77777777" w:rsidR="00080625" w:rsidRDefault="00080625" w:rsidP="00080625">
      <w:pPr>
        <w:pStyle w:val="Body"/>
      </w:pPr>
    </w:p>
    <w:p w14:paraId="0167FE88" w14:textId="77777777" w:rsidR="00080625" w:rsidRDefault="00080625" w:rsidP="00633F6F">
      <w:pPr>
        <w:pStyle w:val="NoSpacing"/>
        <w:jc w:val="both"/>
      </w:pPr>
      <w:r>
        <w:t xml:space="preserve">While structural reforms have taken on great importance in the development of the EHEA, and while there has been an implicit understanding that structural reforms are necessary to make European higher education better, more attractive and more </w:t>
      </w:r>
      <w:r>
        <w:rPr>
          <w:rFonts w:ascii="Arial Unicode MS"/>
        </w:rPr>
        <w:t>“</w:t>
      </w:r>
      <w:r>
        <w:rPr>
          <w:lang w:val="da-DK"/>
        </w:rPr>
        <w:t>fit for purpose</w:t>
      </w:r>
      <w:r>
        <w:rPr>
          <w:rFonts w:ascii="Arial Unicode MS"/>
        </w:rPr>
        <w:t>”</w:t>
      </w:r>
      <w:r>
        <w:t xml:space="preserve">, there has been little explicit discussion of what purposes higher education reforms should seek to further even if some reference to the multiple purposes of higher education can be found in successive </w:t>
      </w:r>
      <w:r w:rsidRPr="00EE3EEF">
        <w:t>communiqués,</w:t>
      </w:r>
      <w:r>
        <w:t xml:space="preserve"> at least from the 2007 London Communiqu</w:t>
      </w:r>
      <w:r>
        <w:rPr>
          <w:rFonts w:ascii="Arial Unicode MS"/>
        </w:rPr>
        <w:t>é</w:t>
      </w:r>
      <w:r>
        <w:t>: “</w:t>
      </w:r>
      <w:r w:rsidRPr="003B23C3">
        <w:t>Our aim is to ensure that our HEIs have the necessary resources to continue to fulfil their full range of purposes. Those purposes include: preparing students for life as active citizens in a democratic society; preparing students for their future careers and enabling their personal development; creating and maintaining a broad, advanced knowledge base; and stimulating research and innovation.” (para. 1.4).</w:t>
      </w:r>
      <w:r>
        <w:t xml:space="preserve">  Higher education in Europe needs structures that enable it to contribute in the best possible way to all its major purposes.</w:t>
      </w:r>
    </w:p>
    <w:p w14:paraId="0D9C5B69" w14:textId="77777777" w:rsidR="00633F6F" w:rsidRDefault="00633F6F" w:rsidP="00080625">
      <w:pPr>
        <w:pStyle w:val="Body"/>
      </w:pPr>
    </w:p>
    <w:p w14:paraId="426B80DF" w14:textId="77777777" w:rsidR="00080625" w:rsidRDefault="00080625" w:rsidP="00633F6F">
      <w:pPr>
        <w:pStyle w:val="NoSpacing"/>
        <w:jc w:val="both"/>
      </w:pPr>
      <w:r>
        <w:t>As pointed out in the terms of reference of the SRWG (ToR no. 6), higher education structures also have an impact on other policy areas.  As two obvious examples, education systems may, through their</w:t>
      </w:r>
      <w:r w:rsidR="00633F6F">
        <w:t xml:space="preserve"> </w:t>
      </w:r>
      <w:r>
        <w:t xml:space="preserve">structures and regulations, make it easier for students to move within and between systems and to access various levels of higher education entirely or partly on the basis of non-formal qualifications </w:t>
      </w:r>
      <w:r>
        <w:rPr>
          <w:rFonts w:ascii="Arial Unicode MS"/>
        </w:rPr>
        <w:t>–</w:t>
      </w:r>
      <w:r>
        <w:rPr>
          <w:rFonts w:ascii="Arial Unicode MS"/>
        </w:rPr>
        <w:t xml:space="preserve"> </w:t>
      </w:r>
      <w:r>
        <w:t xml:space="preserve">or they may impede such movement and access.   Juxtaposing information from different parts of the 2012 Implementation report, for example, we see that the </w:t>
      </w:r>
      <w:r>
        <w:lastRenderedPageBreak/>
        <w:t xml:space="preserve">countries in which alternative learning paths are the least developed within the respective national systems are also the countries most likely to experience a sharp drop in the number of people of </w:t>
      </w:r>
      <w:r>
        <w:rPr>
          <w:rFonts w:ascii="Arial Unicode MS"/>
        </w:rPr>
        <w:t>“</w:t>
      </w:r>
      <w:r>
        <w:t>classical student age</w:t>
      </w:r>
      <w:r>
        <w:rPr>
          <w:rFonts w:ascii="Arial Unicode MS"/>
        </w:rPr>
        <w:t>”</w:t>
      </w:r>
      <w:r>
        <w:rPr>
          <w:rFonts w:ascii="Arial Unicode MS"/>
        </w:rPr>
        <w:t xml:space="preserve"> </w:t>
      </w:r>
      <w:r>
        <w:t>and whose institutions will hence face the most difficulties in recruiting students from within their own countries in the years to come unless alternative learning paths are developed and recognize that facilitate access to and completion of higher education for people from groups that are today underrepresented in higher education</w:t>
      </w:r>
      <w:r>
        <w:rPr>
          <w:rFonts w:eastAsia="Times New Roman"/>
          <w:vertAlign w:val="superscript"/>
        </w:rPr>
        <w:footnoteReference w:id="14"/>
      </w:r>
      <w:r>
        <w:t xml:space="preserve">.  These include, but are not limited to, mature students; students who need to combine study and work, often also family obligations; students from disadvantaged socio-economic backgrounds; students from certain immigrant groups; students from socio-cultural backgrounds in which education is not valued; and various combinations of these. Likewise, quality assurance, qualifications frameworks, recognition and transparency instruments all have the potential of making mobility easier </w:t>
      </w:r>
      <w:r>
        <w:rPr>
          <w:rFonts w:ascii="Arial Unicode MS"/>
        </w:rPr>
        <w:t>–</w:t>
      </w:r>
      <w:r>
        <w:rPr>
          <w:rFonts w:ascii="Arial Unicode MS"/>
        </w:rPr>
        <w:t xml:space="preserve"> </w:t>
      </w:r>
      <w:r>
        <w:t xml:space="preserve">or more difficult.  </w:t>
      </w:r>
    </w:p>
    <w:p w14:paraId="313BB30E" w14:textId="77777777" w:rsidR="00080625" w:rsidRDefault="00080625" w:rsidP="00080625">
      <w:pPr>
        <w:pStyle w:val="Body"/>
      </w:pPr>
    </w:p>
    <w:p w14:paraId="5A50FF8B" w14:textId="77777777" w:rsidR="00080625" w:rsidRDefault="00080625" w:rsidP="00080625">
      <w:pPr>
        <w:pStyle w:val="Body"/>
      </w:pPr>
      <w:r>
        <w:t>One of the key overarching challenges is communication about the mission and vision of higher education as well as about the structures of the EHEA and their role in realizing the vision and mission of higher education.  The authorities responsible for coordinating communication must be identified and communication about structural reforms must be coherent. Many instruments of the EHEA presently have a communications function and/or were created for that purpose. Recognition is in part about communicating to respective authorities responsible for the recognition; quality assurance is in part about reassuring certain stakeholders, including the general public, that higher education is of the required quality and that quality is being assured.  For qualifications frameworks to be accepted and used, their functions and advantages must be communicated and understood. In order to be coherent, public authorities need an overarching communication strategy as much as technical strategy.</w:t>
      </w:r>
      <w:r>
        <w:br/>
      </w:r>
    </w:p>
    <w:p w14:paraId="70686111" w14:textId="77777777" w:rsidR="00080625" w:rsidRDefault="00080625" w:rsidP="00633F6F">
      <w:pPr>
        <w:pStyle w:val="NoSpacing"/>
        <w:jc w:val="both"/>
      </w:pPr>
      <w:r>
        <w:t xml:space="preserve">Both coherence and communication would be helped by a common </w:t>
      </w:r>
      <w:r>
        <w:rPr>
          <w:rFonts w:ascii="Arial Unicode MS"/>
        </w:rPr>
        <w:t>‘</w:t>
      </w:r>
      <w:r w:rsidRPr="00CF7A15">
        <w:t>academic</w:t>
      </w:r>
      <w:r w:rsidRPr="00CF7A15">
        <w:rPr>
          <w:rFonts w:ascii="Arial Unicode MS"/>
        </w:rPr>
        <w:t>’</w:t>
      </w:r>
      <w:r>
        <w:t>/</w:t>
      </w:r>
      <w:r w:rsidRPr="00CF7A15">
        <w:rPr>
          <w:rFonts w:ascii="Arial Unicode MS"/>
        </w:rPr>
        <w:t>’</w:t>
      </w:r>
      <w:r>
        <w:t>transparency</w:t>
      </w:r>
      <w:r w:rsidRPr="00CF7A15">
        <w:rPr>
          <w:rFonts w:ascii="Arial Unicode MS"/>
        </w:rPr>
        <w:t>’</w:t>
      </w:r>
      <w:r w:rsidRPr="00CF7A15">
        <w:rPr>
          <w:rFonts w:ascii="Arial Unicode MS"/>
        </w:rPr>
        <w:t xml:space="preserve"> </w:t>
      </w:r>
      <w:r>
        <w:t xml:space="preserve">infrastructure that would make it clear how the structures of higher education in Europe interact and fit together.  Such an infrastructure </w:t>
      </w:r>
      <w:r>
        <w:rPr>
          <w:rFonts w:ascii="Arial Unicode MS"/>
        </w:rPr>
        <w:t>–</w:t>
      </w:r>
      <w:r>
        <w:rPr>
          <w:rFonts w:ascii="Arial Unicode MS"/>
        </w:rPr>
        <w:t xml:space="preserve"> </w:t>
      </w:r>
      <w:r>
        <w:t xml:space="preserve">which could be labeled a </w:t>
      </w:r>
      <w:r>
        <w:rPr>
          <w:rFonts w:ascii="Arial Unicode MS"/>
        </w:rPr>
        <w:t>“</w:t>
      </w:r>
      <w:r>
        <w:t xml:space="preserve">European </w:t>
      </w:r>
      <w:commentRangeStart w:id="6"/>
      <w:r>
        <w:t>area for transparency and recognition</w:t>
      </w:r>
      <w:commentRangeEnd w:id="6"/>
      <w:r>
        <w:rPr>
          <w:rStyle w:val="CommentReference"/>
          <w:rFonts w:eastAsia="Times New Roman"/>
        </w:rPr>
        <w:commentReference w:id="6"/>
      </w:r>
      <w:r>
        <w:rPr>
          <w:rFonts w:ascii="Arial Unicode MS"/>
        </w:rPr>
        <w:t>”</w:t>
      </w:r>
      <w:r>
        <w:rPr>
          <w:rFonts w:ascii="Arial Unicode MS"/>
        </w:rPr>
        <w:t xml:space="preserve"> </w:t>
      </w:r>
      <w:r>
        <w:rPr>
          <w:rFonts w:ascii="Arial Unicode MS"/>
        </w:rPr>
        <w:t>–</w:t>
      </w:r>
      <w:r>
        <w:rPr>
          <w:rFonts w:ascii="Arial Unicode MS"/>
        </w:rPr>
        <w:t xml:space="preserve"> </w:t>
      </w:r>
      <w:r w:rsidR="0030123F">
        <w:t>would help policy makers ensure that their own education system is in tune with those of their EHEA partners.  It would support institutions in embedding core elements of EHEA in the curricula.  It</w:t>
      </w:r>
      <w:r w:rsidR="0030123F">
        <w:rPr>
          <w:rFonts w:ascii="Arial Unicode MS"/>
        </w:rPr>
        <w:t xml:space="preserve"> </w:t>
      </w:r>
      <w:r>
        <w:t>would help students understand how they could move around more freely within the European Higher Education Area and have their qualifications recognized without losing the real value of those qualifications when crossing national borders.  It would help employers ensure that they recruit people with the requisite qualifications of the requisite quality regardless of where, within the EHEA, those qualifications have been earned.  Not least, it would help reassure the general public that higher education in their own countries are  equivalent to that of their partner countries and that qualification earned in one country may be used in others. It would help public authorities and institutions manage what may be termed the reputational range of systems, institutions, and programs.</w:t>
      </w:r>
    </w:p>
    <w:p w14:paraId="6F60C6C1" w14:textId="77777777" w:rsidR="00633F6F" w:rsidRDefault="00633F6F" w:rsidP="00633F6F">
      <w:pPr>
        <w:pStyle w:val="Body"/>
        <w:jc w:val="both"/>
      </w:pPr>
    </w:p>
    <w:p w14:paraId="6EB5C46F" w14:textId="77777777" w:rsidR="00B97F48" w:rsidRDefault="00080625" w:rsidP="00633F6F">
      <w:pPr>
        <w:pStyle w:val="NoSpacing"/>
        <w:jc w:val="both"/>
      </w:pPr>
      <w:r>
        <w:t xml:space="preserve">A European area for transparency and recognition </w:t>
      </w:r>
      <w:r w:rsidR="0030123F">
        <w:t xml:space="preserve">is built on the commitments made by the EHEA Ministers but it is consistent also with developments in other areas of education, </w:t>
      </w:r>
      <w:r w:rsidR="0030123F" w:rsidRPr="0030123F">
        <w:rPr>
          <w:i/>
        </w:rPr>
        <w:t>i.a.</w:t>
      </w:r>
      <w:r w:rsidR="0030123F">
        <w:t xml:space="preserve"> the European Commission’s intention to develop a European Area of Skills and Qualifications. </w:t>
      </w:r>
    </w:p>
    <w:p w14:paraId="4E3DCCEF" w14:textId="77777777" w:rsidR="00B97F48" w:rsidRPr="00B97F48" w:rsidRDefault="00B97F48" w:rsidP="00B97F48">
      <w:pPr>
        <w:pStyle w:val="Body"/>
      </w:pPr>
      <w:r>
        <w:lastRenderedPageBreak/>
        <w:t xml:space="preserve">A European area for transparency and recognition would composed of the following core </w:t>
      </w:r>
      <w:r w:rsidRPr="00B97F48">
        <w:t>elements, which make up its underlying academic infrastructure connecting:</w:t>
      </w:r>
    </w:p>
    <w:p w14:paraId="33EBDB58" w14:textId="77777777" w:rsidR="00B97F48" w:rsidRPr="00B97F48" w:rsidRDefault="00B97F48" w:rsidP="00B97F48">
      <w:pPr>
        <w:pStyle w:val="Body"/>
      </w:pPr>
    </w:p>
    <w:p w14:paraId="7A4A95BC" w14:textId="77777777" w:rsidR="00B97F48" w:rsidRPr="00B97F48" w:rsidRDefault="00B97F48" w:rsidP="00B40521">
      <w:pPr>
        <w:pStyle w:val="Body"/>
        <w:numPr>
          <w:ilvl w:val="3"/>
          <w:numId w:val="118"/>
        </w:numPr>
        <w:tabs>
          <w:tab w:val="clear" w:pos="3000"/>
          <w:tab w:val="num" w:pos="567"/>
        </w:tabs>
        <w:ind w:left="567" w:hanging="567"/>
        <w:jc w:val="both"/>
      </w:pPr>
      <w:r w:rsidRPr="00B97F48">
        <w:t>A common understanding of the purposes of higher education (cf. part II.1).</w:t>
      </w:r>
    </w:p>
    <w:p w14:paraId="1A5F342D" w14:textId="77777777" w:rsidR="00B97F48" w:rsidRPr="00B97F48" w:rsidRDefault="00B97F48" w:rsidP="00B97F48">
      <w:pPr>
        <w:pStyle w:val="Body"/>
        <w:ind w:left="567"/>
        <w:jc w:val="both"/>
      </w:pPr>
    </w:p>
    <w:p w14:paraId="516164F5" w14:textId="77777777" w:rsidR="00B97F48" w:rsidRPr="00B97F48" w:rsidRDefault="00B97F48" w:rsidP="00B40521">
      <w:pPr>
        <w:pStyle w:val="Body"/>
        <w:numPr>
          <w:ilvl w:val="3"/>
          <w:numId w:val="118"/>
        </w:numPr>
        <w:tabs>
          <w:tab w:val="clear" w:pos="3000"/>
          <w:tab w:val="num" w:pos="567"/>
        </w:tabs>
        <w:ind w:left="567" w:hanging="567"/>
        <w:jc w:val="both"/>
      </w:pPr>
      <w:r w:rsidRPr="00B97F48">
        <w:t>Qualifications</w:t>
      </w:r>
    </w:p>
    <w:p w14:paraId="206AF734" w14:textId="77777777" w:rsidR="00B97F48" w:rsidRPr="00B97F48" w:rsidRDefault="00B97F48" w:rsidP="00B97F48">
      <w:pPr>
        <w:pStyle w:val="ListParagraph"/>
        <w:numPr>
          <w:ilvl w:val="0"/>
          <w:numId w:val="0"/>
        </w:numPr>
      </w:pPr>
    </w:p>
    <w:p w14:paraId="429A4475" w14:textId="77777777" w:rsidR="00B97F48" w:rsidRPr="00B97F48" w:rsidRDefault="00B97F48" w:rsidP="00B40521">
      <w:pPr>
        <w:pStyle w:val="Body"/>
        <w:numPr>
          <w:ilvl w:val="4"/>
          <w:numId w:val="118"/>
        </w:numPr>
        <w:tabs>
          <w:tab w:val="clear" w:pos="3720"/>
          <w:tab w:val="num" w:pos="567"/>
        </w:tabs>
        <w:ind w:left="567" w:hanging="283"/>
        <w:jc w:val="both"/>
      </w:pPr>
      <w:r w:rsidRPr="00B97F48">
        <w:t>A common European qualifications framework for higher education</w:t>
      </w:r>
    </w:p>
    <w:p w14:paraId="334109AE" w14:textId="77777777" w:rsidR="00B97F48" w:rsidRPr="00B97F48" w:rsidRDefault="00B97F48" w:rsidP="00B40521">
      <w:pPr>
        <w:pStyle w:val="Body"/>
        <w:numPr>
          <w:ilvl w:val="4"/>
          <w:numId w:val="118"/>
        </w:numPr>
        <w:tabs>
          <w:tab w:val="clear" w:pos="3720"/>
          <w:tab w:val="num" w:pos="567"/>
        </w:tabs>
        <w:ind w:left="567" w:hanging="283"/>
        <w:jc w:val="both"/>
      </w:pPr>
      <w:r w:rsidRPr="00B97F48">
        <w:t>A national qualifications framework for higher education self-certified against the QF-EHEA and, as appropriate, also referenced against the European Qualifications Framework for lifelong learning</w:t>
      </w:r>
    </w:p>
    <w:p w14:paraId="611D357F" w14:textId="77777777" w:rsidR="00B97F48" w:rsidRPr="00B97F48" w:rsidRDefault="00B97F48" w:rsidP="00B40521">
      <w:pPr>
        <w:pStyle w:val="Body"/>
        <w:numPr>
          <w:ilvl w:val="4"/>
          <w:numId w:val="118"/>
        </w:numPr>
        <w:tabs>
          <w:tab w:val="clear" w:pos="3720"/>
          <w:tab w:val="num" w:pos="567"/>
        </w:tabs>
        <w:ind w:left="567" w:hanging="283"/>
        <w:jc w:val="both"/>
      </w:pPr>
      <w:r w:rsidRPr="00B97F48">
        <w:t>Subject specific learning outcomes specifying the generic learning outcomes included in the national qualifications framework</w:t>
      </w:r>
    </w:p>
    <w:p w14:paraId="389A2872" w14:textId="77777777" w:rsidR="00B97F48" w:rsidRPr="00B97F48" w:rsidRDefault="00B97F48" w:rsidP="00B40521">
      <w:pPr>
        <w:pStyle w:val="Body"/>
        <w:numPr>
          <w:ilvl w:val="4"/>
          <w:numId w:val="118"/>
        </w:numPr>
        <w:tabs>
          <w:tab w:val="clear" w:pos="3720"/>
          <w:tab w:val="num" w:pos="567"/>
        </w:tabs>
        <w:ind w:left="567" w:hanging="283"/>
        <w:jc w:val="both"/>
      </w:pPr>
      <w:r w:rsidRPr="00B97F48">
        <w:t>The higher education institutions have designed appropriate curricula giving due considerations to the needs and expectations of the stakeholders and embedding employability, sustainable development, entrepreneurship, democratic citizenship</w:t>
      </w:r>
    </w:p>
    <w:p w14:paraId="0D0E790E" w14:textId="77777777" w:rsidR="00B97F48" w:rsidRPr="00B97F48" w:rsidRDefault="00B97F48" w:rsidP="00B40521">
      <w:pPr>
        <w:pStyle w:val="Body"/>
        <w:numPr>
          <w:ilvl w:val="4"/>
          <w:numId w:val="118"/>
        </w:numPr>
        <w:tabs>
          <w:tab w:val="clear" w:pos="3720"/>
          <w:tab w:val="num" w:pos="567"/>
        </w:tabs>
        <w:ind w:left="567" w:hanging="283"/>
        <w:jc w:val="both"/>
      </w:pPr>
      <w:r w:rsidRPr="00B97F48">
        <w:t>Program specifications (a program is an approved curriculum constructed of individual modules or units and include at least the following items):</w:t>
      </w:r>
    </w:p>
    <w:p w14:paraId="7F46C72E" w14:textId="77777777" w:rsidR="00B97F48" w:rsidRPr="00B97F48" w:rsidRDefault="00B97F48" w:rsidP="00B97F48">
      <w:pPr>
        <w:pStyle w:val="Body"/>
        <w:numPr>
          <w:ilvl w:val="0"/>
          <w:numId w:val="32"/>
        </w:numPr>
        <w:jc w:val="both"/>
      </w:pPr>
      <w:r w:rsidRPr="00B97F48">
        <w:t xml:space="preserve">The units or modules </w:t>
      </w:r>
    </w:p>
    <w:p w14:paraId="59541949" w14:textId="77777777" w:rsidR="00B97F48" w:rsidRPr="00B97F48" w:rsidRDefault="00B97F48" w:rsidP="00B97F48">
      <w:pPr>
        <w:pStyle w:val="Body"/>
        <w:numPr>
          <w:ilvl w:val="0"/>
          <w:numId w:val="32"/>
        </w:numPr>
        <w:jc w:val="both"/>
      </w:pPr>
      <w:r w:rsidRPr="00B97F48">
        <w:t>ECTS: work load expressed in credits</w:t>
      </w:r>
    </w:p>
    <w:p w14:paraId="0A5ADCD1" w14:textId="77777777" w:rsidR="00B97F48" w:rsidRPr="00B97F48" w:rsidRDefault="00B97F48" w:rsidP="00B97F48">
      <w:pPr>
        <w:pStyle w:val="Body"/>
        <w:numPr>
          <w:ilvl w:val="0"/>
          <w:numId w:val="32"/>
        </w:numPr>
        <w:jc w:val="both"/>
      </w:pPr>
      <w:r w:rsidRPr="00B97F48">
        <w:t>The modes of delivery: contact hours, distance education or e-learning</w:t>
      </w:r>
    </w:p>
    <w:p w14:paraId="5AD5E27D" w14:textId="77777777" w:rsidR="00B97F48" w:rsidRPr="00B97F48" w:rsidRDefault="00B97F48" w:rsidP="00B97F48">
      <w:pPr>
        <w:pStyle w:val="Body"/>
        <w:numPr>
          <w:ilvl w:val="0"/>
          <w:numId w:val="32"/>
        </w:numPr>
        <w:jc w:val="both"/>
      </w:pPr>
      <w:r w:rsidRPr="00B97F48">
        <w:t>The assessment methods that enable the achievement of the learning outcomes to be demonstrated</w:t>
      </w:r>
    </w:p>
    <w:p w14:paraId="5A5EC7D3" w14:textId="77777777" w:rsidR="00B97F48" w:rsidRPr="00B97F48" w:rsidRDefault="00B97F48" w:rsidP="00B97F48">
      <w:pPr>
        <w:pStyle w:val="Body"/>
        <w:numPr>
          <w:ilvl w:val="0"/>
          <w:numId w:val="32"/>
        </w:numPr>
        <w:jc w:val="both"/>
      </w:pPr>
      <w:r w:rsidRPr="00B97F48">
        <w:t>Language(s) of instruction</w:t>
      </w:r>
    </w:p>
    <w:p w14:paraId="0124D182" w14:textId="77777777" w:rsidR="00B97F48" w:rsidRPr="00B97F48" w:rsidRDefault="00B97F48" w:rsidP="00B97F48">
      <w:pPr>
        <w:pStyle w:val="Body"/>
        <w:numPr>
          <w:ilvl w:val="0"/>
          <w:numId w:val="32"/>
        </w:numPr>
        <w:jc w:val="both"/>
      </w:pPr>
      <w:r w:rsidRPr="00B97F48">
        <w:t>Student learning support and facilities</w:t>
      </w:r>
    </w:p>
    <w:p w14:paraId="7C861242" w14:textId="77777777" w:rsidR="00B97F48" w:rsidRPr="00B97F48" w:rsidRDefault="00B97F48" w:rsidP="00B97F48">
      <w:pPr>
        <w:pStyle w:val="Body"/>
        <w:numPr>
          <w:ilvl w:val="0"/>
          <w:numId w:val="32"/>
        </w:numPr>
        <w:jc w:val="both"/>
      </w:pPr>
      <w:r w:rsidRPr="00B97F48">
        <w:t>Equal opportunities for disabled students</w:t>
      </w:r>
    </w:p>
    <w:p w14:paraId="3E776A5C" w14:textId="77777777" w:rsidR="00B97F48" w:rsidRPr="00B97F48" w:rsidRDefault="00B97F48" w:rsidP="00B97F48">
      <w:pPr>
        <w:pStyle w:val="Body"/>
        <w:numPr>
          <w:ilvl w:val="0"/>
          <w:numId w:val="32"/>
        </w:numPr>
        <w:jc w:val="both"/>
      </w:pPr>
      <w:r w:rsidRPr="00B97F48">
        <w:t>Opportunities for mobility and/or work placements</w:t>
      </w:r>
    </w:p>
    <w:p w14:paraId="06381E85" w14:textId="77777777" w:rsidR="00B97F48" w:rsidRPr="00B97F48" w:rsidRDefault="00B97F48" w:rsidP="00B97F48">
      <w:pPr>
        <w:pStyle w:val="Body"/>
        <w:numPr>
          <w:ilvl w:val="0"/>
          <w:numId w:val="32"/>
        </w:numPr>
        <w:jc w:val="both"/>
      </w:pPr>
      <w:r w:rsidRPr="00B97F48">
        <w:t>The profile of the program: more professionally oriented or more academically oriented</w:t>
      </w:r>
    </w:p>
    <w:p w14:paraId="31F798A7" w14:textId="77777777" w:rsidR="00B97F48" w:rsidRPr="00B97F48" w:rsidRDefault="00B97F48" w:rsidP="00B97F48">
      <w:pPr>
        <w:pStyle w:val="Body"/>
        <w:numPr>
          <w:ilvl w:val="0"/>
          <w:numId w:val="32"/>
        </w:numPr>
        <w:jc w:val="both"/>
      </w:pPr>
      <w:r w:rsidRPr="00B97F48">
        <w:t>Information about the employability of the graduates in particular the situation of the graduates on the labor market and their professional career based on a tracking systems of graduates</w:t>
      </w:r>
    </w:p>
    <w:p w14:paraId="02A80B53" w14:textId="77777777" w:rsidR="00B97F48" w:rsidRPr="00B97F48" w:rsidRDefault="00B97F48" w:rsidP="00B97F48">
      <w:pPr>
        <w:pStyle w:val="Body"/>
        <w:numPr>
          <w:ilvl w:val="0"/>
          <w:numId w:val="32"/>
        </w:numPr>
        <w:jc w:val="both"/>
      </w:pPr>
      <w:r w:rsidRPr="00B97F48">
        <w:t>Information about the rights associated to the qualification in particular in terms of access to regulated professions</w:t>
      </w:r>
    </w:p>
    <w:p w14:paraId="03C71BAA" w14:textId="77777777" w:rsidR="00B97F48" w:rsidRPr="00B97F48" w:rsidRDefault="00B97F48" w:rsidP="00B97F48">
      <w:pPr>
        <w:pStyle w:val="Body"/>
        <w:numPr>
          <w:ilvl w:val="0"/>
          <w:numId w:val="32"/>
        </w:numPr>
        <w:jc w:val="both"/>
      </w:pPr>
      <w:r w:rsidRPr="00B97F48">
        <w:t>Opportunities for recognition of prior experiential learning</w:t>
      </w:r>
    </w:p>
    <w:p w14:paraId="087CF832" w14:textId="77777777" w:rsidR="00B97F48" w:rsidRPr="00B97F48" w:rsidRDefault="00B97F48" w:rsidP="00B40521">
      <w:pPr>
        <w:pStyle w:val="Body"/>
        <w:numPr>
          <w:ilvl w:val="4"/>
          <w:numId w:val="118"/>
        </w:numPr>
        <w:tabs>
          <w:tab w:val="clear" w:pos="3720"/>
          <w:tab w:val="num" w:pos="567"/>
        </w:tabs>
        <w:ind w:hanging="3436"/>
        <w:jc w:val="both"/>
      </w:pPr>
      <w:r w:rsidRPr="00B97F48">
        <w:t>The Diploma Supplement issued upon graduation</w:t>
      </w:r>
    </w:p>
    <w:p w14:paraId="3D4A3972" w14:textId="77777777" w:rsidR="00B97F48" w:rsidRPr="00B97F48" w:rsidRDefault="00B97F48" w:rsidP="00B97F48">
      <w:pPr>
        <w:pStyle w:val="Body"/>
        <w:ind w:left="567"/>
        <w:jc w:val="both"/>
      </w:pPr>
    </w:p>
    <w:p w14:paraId="638AAA33" w14:textId="77777777" w:rsidR="00B97F48" w:rsidRPr="00B97F48" w:rsidRDefault="00B97F48" w:rsidP="00B40521">
      <w:pPr>
        <w:pStyle w:val="Body"/>
        <w:numPr>
          <w:ilvl w:val="3"/>
          <w:numId w:val="118"/>
        </w:numPr>
        <w:tabs>
          <w:tab w:val="clear" w:pos="3000"/>
          <w:tab w:val="left" w:pos="142"/>
          <w:tab w:val="num" w:pos="567"/>
        </w:tabs>
        <w:ind w:left="567" w:hanging="567"/>
        <w:jc w:val="both"/>
      </w:pPr>
      <w:r w:rsidRPr="00B97F48">
        <w:t>Quality assurance</w:t>
      </w:r>
    </w:p>
    <w:p w14:paraId="59B04D07" w14:textId="77777777" w:rsidR="00B97F48" w:rsidRPr="00B97F48" w:rsidRDefault="00B97F48" w:rsidP="00B97F48">
      <w:pPr>
        <w:pStyle w:val="Body"/>
        <w:tabs>
          <w:tab w:val="left" w:pos="142"/>
        </w:tabs>
        <w:ind w:left="567"/>
        <w:jc w:val="both"/>
      </w:pPr>
    </w:p>
    <w:p w14:paraId="5B87F1F6" w14:textId="77777777" w:rsidR="00B97F48" w:rsidRPr="00B97F48" w:rsidRDefault="00B97F48" w:rsidP="00B40521">
      <w:pPr>
        <w:pStyle w:val="Body"/>
        <w:numPr>
          <w:ilvl w:val="4"/>
          <w:numId w:val="118"/>
        </w:numPr>
        <w:tabs>
          <w:tab w:val="clear" w:pos="3720"/>
          <w:tab w:val="left" w:pos="142"/>
          <w:tab w:val="num" w:pos="567"/>
        </w:tabs>
        <w:ind w:left="567" w:hanging="283"/>
        <w:jc w:val="both"/>
      </w:pPr>
      <w:r w:rsidRPr="00B97F48">
        <w:t>A common European system for quality assurance of higher education: the Standards and Guidelines for Quality Assurance in the European Higher Education Area;</w:t>
      </w:r>
    </w:p>
    <w:p w14:paraId="095A6434" w14:textId="77777777" w:rsidR="00B97F48" w:rsidRPr="00B97F48" w:rsidRDefault="00B97F48" w:rsidP="00B40521">
      <w:pPr>
        <w:pStyle w:val="Body"/>
        <w:numPr>
          <w:ilvl w:val="4"/>
          <w:numId w:val="118"/>
        </w:numPr>
        <w:tabs>
          <w:tab w:val="clear" w:pos="3720"/>
          <w:tab w:val="left" w:pos="142"/>
          <w:tab w:val="num" w:pos="567"/>
        </w:tabs>
        <w:ind w:left="567" w:hanging="283"/>
        <w:jc w:val="both"/>
      </w:pPr>
      <w:r w:rsidRPr="00B97F48">
        <w:t>A national system for quality assurance of higher education in compliance with the European Standards and Guidelines for Quality assurance in the European Higher Education Area ensuring that the standards are met in the qualifications awarded</w:t>
      </w:r>
    </w:p>
    <w:p w14:paraId="6BC2DFB4" w14:textId="77777777" w:rsidR="00B97F48" w:rsidRPr="00B97F48" w:rsidRDefault="00B97F48" w:rsidP="00B97F48">
      <w:pPr>
        <w:pStyle w:val="Body"/>
        <w:tabs>
          <w:tab w:val="left" w:pos="142"/>
          <w:tab w:val="num" w:pos="567"/>
        </w:tabs>
        <w:ind w:left="567" w:hanging="283"/>
        <w:jc w:val="both"/>
      </w:pPr>
      <w:r w:rsidRPr="00B97F48">
        <w:t xml:space="preserve"> </w:t>
      </w:r>
    </w:p>
    <w:p w14:paraId="2E0CDACD" w14:textId="77777777" w:rsidR="00B97F48" w:rsidRPr="00B97F48" w:rsidRDefault="00B97F48" w:rsidP="00B97F48">
      <w:pPr>
        <w:pStyle w:val="Body"/>
        <w:tabs>
          <w:tab w:val="left" w:pos="142"/>
          <w:tab w:val="num" w:pos="567"/>
        </w:tabs>
        <w:ind w:left="993" w:hanging="567"/>
        <w:jc w:val="both"/>
      </w:pPr>
    </w:p>
    <w:p w14:paraId="3E32BF38" w14:textId="77777777" w:rsidR="00B97F48" w:rsidRPr="00B97F48" w:rsidRDefault="00B97F48" w:rsidP="00B40521">
      <w:pPr>
        <w:pStyle w:val="Body"/>
        <w:numPr>
          <w:ilvl w:val="3"/>
          <w:numId w:val="118"/>
        </w:numPr>
        <w:tabs>
          <w:tab w:val="clear" w:pos="3000"/>
          <w:tab w:val="left" w:pos="142"/>
          <w:tab w:val="num" w:pos="567"/>
        </w:tabs>
        <w:ind w:left="567" w:hanging="567"/>
        <w:jc w:val="both"/>
      </w:pPr>
      <w:r w:rsidRPr="00B97F48">
        <w:t>Recognition</w:t>
      </w:r>
    </w:p>
    <w:p w14:paraId="3BDE8B87" w14:textId="77777777" w:rsidR="00B97F48" w:rsidRPr="00B97F48" w:rsidRDefault="00B97F48" w:rsidP="00B97F48">
      <w:pPr>
        <w:pStyle w:val="Body"/>
        <w:tabs>
          <w:tab w:val="left" w:pos="142"/>
        </w:tabs>
        <w:ind w:left="567"/>
        <w:jc w:val="both"/>
      </w:pPr>
    </w:p>
    <w:p w14:paraId="639B9F1F" w14:textId="77777777" w:rsidR="00B97F48" w:rsidRPr="00B97F48" w:rsidRDefault="00B97F48" w:rsidP="00B40521">
      <w:pPr>
        <w:pStyle w:val="Body"/>
        <w:numPr>
          <w:ilvl w:val="4"/>
          <w:numId w:val="118"/>
        </w:numPr>
        <w:tabs>
          <w:tab w:val="clear" w:pos="3720"/>
          <w:tab w:val="left" w:pos="142"/>
          <w:tab w:val="num" w:pos="567"/>
        </w:tabs>
        <w:ind w:left="567" w:hanging="283"/>
        <w:jc w:val="both"/>
      </w:pPr>
      <w:r w:rsidRPr="00B97F48">
        <w:t>A common European framework for recognition of prior formal and non-formal and informal learning in accordance with the Council of Europe/UNESCO Lisbon Recognition Convention</w:t>
      </w:r>
    </w:p>
    <w:p w14:paraId="6434435F" w14:textId="77777777" w:rsidR="00B97F48" w:rsidRPr="00B97F48" w:rsidRDefault="00B97F48" w:rsidP="00B40521">
      <w:pPr>
        <w:pStyle w:val="Body"/>
        <w:numPr>
          <w:ilvl w:val="4"/>
          <w:numId w:val="118"/>
        </w:numPr>
        <w:tabs>
          <w:tab w:val="clear" w:pos="3720"/>
          <w:tab w:val="left" w:pos="567"/>
          <w:tab w:val="num" w:pos="709"/>
        </w:tabs>
        <w:ind w:left="567" w:hanging="283"/>
        <w:jc w:val="both"/>
      </w:pPr>
      <w:r w:rsidRPr="00B97F48">
        <w:t>A national regulatory framework for recognition of prior formal and non-formal and informal learning ensuring a fair and equal treatment of every application (full implementation of the principles of the Lisbon Recognition Convention and in particular easy access to the system, timely decisions, a minimal administrative burden) and ensuring easy acceptance of all qualifications awarded in the EHEA provided that the structural reforms have been implemented properly.</w:t>
      </w:r>
    </w:p>
    <w:p w14:paraId="44098EEB" w14:textId="77777777" w:rsidR="00B97F48" w:rsidRPr="00B97F48" w:rsidRDefault="00B97F48" w:rsidP="00633F6F">
      <w:pPr>
        <w:pStyle w:val="NoSpacing"/>
        <w:jc w:val="both"/>
      </w:pPr>
    </w:p>
    <w:p w14:paraId="3DBCAD6E" w14:textId="77777777" w:rsidR="00787ED4" w:rsidRDefault="00787ED4" w:rsidP="00080625">
      <w:pPr>
        <w:pStyle w:val="Body"/>
      </w:pPr>
    </w:p>
    <w:p w14:paraId="0A56298F" w14:textId="77777777" w:rsidR="00080625" w:rsidRDefault="00080625" w:rsidP="00080625">
      <w:pPr>
        <w:pStyle w:val="Body"/>
      </w:pPr>
      <w:r>
        <w:t>Furthermore we need a common understanding of learning outcomes:</w:t>
      </w:r>
    </w:p>
    <w:p w14:paraId="26850933" w14:textId="77777777" w:rsidR="00787ED4" w:rsidRDefault="00787ED4" w:rsidP="00080625">
      <w:pPr>
        <w:pStyle w:val="Body"/>
      </w:pPr>
    </w:p>
    <w:p w14:paraId="58BEB07C" w14:textId="77777777" w:rsidR="00080625" w:rsidRDefault="00080625" w:rsidP="00B40521">
      <w:pPr>
        <w:pStyle w:val="ListParagraph"/>
        <w:numPr>
          <w:ilvl w:val="0"/>
          <w:numId w:val="48"/>
        </w:numPr>
        <w:tabs>
          <w:tab w:val="left" w:pos="567"/>
        </w:tabs>
      </w:pPr>
      <w:r>
        <w:t>Knowledge and understanding</w:t>
      </w:r>
    </w:p>
    <w:p w14:paraId="26855F6A" w14:textId="77777777" w:rsidR="00080625" w:rsidRDefault="00080625" w:rsidP="00B40521">
      <w:pPr>
        <w:pStyle w:val="ListParagraph"/>
        <w:numPr>
          <w:ilvl w:val="0"/>
          <w:numId w:val="49"/>
        </w:numPr>
        <w:tabs>
          <w:tab w:val="left" w:pos="567"/>
        </w:tabs>
      </w:pPr>
      <w:r>
        <w:t>Generic competences</w:t>
      </w:r>
    </w:p>
    <w:p w14:paraId="65AA1B3B" w14:textId="77777777" w:rsidR="00080625" w:rsidRDefault="00080625" w:rsidP="00B40521">
      <w:pPr>
        <w:pStyle w:val="ListParagraph"/>
        <w:numPr>
          <w:ilvl w:val="0"/>
          <w:numId w:val="50"/>
        </w:numPr>
        <w:tabs>
          <w:tab w:val="left" w:pos="567"/>
        </w:tabs>
      </w:pPr>
      <w:r>
        <w:t>Subject specific competences</w:t>
      </w:r>
    </w:p>
    <w:p w14:paraId="49E38957" w14:textId="77777777" w:rsidR="00080625" w:rsidRDefault="00080625" w:rsidP="00B40521">
      <w:pPr>
        <w:pStyle w:val="ListParagraph"/>
        <w:numPr>
          <w:ilvl w:val="0"/>
          <w:numId w:val="51"/>
        </w:numPr>
        <w:tabs>
          <w:tab w:val="left" w:pos="567"/>
        </w:tabs>
      </w:pPr>
      <w:r>
        <w:t>Indication of level</w:t>
      </w:r>
    </w:p>
    <w:p w14:paraId="39189F74" w14:textId="77777777" w:rsidR="00787ED4" w:rsidRDefault="00787ED4" w:rsidP="00080625">
      <w:pPr>
        <w:pStyle w:val="Body"/>
      </w:pPr>
    </w:p>
    <w:p w14:paraId="00A9FE9C" w14:textId="77777777" w:rsidR="00290305" w:rsidRDefault="00290305" w:rsidP="00290305">
      <w:pPr>
        <w:pStyle w:val="Body"/>
        <w:jc w:val="both"/>
      </w:pPr>
      <w:r>
        <w:t>The European area for transparency and recognition as described in the previous paragraphs will enhance our understanding of the diversity of higher education systems, higher education institutions and programs.</w:t>
      </w:r>
    </w:p>
    <w:p w14:paraId="14995581" w14:textId="77777777" w:rsidR="00290305" w:rsidRDefault="00290305" w:rsidP="00290305">
      <w:pPr>
        <w:pStyle w:val="Body"/>
        <w:jc w:val="both"/>
      </w:pPr>
    </w:p>
    <w:p w14:paraId="5971FD7F" w14:textId="77777777" w:rsidR="00290305" w:rsidRDefault="00290305" w:rsidP="00290305">
      <w:pPr>
        <w:pStyle w:val="Body"/>
        <w:jc w:val="both"/>
      </w:pPr>
      <w:r>
        <w:t xml:space="preserve">The European area for transparency and recognition is also essential to developing the social dimension of higher education in practice: the social dimension understood as including all provisions needed to have equitable access into, progress in, and completion of higher education. </w:t>
      </w:r>
    </w:p>
    <w:p w14:paraId="0516C8FE" w14:textId="77777777" w:rsidR="00290305" w:rsidRDefault="00290305" w:rsidP="00290305">
      <w:pPr>
        <w:pStyle w:val="Body"/>
        <w:jc w:val="both"/>
      </w:pPr>
      <w:r>
        <w:t xml:space="preserve">Goals like the social dimension and employability can only be reached if they are set in the perspective of lifelong learning. The concept of lifelong learning is a broad one where learning takes place through an education that is diverse, flexible and available at different times and places and that is pursued throughout the life course. </w:t>
      </w:r>
    </w:p>
    <w:p w14:paraId="56297DF5" w14:textId="77777777" w:rsidR="00290305" w:rsidRDefault="00290305" w:rsidP="00290305">
      <w:pPr>
        <w:pStyle w:val="Body"/>
        <w:jc w:val="both"/>
      </w:pPr>
    </w:p>
    <w:p w14:paraId="10D1F700" w14:textId="77777777" w:rsidR="00290305" w:rsidRDefault="00290305" w:rsidP="00290305">
      <w:pPr>
        <w:pStyle w:val="Body"/>
        <w:jc w:val="both"/>
      </w:pPr>
      <w:r>
        <w:t>All national regulatory frameworks implementing the structural reforms of the EHEA should provide a space for easily developing joint study programs and joint degrees.</w:t>
      </w:r>
    </w:p>
    <w:p w14:paraId="61FD6A0E" w14:textId="77777777" w:rsidR="00080625" w:rsidRDefault="00080625" w:rsidP="00080625">
      <w:pPr>
        <w:pStyle w:val="Body"/>
      </w:pPr>
    </w:p>
    <w:p w14:paraId="51DA779F" w14:textId="77777777" w:rsidR="00080625" w:rsidRDefault="00080625" w:rsidP="00080625">
      <w:pPr>
        <w:pStyle w:val="Body"/>
        <w:rPr>
          <w:b/>
          <w:bCs/>
          <w:i/>
          <w:iCs/>
        </w:rPr>
      </w:pPr>
      <w:r w:rsidRPr="003B23C3">
        <w:rPr>
          <w:b/>
          <w:bCs/>
          <w:i/>
          <w:iCs/>
        </w:rPr>
        <w:t>Recommendation</w:t>
      </w:r>
      <w:r>
        <w:rPr>
          <w:b/>
          <w:bCs/>
          <w:i/>
          <w:iCs/>
        </w:rPr>
        <w:t>s</w:t>
      </w:r>
      <w:r w:rsidR="003E4D08">
        <w:rPr>
          <w:b/>
          <w:bCs/>
          <w:i/>
          <w:iCs/>
        </w:rPr>
        <w:br/>
      </w:r>
    </w:p>
    <w:p w14:paraId="452BF51D" w14:textId="77777777" w:rsidR="00080625" w:rsidRDefault="00080625" w:rsidP="00B40521">
      <w:pPr>
        <w:pStyle w:val="Body"/>
        <w:numPr>
          <w:ilvl w:val="0"/>
          <w:numId w:val="85"/>
        </w:numPr>
        <w:ind w:hanging="720"/>
        <w:jc w:val="both"/>
        <w:rPr>
          <w:iCs/>
          <w:color w:val="auto"/>
          <w:u w:color="FF0000"/>
        </w:rPr>
      </w:pPr>
      <w:r>
        <w:rPr>
          <w:iCs/>
          <w:color w:val="auto"/>
          <w:u w:color="FF0000"/>
        </w:rPr>
        <w:t>Public authorities should communicate the vision and mission of the European Higher Education Area;</w:t>
      </w:r>
    </w:p>
    <w:p w14:paraId="42673805" w14:textId="77777777" w:rsidR="00080625" w:rsidRPr="00A25340" w:rsidRDefault="00080625" w:rsidP="00B40521">
      <w:pPr>
        <w:pStyle w:val="Body"/>
        <w:numPr>
          <w:ilvl w:val="0"/>
          <w:numId w:val="85"/>
        </w:numPr>
        <w:ind w:hanging="720"/>
        <w:jc w:val="both"/>
        <w:rPr>
          <w:iCs/>
          <w:color w:val="auto"/>
          <w:u w:color="FF0000"/>
        </w:rPr>
      </w:pPr>
      <w:r w:rsidRPr="00A25340">
        <w:rPr>
          <w:iCs/>
          <w:color w:val="auto"/>
          <w:u w:color="FF0000"/>
        </w:rPr>
        <w:t xml:space="preserve">In their policies and communication, public authorities should take account of the linkage between the different areas of structural reforms as well as the link between these and other policy objectives, such as </w:t>
      </w:r>
      <w:r w:rsidR="00D41C57">
        <w:rPr>
          <w:iCs/>
          <w:color w:val="auto"/>
          <w:u w:color="FF0000"/>
        </w:rPr>
        <w:t xml:space="preserve">employability, </w:t>
      </w:r>
      <w:r w:rsidRPr="00A25340">
        <w:rPr>
          <w:iCs/>
          <w:color w:val="auto"/>
          <w:u w:color="FF0000"/>
        </w:rPr>
        <w:t>internationalization and the social dimension.</w:t>
      </w:r>
    </w:p>
    <w:p w14:paraId="0CDCF388" w14:textId="77777777" w:rsidR="00080625" w:rsidRDefault="00080625" w:rsidP="00B40521">
      <w:pPr>
        <w:pStyle w:val="ListParagraph"/>
        <w:numPr>
          <w:ilvl w:val="0"/>
          <w:numId w:val="85"/>
        </w:numPr>
        <w:ind w:hanging="720"/>
      </w:pPr>
      <w:r>
        <w:t>EHEA members should communicate clearly how the different tools and instruments that constitute the Transparency Framework interrelate and work together.</w:t>
      </w:r>
    </w:p>
    <w:p w14:paraId="13776879" w14:textId="77777777" w:rsidR="00080625" w:rsidRDefault="00080625" w:rsidP="00B40521">
      <w:pPr>
        <w:pStyle w:val="ListParagraph"/>
        <w:numPr>
          <w:ilvl w:val="0"/>
          <w:numId w:val="85"/>
        </w:numPr>
        <w:ind w:hanging="720"/>
      </w:pPr>
      <w:r>
        <w:t>EHEA members should encourage communication and cooperation between different actors/organizations that bear main responsibility for the different tools/instruments.</w:t>
      </w:r>
    </w:p>
    <w:p w14:paraId="66EFA90B" w14:textId="77777777" w:rsidR="00080625" w:rsidRDefault="00080625" w:rsidP="00B40521">
      <w:pPr>
        <w:pStyle w:val="ListParagraph"/>
        <w:numPr>
          <w:ilvl w:val="0"/>
          <w:numId w:val="85"/>
        </w:numPr>
        <w:ind w:hanging="720"/>
      </w:pPr>
      <w:r>
        <w:lastRenderedPageBreak/>
        <w:t>Template leaflets/presentations should be developed explaining the European Transparency Framework and how its components work hand-in-hand, not only at European level but also how it should be at national level</w:t>
      </w:r>
      <w:r w:rsidR="005A0547">
        <w:t>.</w:t>
      </w:r>
    </w:p>
    <w:p w14:paraId="133508F4" w14:textId="77777777" w:rsidR="00080625" w:rsidRDefault="00080625" w:rsidP="00080625">
      <w:pPr>
        <w:pStyle w:val="Body"/>
        <w:rPr>
          <w:iCs/>
          <w:color w:val="FF0000"/>
          <w:u w:color="FF0000"/>
        </w:rPr>
      </w:pPr>
    </w:p>
    <w:p w14:paraId="74A53913" w14:textId="77777777" w:rsidR="005A0547" w:rsidRDefault="005A0547" w:rsidP="00080625">
      <w:pPr>
        <w:pStyle w:val="Body"/>
        <w:rPr>
          <w:iCs/>
          <w:color w:val="FF0000"/>
          <w:u w:color="FF0000"/>
        </w:rPr>
      </w:pPr>
    </w:p>
    <w:p w14:paraId="018B9633" w14:textId="77777777" w:rsidR="005A0547" w:rsidRPr="003B23C3" w:rsidRDefault="005A0547" w:rsidP="00080625">
      <w:pPr>
        <w:pStyle w:val="Body"/>
        <w:rPr>
          <w:iCs/>
          <w:color w:val="FF0000"/>
          <w:u w:color="FF0000"/>
        </w:rPr>
      </w:pPr>
    </w:p>
    <w:p w14:paraId="630DE596" w14:textId="77777777" w:rsidR="00080625" w:rsidRDefault="00080625" w:rsidP="00080625">
      <w:pPr>
        <w:pStyle w:val="Body"/>
      </w:pPr>
      <w:r>
        <w:rPr>
          <w:rFonts w:ascii="Times New Roman Bold"/>
        </w:rPr>
        <w:t>III.1</w:t>
      </w:r>
      <w:r>
        <w:rPr>
          <w:rFonts w:ascii="Times New Roman Bold"/>
        </w:rPr>
        <w:tab/>
        <w:t>Learning outcomes</w:t>
      </w:r>
      <w:r>
        <w:t xml:space="preserve"> (ToR no. 2)</w:t>
      </w:r>
    </w:p>
    <w:p w14:paraId="272D9B23" w14:textId="77777777" w:rsidR="003E4D08" w:rsidRDefault="003E4D08" w:rsidP="00080625">
      <w:pPr>
        <w:pStyle w:val="Body"/>
      </w:pPr>
    </w:p>
    <w:p w14:paraId="1BA56562" w14:textId="77777777" w:rsidR="00080625" w:rsidRDefault="00080625" w:rsidP="003E4D08">
      <w:pPr>
        <w:pStyle w:val="NoSpacing"/>
        <w:jc w:val="both"/>
      </w:pPr>
      <w:r>
        <w:t xml:space="preserve">Learning outcomes are commonly understood as describing what learners know, understand and are able to do on the background of a given qualification. The SRWG believes that attitudes </w:t>
      </w:r>
      <w:r>
        <w:rPr>
          <w:rFonts w:ascii="Arial Unicode MS"/>
        </w:rPr>
        <w:t>–</w:t>
      </w:r>
      <w:r>
        <w:rPr>
          <w:rFonts w:ascii="Arial Unicode MS"/>
        </w:rPr>
        <w:t xml:space="preserve"> </w:t>
      </w:r>
      <w:r>
        <w:t xml:space="preserve">i.e. ethical standards; not only what a learner is able to do but also what (s)he is willing to do  </w:t>
      </w:r>
      <w:r>
        <w:rPr>
          <w:rFonts w:ascii="Arial Unicode MS"/>
        </w:rPr>
        <w:t>–</w:t>
      </w:r>
      <w:r>
        <w:rPr>
          <w:rFonts w:ascii="Arial Unicode MS"/>
        </w:rPr>
        <w:t xml:space="preserve"> </w:t>
      </w:r>
      <w:r>
        <w:t>should be a part of our understanding of learning outcomes.</w:t>
      </w:r>
    </w:p>
    <w:p w14:paraId="332F2802" w14:textId="77777777" w:rsidR="003E4D08" w:rsidRDefault="003E4D08" w:rsidP="003E4D08">
      <w:pPr>
        <w:pStyle w:val="NoSpacing"/>
        <w:jc w:val="both"/>
      </w:pPr>
    </w:p>
    <w:p w14:paraId="331EB28A" w14:textId="77777777" w:rsidR="00080625" w:rsidRDefault="00080625" w:rsidP="003E4D08">
      <w:pPr>
        <w:pStyle w:val="NoSpacing"/>
        <w:jc w:val="both"/>
      </w:pPr>
      <w:r>
        <w:t>Learning outcomes are an important transversal element for the four main policy areas. They represent a shift in focus from procedural considerations to considerations of what learners know, understand and are able to do on the basis of a qualification as well as of the attitudes they have developed in the course of their education</w:t>
      </w:r>
      <w:r>
        <w:rPr>
          <w:rFonts w:eastAsia="Times New Roman"/>
          <w:vertAlign w:val="superscript"/>
        </w:rPr>
        <w:footnoteReference w:id="15"/>
      </w:r>
      <w:r>
        <w:t xml:space="preserve">. They also support implementation of the student-centered learning approach in teaching and learning processes, in which teachers, students and institutions need to continuously reflect on their teaching, learning and infrastructural systems in order to improve the learning experience of students and ensure that the intended learning outcomes of a given course or educational component are achieved in a way that stimulates critical thinking and transferable skills. </w:t>
      </w:r>
    </w:p>
    <w:p w14:paraId="3BB41B7E" w14:textId="77777777" w:rsidR="003E4D08" w:rsidRDefault="003E4D08" w:rsidP="003E4D08">
      <w:pPr>
        <w:pStyle w:val="NoSpacing"/>
        <w:jc w:val="both"/>
      </w:pPr>
    </w:p>
    <w:p w14:paraId="078F95EE" w14:textId="77777777" w:rsidR="00080625" w:rsidRDefault="00080625" w:rsidP="003E4D08">
      <w:pPr>
        <w:pStyle w:val="NoSpacing"/>
        <w:jc w:val="both"/>
      </w:pPr>
      <w:r>
        <w:t xml:space="preserve">Ideally, learning outcomes should be linked to qualifications frameworks.  They should be obtained in programs that have been quality assured, and these programs should in themselves be an important part of the internal quality development in higher education institutions. Learning outcomes that are described and assessed in transparent ways should be a key building block of the EHEA.  At the same time, it is clear that </w:t>
      </w:r>
      <w:r>
        <w:rPr>
          <w:rFonts w:ascii="Arial Unicode MS"/>
        </w:rPr>
        <w:t>–</w:t>
      </w:r>
      <w:r>
        <w:rPr>
          <w:rFonts w:ascii="Arial Unicode MS"/>
        </w:rPr>
        <w:t xml:space="preserve"> </w:t>
      </w:r>
      <w:r>
        <w:t xml:space="preserve">like automatic recognition - this is very much a goal for the future and that much work is still required for learning outcomes to become a key element of policy and practice in all parts of the EHEA. </w:t>
      </w:r>
    </w:p>
    <w:p w14:paraId="2A77872E" w14:textId="77777777" w:rsidR="003E4D08" w:rsidRDefault="003E4D08" w:rsidP="003E4D08">
      <w:pPr>
        <w:pStyle w:val="NoSpacing"/>
        <w:jc w:val="both"/>
      </w:pPr>
    </w:p>
    <w:p w14:paraId="4689C0A2" w14:textId="77777777" w:rsidR="00080625" w:rsidRPr="004A4FAE" w:rsidRDefault="00080625" w:rsidP="003E4D08">
      <w:pPr>
        <w:pStyle w:val="NoSpacing"/>
        <w:jc w:val="both"/>
      </w:pPr>
      <w:r>
        <w:t>Learning outcomes are an element of all cycles of education, including doctoral education</w:t>
      </w:r>
      <w:r>
        <w:rPr>
          <w:rStyle w:val="FootnoteReference"/>
        </w:rPr>
        <w:footnoteReference w:id="16"/>
      </w:r>
      <w:r>
        <w:t xml:space="preserve">. Holders of doctoral qualifications possess specific knowledge, understanding, abilities and attitudes that were developed and strengthened during the research training, mainly but not only related to the conduct of original research. </w:t>
      </w:r>
    </w:p>
    <w:p w14:paraId="2DAFE749" w14:textId="77777777" w:rsidR="00080625" w:rsidRDefault="00080625" w:rsidP="00080625">
      <w:pPr>
        <w:pStyle w:val="Body"/>
      </w:pPr>
    </w:p>
    <w:p w14:paraId="5048AC97" w14:textId="77777777" w:rsidR="00080625" w:rsidRDefault="00080625" w:rsidP="003E4D08">
      <w:pPr>
        <w:jc w:val="both"/>
      </w:pPr>
      <w:r>
        <w:t xml:space="preserve">While some countries have come far in developing, describing, using and assessing learning outcomes and have made them a feature of all or most higher education programs and degrees, in other countries, the concept of learning outcomes is still insufficiently understood by most members of the higher education community.  Although learning outcomes have become key in </w:t>
      </w:r>
      <w:r>
        <w:lastRenderedPageBreak/>
        <w:t>qualifications frameworks, ECTS, the Tuning project and other contexts, they are not yet at the core of the teaching community, at least not in all parts of the community. Differences are not only between countries: there may also be differences between academic disciplines in the extent to which learning outcomes have been developed and implemented.  The issue is particularly difficult because it touches on fundamental aspects of higher education culture and practice and a change of description does not automatically entail change of practice.</w:t>
      </w:r>
      <w:r w:rsidRPr="00F81084">
        <w:t xml:space="preserve"> </w:t>
      </w:r>
      <w:r>
        <w:t xml:space="preserve">Progress in implementation is most visible where learning outcomes are used to define a study program, but less when it comes to designing new curricula, using them as principles to decide on appropriate didactics and assessment forms, and maybe the least when applying them in internal and external quality assurance. Nevertheless, proper development and implementation of learning outcomes should entail changes in and rethinking of learning, teaching and assessment methods. The assessment of learning outcomes is gaining in importance, also in relation to new forms of learning and provision, including on line. </w:t>
      </w:r>
    </w:p>
    <w:p w14:paraId="0F120B3A" w14:textId="77777777" w:rsidR="00080625" w:rsidRDefault="00080625" w:rsidP="00080625"/>
    <w:p w14:paraId="424578E7" w14:textId="77777777" w:rsidR="00080625" w:rsidRDefault="00080625" w:rsidP="008648CC">
      <w:pPr>
        <w:jc w:val="both"/>
      </w:pPr>
      <w:r>
        <w:t xml:space="preserve">Gaining broad acceptance of learning outcomes will require time, which is also to say that the work needs to start immediately where it has not already been launched. It may be advisable to start from quite generic learning outcomes in the European and national qualifications frameworks and then develop more specific learning outcomes for study fields/academic disciplines, study programs, and course units. The involvement of the external stakeholders, which is clearly a mark of the social and societal relevance of learning outcomes, is needed throughout and may be easier when it comes to the more concrete learning outcomes at program and course unit.  </w:t>
      </w:r>
    </w:p>
    <w:p w14:paraId="7E3BFEAB" w14:textId="77777777" w:rsidR="00080625" w:rsidRDefault="00080625" w:rsidP="00080625"/>
    <w:p w14:paraId="5EA5F4A2" w14:textId="77777777" w:rsidR="00080625" w:rsidRPr="004A4FAE" w:rsidRDefault="00080625" w:rsidP="008648CC">
      <w:pPr>
        <w:jc w:val="both"/>
      </w:pPr>
      <w:r>
        <w:t xml:space="preserve">The relation of learning outcomes and quality assurance is complex, which is shown by the fact that there are various interpretations of what quality assurance can assess, to what extent quality assurance can assess the intended learning outcomes, the way the learning outcomes are achieved and whether they are actually achieved by the graduates. In this discussion it should be kept in mind that trust in systems and among the different parties and stakeholders is an equally valuable tool that has proven its merits in the past, for the ESG. </w:t>
      </w:r>
    </w:p>
    <w:p w14:paraId="1FA6D746" w14:textId="77777777" w:rsidR="00080625" w:rsidRDefault="00080625" w:rsidP="00080625"/>
    <w:p w14:paraId="5E9D6BE6" w14:textId="77777777" w:rsidR="00080625" w:rsidRDefault="00080625" w:rsidP="00080625">
      <w:pPr>
        <w:pStyle w:val="Body"/>
      </w:pPr>
      <w:r>
        <w:t>If, as is clearly the intention, learning outcomes become a key feature of the European Higher Education Area as an important component of higher education programs and qualifications that are a part of national qualifications frameworks and that have been quality assured in accordance with the ESG, and that are also described through transparency instruments such as the Diploma Supplement and the ECTS, higher education policy makers and practitioners will have reliable and readily accessible information on:</w:t>
      </w:r>
    </w:p>
    <w:p w14:paraId="58413DBB" w14:textId="77777777" w:rsidR="008648CC" w:rsidRDefault="008648CC" w:rsidP="00080625">
      <w:pPr>
        <w:pStyle w:val="Body"/>
      </w:pPr>
    </w:p>
    <w:p w14:paraId="59EA0D58" w14:textId="77777777" w:rsidR="00080625" w:rsidRDefault="00080625" w:rsidP="00B40521">
      <w:pPr>
        <w:pStyle w:val="ListParagraph"/>
        <w:numPr>
          <w:ilvl w:val="0"/>
          <w:numId w:val="52"/>
        </w:numPr>
        <w:ind w:left="709" w:hanging="709"/>
      </w:pPr>
      <w:r>
        <w:t>the quality of a given program and its associated qualification at least in terms of whether it meets quality standards;</w:t>
      </w:r>
      <w:r w:rsidR="008648CC">
        <w:tab/>
      </w:r>
      <w:r w:rsidR="008648CC">
        <w:br/>
      </w:r>
    </w:p>
    <w:p w14:paraId="030EBDB7" w14:textId="77777777" w:rsidR="00080625" w:rsidRDefault="00080625" w:rsidP="00B40521">
      <w:pPr>
        <w:pStyle w:val="ListParagraph"/>
        <w:numPr>
          <w:ilvl w:val="0"/>
          <w:numId w:val="53"/>
        </w:numPr>
        <w:ind w:left="709" w:hanging="709"/>
      </w:pPr>
      <w:r>
        <w:t>the level of the qualification, as defined in the national QF and in relation to the QF-EHEA and/or the EQF;</w:t>
      </w:r>
      <w:r w:rsidR="008648CC">
        <w:tab/>
      </w:r>
      <w:r w:rsidR="008648CC">
        <w:br/>
      </w:r>
    </w:p>
    <w:p w14:paraId="6790D9AA" w14:textId="77777777" w:rsidR="008648CC" w:rsidRDefault="00080625" w:rsidP="00B40521">
      <w:pPr>
        <w:pStyle w:val="ListParagraph"/>
        <w:numPr>
          <w:ilvl w:val="0"/>
          <w:numId w:val="54"/>
        </w:numPr>
        <w:ind w:left="709" w:hanging="709"/>
      </w:pPr>
      <w:r>
        <w:t xml:space="preserve">the workload of the qualification, expressed in ECTS units (or, theoretically, ECTS </w:t>
      </w:r>
    </w:p>
    <w:p w14:paraId="3AFB33D7" w14:textId="77777777" w:rsidR="00080625" w:rsidRDefault="00080625" w:rsidP="008648CC">
      <w:pPr>
        <w:pStyle w:val="ListParagraph"/>
        <w:numPr>
          <w:ilvl w:val="0"/>
          <w:numId w:val="0"/>
        </w:numPr>
        <w:ind w:left="709"/>
      </w:pPr>
      <w:r>
        <w:t xml:space="preserve">compatible units, but ECTS is </w:t>
      </w:r>
      <w:r>
        <w:rPr>
          <w:i/>
          <w:iCs/>
        </w:rPr>
        <w:t>de facto</w:t>
      </w:r>
      <w:r>
        <w:t xml:space="preserve"> the European credit unit for describing workload). </w:t>
      </w:r>
    </w:p>
    <w:p w14:paraId="52008ADB" w14:textId="77777777" w:rsidR="008648CC" w:rsidRDefault="008648CC" w:rsidP="00080625">
      <w:pPr>
        <w:pStyle w:val="Body"/>
      </w:pPr>
    </w:p>
    <w:p w14:paraId="79DBE5E5" w14:textId="77777777" w:rsidR="00080625" w:rsidRDefault="00080625" w:rsidP="008648CC">
      <w:pPr>
        <w:pStyle w:val="Body"/>
        <w:jc w:val="both"/>
      </w:pPr>
      <w:r>
        <w:lastRenderedPageBreak/>
        <w:t xml:space="preserve">In addition, learning outcomes should provide information on the profile of the qualification. </w:t>
      </w:r>
    </w:p>
    <w:p w14:paraId="040F8971" w14:textId="77777777" w:rsidR="00204965" w:rsidRDefault="00204965" w:rsidP="00204965">
      <w:pPr>
        <w:pStyle w:val="Body"/>
        <w:jc w:val="both"/>
      </w:pPr>
    </w:p>
    <w:p w14:paraId="63186248" w14:textId="77777777" w:rsidR="00204965" w:rsidRDefault="00204965" w:rsidP="00204965">
      <w:pPr>
        <w:pStyle w:val="Body"/>
        <w:jc w:val="both"/>
      </w:pPr>
      <w:r>
        <w:t>There are different approaches to describing the learning outcomes of a study program. The full potential of the learning outcomes approach in European higher education can only be realized if there is at least a common understanding of learning outcomes and an agreement on the core elements for describing them.</w:t>
      </w:r>
    </w:p>
    <w:p w14:paraId="397F40C5" w14:textId="77777777" w:rsidR="008648CC" w:rsidRDefault="008648CC" w:rsidP="00080625">
      <w:pPr>
        <w:pStyle w:val="Body"/>
        <w:jc w:val="both"/>
      </w:pPr>
    </w:p>
    <w:p w14:paraId="61E48C86" w14:textId="77777777" w:rsidR="00080625" w:rsidRDefault="00080625" w:rsidP="00080625">
      <w:pPr>
        <w:pStyle w:val="Body"/>
        <w:jc w:val="both"/>
      </w:pPr>
      <w:r>
        <w:t xml:space="preserve">While developing, describing, using and assessing learning outcomes is objectively a difficult exercise, meeting this challenge is of fundamental importance to the further development of the European Higher Education Area. There is good reason to expect that within a few years, all members of the EHEA will have structures that, if judged on the sole basis of their formal design, will be compatible. Structures are, however, useful only if they are put into practice and this is where the real challenge lies. There is, thus, also good reason to fear that unless a common understanding of learning outcomes is developed, what will look like compatible structures will evolve into incompatible realities through uneven practice and diverse understandings of basic concepts. </w:t>
      </w:r>
    </w:p>
    <w:p w14:paraId="17EFCB0C" w14:textId="77777777" w:rsidR="00D8259F" w:rsidRDefault="00D8259F" w:rsidP="00080625">
      <w:pPr>
        <w:jc w:val="both"/>
      </w:pPr>
    </w:p>
    <w:p w14:paraId="654D4115" w14:textId="77777777" w:rsidR="00080625" w:rsidRPr="004A4FAE" w:rsidRDefault="00080625" w:rsidP="00080625">
      <w:pPr>
        <w:jc w:val="both"/>
      </w:pPr>
      <w:r>
        <w:t xml:space="preserve">It may be a stimulus for institutions to know that programs that have been developed on the basis of learning outcomes that are both generic and discipline or subject specific enable them to develop a clear profile toward both students and external stakeholders (e.g. employers), who can only benefit from such visibility. </w:t>
      </w:r>
    </w:p>
    <w:p w14:paraId="5FC6A588" w14:textId="77777777" w:rsidR="00080625" w:rsidRDefault="00080625" w:rsidP="00080625">
      <w:pPr>
        <w:pStyle w:val="Body"/>
        <w:jc w:val="both"/>
      </w:pPr>
    </w:p>
    <w:p w14:paraId="62C9499E" w14:textId="77777777" w:rsidR="00080625" w:rsidRDefault="00080625" w:rsidP="00D8259F">
      <w:pPr>
        <w:pStyle w:val="Body"/>
        <w:jc w:val="both"/>
      </w:pPr>
      <w:r>
        <w:t xml:space="preserve">This is a major challenge to the EHEA because, while structures may be developed by working groups and adopted by public authorities, practice is developed and implemented by higher education institutions and individual members of the academic community. Individual institutions will need to take the main responsibility for the development of learning outcomes within their own institution and for the training of their own staff and students. Nevertheless, establishing appropriate ways of exchanging experience across institutional boundaries and national borders is essential. Current training practice, organized by, among others the European Commission, the EUA, and EURASHE as well as the ENIC and NARIC Networks and national actors, will need to be expanded and the European dimension of such training will need to be ensured also where the training is national.  </w:t>
      </w:r>
    </w:p>
    <w:p w14:paraId="5F1A0BDC" w14:textId="77777777" w:rsidR="00080625" w:rsidRDefault="00080625" w:rsidP="00080625">
      <w:pPr>
        <w:pStyle w:val="Body"/>
      </w:pPr>
    </w:p>
    <w:p w14:paraId="0545F27C" w14:textId="77777777" w:rsidR="00080625" w:rsidRDefault="00080625" w:rsidP="00080625">
      <w:pPr>
        <w:pStyle w:val="Body"/>
        <w:rPr>
          <w:b/>
          <w:bCs/>
          <w:i/>
          <w:iCs/>
        </w:rPr>
      </w:pPr>
      <w:r w:rsidRPr="002C61B5">
        <w:rPr>
          <w:b/>
          <w:bCs/>
          <w:i/>
          <w:iCs/>
        </w:rPr>
        <w:t>Recommendations</w:t>
      </w:r>
      <w:r>
        <w:rPr>
          <w:b/>
          <w:bCs/>
          <w:i/>
          <w:iCs/>
        </w:rPr>
        <w:br/>
      </w:r>
    </w:p>
    <w:p w14:paraId="67742050" w14:textId="77777777" w:rsidR="00080625" w:rsidRDefault="00080625" w:rsidP="00B40521">
      <w:pPr>
        <w:pStyle w:val="ListParagraph"/>
        <w:numPr>
          <w:ilvl w:val="0"/>
          <w:numId w:val="55"/>
        </w:numPr>
        <w:ind w:left="709" w:hanging="709"/>
      </w:pPr>
      <w:r>
        <w:t xml:space="preserve">EHEA members should increase their effort to build capacity to develop learning outcomes at grass roots level, i.e. at department and faculty level within institutions, e.g. through professional training in the development and assessment of learning outcomes. This should be an integral part of pedagogical training for new higher education teaching staff and as such should be mandatory for all new staff and also offered to all staff currently employed.   </w:t>
      </w:r>
    </w:p>
    <w:p w14:paraId="6D088FC6" w14:textId="77777777" w:rsidR="00080625" w:rsidRDefault="00080625" w:rsidP="00B40521">
      <w:pPr>
        <w:pStyle w:val="ListParagraph"/>
        <w:numPr>
          <w:ilvl w:val="0"/>
          <w:numId w:val="55"/>
        </w:numPr>
        <w:ind w:left="709" w:hanging="709"/>
      </w:pPr>
      <w:r>
        <w:t xml:space="preserve">Training efforts at European level should focus on training the trainers, </w:t>
      </w:r>
      <w:r w:rsidRPr="003B23C3">
        <w:rPr>
          <w:i/>
        </w:rPr>
        <w:t>inter alia</w:t>
      </w:r>
      <w:r>
        <w:t xml:space="preserve"> with a view to ensuring coherence in national training and implementation.</w:t>
      </w:r>
    </w:p>
    <w:p w14:paraId="7C80A2A6" w14:textId="77777777" w:rsidR="00C4771A" w:rsidRDefault="00C4771A" w:rsidP="00C4771A">
      <w:pPr>
        <w:pStyle w:val="ListParagraph"/>
        <w:numPr>
          <w:ilvl w:val="0"/>
          <w:numId w:val="0"/>
        </w:numPr>
        <w:ind w:left="709"/>
      </w:pPr>
    </w:p>
    <w:p w14:paraId="6DECC718" w14:textId="77777777" w:rsidR="00080625" w:rsidRDefault="00080625" w:rsidP="00B40521">
      <w:pPr>
        <w:pStyle w:val="NoSpacing"/>
        <w:numPr>
          <w:ilvl w:val="0"/>
          <w:numId w:val="106"/>
        </w:numPr>
        <w:ind w:hanging="720"/>
        <w:jc w:val="both"/>
      </w:pPr>
      <w:r>
        <w:t xml:space="preserve">The BFUG should undertake, within its 2015 – 18 program, work on the development of assessment of learning outcomes in relation to new forms of learning and provision, </w:t>
      </w:r>
      <w:r>
        <w:lastRenderedPageBreak/>
        <w:t>including on line, through the ENIC and NARIC Networks and/or any other appropriate bodies and funding schemes.</w:t>
      </w:r>
    </w:p>
    <w:p w14:paraId="2F9EC93F" w14:textId="77777777" w:rsidR="00B624E5" w:rsidRDefault="00B624E5" w:rsidP="00B624E5">
      <w:pPr>
        <w:pStyle w:val="NoSpacing"/>
        <w:ind w:left="720"/>
        <w:jc w:val="both"/>
      </w:pPr>
    </w:p>
    <w:p w14:paraId="799B5485" w14:textId="77777777" w:rsidR="00B624E5" w:rsidRDefault="00B624E5" w:rsidP="00B40521">
      <w:pPr>
        <w:pStyle w:val="NoSpacing"/>
        <w:numPr>
          <w:ilvl w:val="0"/>
          <w:numId w:val="106"/>
        </w:numPr>
        <w:ind w:hanging="720"/>
      </w:pPr>
      <w:r>
        <w:t>Public authorities should commit to making full use of the opportunities offered by the establishment of the EHEA for continuously improving the quality and the relevance of the curricula in order to equip graduates with 21</w:t>
      </w:r>
      <w:r w:rsidRPr="00B624E5">
        <w:rPr>
          <w:vertAlign w:val="superscript"/>
        </w:rPr>
        <w:t>st</w:t>
      </w:r>
      <w:r>
        <w:t xml:space="preserve"> century skills;</w:t>
      </w:r>
    </w:p>
    <w:p w14:paraId="57065BF7" w14:textId="77777777" w:rsidR="00080625" w:rsidRDefault="00080625" w:rsidP="00C4771A">
      <w:pPr>
        <w:jc w:val="both"/>
      </w:pPr>
    </w:p>
    <w:p w14:paraId="2A02F111" w14:textId="77777777" w:rsidR="00080625" w:rsidRDefault="00080625" w:rsidP="00B40521">
      <w:pPr>
        <w:pStyle w:val="NoSpacing"/>
        <w:numPr>
          <w:ilvl w:val="0"/>
          <w:numId w:val="107"/>
        </w:numPr>
        <w:ind w:hanging="720"/>
        <w:jc w:val="both"/>
      </w:pPr>
      <w:r>
        <w:t xml:space="preserve">Where appropriate, depending on the profile and mission of the institution and program, external stakeholders – in particular employers – should be involved in the design, monitoring and assessment of programs. </w:t>
      </w:r>
    </w:p>
    <w:p w14:paraId="4DE6E6F3" w14:textId="77777777" w:rsidR="00080625" w:rsidRDefault="00080625" w:rsidP="00080625">
      <w:pPr>
        <w:pStyle w:val="Body"/>
      </w:pPr>
    </w:p>
    <w:p w14:paraId="2E36E6F3" w14:textId="77777777" w:rsidR="005A0547" w:rsidRDefault="005A0547" w:rsidP="00080625">
      <w:pPr>
        <w:pStyle w:val="Body"/>
      </w:pPr>
    </w:p>
    <w:p w14:paraId="0B46B69F" w14:textId="77777777" w:rsidR="00080625" w:rsidRDefault="00080625" w:rsidP="00080625">
      <w:pPr>
        <w:pStyle w:val="Body"/>
      </w:pPr>
    </w:p>
    <w:p w14:paraId="32D8AA09" w14:textId="77777777" w:rsidR="00080625" w:rsidRDefault="00080625" w:rsidP="00080625">
      <w:pPr>
        <w:pStyle w:val="Body"/>
      </w:pPr>
      <w:r>
        <w:rPr>
          <w:rFonts w:ascii="Times New Roman Bold"/>
        </w:rPr>
        <w:t>III.2</w:t>
      </w:r>
      <w:r>
        <w:rPr>
          <w:rFonts w:ascii="Times New Roman Bold"/>
        </w:rPr>
        <w:tab/>
        <w:t>Employability</w:t>
      </w:r>
      <w:r>
        <w:t xml:space="preserve"> (ToR no. 7)</w:t>
      </w:r>
    </w:p>
    <w:p w14:paraId="3CFFDE8E" w14:textId="77777777" w:rsidR="00C4771A" w:rsidRDefault="00C4771A" w:rsidP="00080625">
      <w:pPr>
        <w:pStyle w:val="Body"/>
      </w:pPr>
    </w:p>
    <w:p w14:paraId="3F09CBC5" w14:textId="77777777" w:rsidR="00080625" w:rsidRDefault="00080625" w:rsidP="00C4771A">
      <w:pPr>
        <w:pStyle w:val="NoSpacing"/>
      </w:pPr>
      <w:r>
        <w:t>Employment and employability are among the key concerns of European governments as well as of most citizens. Both governments and citizens expect education, including higher education, to play a lead role in addressing Europe</w:t>
      </w:r>
      <w:r w:rsidRPr="007608AD">
        <w:rPr>
          <w:rFonts w:ascii="Arial Unicode MS"/>
        </w:rPr>
        <w:t>’</w:t>
      </w:r>
      <w:r w:rsidRPr="007608AD">
        <w:t>s employment needs. As the Leuven/Louvain-la-Neuve Communiqu</w:t>
      </w:r>
      <w:r w:rsidR="00C4771A">
        <w:t>é</w:t>
      </w:r>
      <w:r>
        <w:rPr>
          <w:rFonts w:ascii="Arial Unicode MS"/>
        </w:rPr>
        <w:t xml:space="preserve"> </w:t>
      </w:r>
      <w:r>
        <w:t>makes clear:</w:t>
      </w:r>
    </w:p>
    <w:p w14:paraId="75DB2AC4" w14:textId="77777777" w:rsidR="00C4771A" w:rsidRDefault="00C4771A" w:rsidP="00C4771A">
      <w:pPr>
        <w:pStyle w:val="NoSpacing"/>
      </w:pPr>
    </w:p>
    <w:p w14:paraId="7404981D" w14:textId="77777777" w:rsidR="00080625" w:rsidRDefault="00080625" w:rsidP="00080625">
      <w:pPr>
        <w:pStyle w:val="Body"/>
        <w:ind w:left="851" w:right="1138"/>
        <w:rPr>
          <w:sz w:val="22"/>
          <w:szCs w:val="22"/>
        </w:rPr>
      </w:pPr>
      <w:r>
        <w:rPr>
          <w:sz w:val="22"/>
          <w:szCs w:val="22"/>
        </w:rPr>
        <w:t>With labour markets increasingly relying on higher skill levels and transversal competences, higher education should equip students with the advanced knowledge, skills and competences they need throughout their professional lives. Employability empowers the individual to fully seize the opportunities in changing labour markets.</w:t>
      </w:r>
    </w:p>
    <w:p w14:paraId="6F4C7490" w14:textId="77777777" w:rsidR="00C4771A" w:rsidRDefault="00C4771A" w:rsidP="00080625">
      <w:pPr>
        <w:pStyle w:val="Body"/>
      </w:pPr>
    </w:p>
    <w:p w14:paraId="6320A508" w14:textId="77777777" w:rsidR="00080625" w:rsidRDefault="00080625" w:rsidP="00C4771A">
      <w:pPr>
        <w:pStyle w:val="NoSpacing"/>
        <w:jc w:val="both"/>
      </w:pPr>
      <w:r>
        <w:t xml:space="preserve">A distinction needs to be made between employment and employability. Employment means exercising a remunerated professional activity or, colloquially, </w:t>
      </w:r>
      <w:r>
        <w:rPr>
          <w:rFonts w:ascii="Arial Unicode MS"/>
        </w:rPr>
        <w:t>“</w:t>
      </w:r>
      <w:r>
        <w:t>holding a job</w:t>
      </w:r>
      <w:r>
        <w:rPr>
          <w:rFonts w:ascii="Arial Unicode MS"/>
        </w:rPr>
        <w:t>”</w:t>
      </w:r>
      <w:r>
        <w:t xml:space="preserve">. Employability means having the potential to be employed (which includes the potential for self-employment) or, colloquially, of </w:t>
      </w:r>
      <w:r>
        <w:rPr>
          <w:rFonts w:ascii="Arial Unicode MS"/>
        </w:rPr>
        <w:t>“</w:t>
      </w:r>
      <w:r>
        <w:t>getting a job</w:t>
      </w:r>
      <w:r>
        <w:rPr>
          <w:rFonts w:ascii="Arial Unicode MS"/>
        </w:rPr>
        <w:t>”</w:t>
      </w:r>
      <w:r>
        <w:t>.  Higher education cannot guarantee employment. It can, however, significantly improve an individual</w:t>
      </w:r>
      <w:r w:rsidRPr="007608AD">
        <w:rPr>
          <w:rFonts w:ascii="Arial Unicode MS"/>
        </w:rPr>
        <w:t>’</w:t>
      </w:r>
      <w:r>
        <w:t>s employability, understood as capacity for employment, including self-employment/entrepreneurship. Also for third cycle graduates, employability must be assessed in terms of both the academic and non-academic labor market.</w:t>
      </w:r>
    </w:p>
    <w:p w14:paraId="76681352" w14:textId="77777777" w:rsidR="00C4771A" w:rsidRDefault="00C4771A" w:rsidP="00C4771A">
      <w:pPr>
        <w:pStyle w:val="NoSpacing"/>
        <w:jc w:val="both"/>
      </w:pPr>
    </w:p>
    <w:p w14:paraId="11BA34D1" w14:textId="77777777" w:rsidR="00080625" w:rsidRDefault="00080625" w:rsidP="00C4771A">
      <w:pPr>
        <w:pStyle w:val="NoSpacing"/>
        <w:jc w:val="both"/>
      </w:pPr>
      <w:r>
        <w:t xml:space="preserve">Employability, then, may be understood as the competences and personal characteristics that will make an individual sustainably successful on the labor market. It comprises subject-specific, methodological, social and individual competences which enable a graduate to successfully take up and pursue a profession or an employment and empower him or her to life-long learning. It implies providing graduates with the competences needed to get a meaningful first employment as well as to develop further professionally in the course of their career. It is also important to underline that employability is a process of learning and not a final product to be delivered by education institutions. Someone who is employable on graduation may not be so a decade or two later is he or she has not continued to learn and to develop professionally and personally. </w:t>
      </w:r>
    </w:p>
    <w:p w14:paraId="2F88EB80" w14:textId="77777777" w:rsidR="00C4771A" w:rsidRDefault="00C4771A" w:rsidP="00C4771A">
      <w:pPr>
        <w:pStyle w:val="Body"/>
        <w:jc w:val="both"/>
      </w:pPr>
    </w:p>
    <w:p w14:paraId="32BF6278" w14:textId="77777777" w:rsidR="00080625" w:rsidRDefault="00080625" w:rsidP="00C4771A">
      <w:pPr>
        <w:pStyle w:val="Body"/>
        <w:jc w:val="both"/>
      </w:pPr>
      <w:r>
        <w:t>It is an underlying assumption, supported by evidence, that a higher education degree overall makes it easier for the holder to be meaningfully employed. A quote from the 2012 Bologna Implementation report may illustrate the point:</w:t>
      </w:r>
    </w:p>
    <w:p w14:paraId="73316EAE" w14:textId="77777777" w:rsidR="00C4771A" w:rsidRDefault="00C4771A" w:rsidP="00C4771A">
      <w:pPr>
        <w:pStyle w:val="Body"/>
        <w:jc w:val="both"/>
      </w:pPr>
    </w:p>
    <w:p w14:paraId="4A70084A" w14:textId="77777777" w:rsidR="00080625" w:rsidRPr="00F90B13" w:rsidRDefault="00080625" w:rsidP="00C4771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567" w:right="1138"/>
        <w:jc w:val="both"/>
        <w:rPr>
          <w:sz w:val="22"/>
          <w:szCs w:val="22"/>
        </w:rPr>
      </w:pPr>
      <w:r w:rsidRPr="00F90B13">
        <w:rPr>
          <w:sz w:val="22"/>
          <w:szCs w:val="22"/>
        </w:rPr>
        <w:t>On average, the higher the level of education, the lower the unemployment ratio of young people. In half of the EHEA countries, the unemployment ratio of young people with low educational attainment (at most lower secondary education, ISCED 0-2) is higher than 19 %. The median ratio is 10.6 % for the medium educated (at most post-secondary non-tertiary education, ISCED 3-4) and only 6.4 % for young people with a tertiary qualification (ISCED 5-6)</w:t>
      </w:r>
      <w:r w:rsidRPr="00F90B13">
        <w:rPr>
          <w:rStyle w:val="FootnoteReference"/>
          <w:sz w:val="22"/>
          <w:szCs w:val="22"/>
        </w:rPr>
        <w:footnoteReference w:id="17"/>
      </w:r>
      <w:r w:rsidRPr="00F90B13">
        <w:rPr>
          <w:sz w:val="22"/>
          <w:szCs w:val="22"/>
        </w:rPr>
        <w:t>.</w:t>
      </w:r>
    </w:p>
    <w:p w14:paraId="46FADB1F" w14:textId="77777777" w:rsidR="00080625" w:rsidRDefault="00080625" w:rsidP="00080625">
      <w:pPr>
        <w:pStyle w:val="Body"/>
      </w:pPr>
    </w:p>
    <w:p w14:paraId="20B4FEBE" w14:textId="77777777" w:rsidR="00080625" w:rsidRDefault="00080625" w:rsidP="00C4771A">
      <w:pPr>
        <w:pStyle w:val="NoSpacing"/>
        <w:jc w:val="both"/>
      </w:pPr>
      <w:r>
        <w:t xml:space="preserve">At the same time, it must be recognized that no qualification will make an individual suitable for all kinds of employment and some highly qualified individuals may, by the nature of their qualifications, be qualified for employment only in highly specialized occupations.  The great majority of higher education graduates should, however, be prepared, through their higher education studies, for employment in broad sectors of what is likely to be a fast-moving labor market where many higher education graduates will change career track several times in the course of their working lives and also return to higher education to update, further, and complement their qualifications. Such returns shall be stimulated by well implemented structural reform, including three-cycle system. </w:t>
      </w:r>
    </w:p>
    <w:p w14:paraId="5A9D87A1" w14:textId="77777777" w:rsidR="00C4771A" w:rsidRDefault="00C4771A" w:rsidP="00C4771A">
      <w:pPr>
        <w:pStyle w:val="NoSpacing"/>
        <w:jc w:val="both"/>
      </w:pPr>
    </w:p>
    <w:p w14:paraId="686905B3" w14:textId="77777777" w:rsidR="00080625" w:rsidRDefault="00080625" w:rsidP="00C4771A">
      <w:pPr>
        <w:pStyle w:val="NoSpacing"/>
        <w:jc w:val="both"/>
      </w:pPr>
      <w:r>
        <w:t xml:space="preserve">Like learning outcomes and the global dimension, employability is one of the overarching dimensions of structural reform </w:t>
      </w:r>
      <w:r>
        <w:rPr>
          <w:rFonts w:ascii="Arial Unicode MS"/>
        </w:rPr>
        <w:t>–</w:t>
      </w:r>
      <w:r>
        <w:rPr>
          <w:rFonts w:ascii="Arial Unicode MS"/>
        </w:rPr>
        <w:t xml:space="preserve"> </w:t>
      </w:r>
      <w:r>
        <w:t>as well as of the agenda of the other working groups. In increasingly complex societies, advanced competences will be a prerequisite for most kinds of employment. In the further development of Europe</w:t>
      </w:r>
      <w:r w:rsidRPr="005078AA">
        <w:rPr>
          <w:rFonts w:ascii="Arial Unicode MS"/>
        </w:rPr>
        <w:t>’</w:t>
      </w:r>
      <w:r>
        <w:t xml:space="preserve">s economy </w:t>
      </w:r>
      <w:r>
        <w:rPr>
          <w:rFonts w:ascii="Arial Unicode MS"/>
        </w:rPr>
        <w:t>–</w:t>
      </w:r>
      <w:r>
        <w:rPr>
          <w:rFonts w:ascii="Arial Unicode MS"/>
        </w:rPr>
        <w:t xml:space="preserve"> </w:t>
      </w:r>
      <w:r>
        <w:t xml:space="preserve">and beyond that, of European societies </w:t>
      </w:r>
      <w:r>
        <w:rPr>
          <w:rFonts w:ascii="Arial Unicode MS"/>
        </w:rPr>
        <w:t>–</w:t>
      </w:r>
      <w:r>
        <w:rPr>
          <w:rFonts w:ascii="Arial Unicode MS"/>
        </w:rPr>
        <w:t xml:space="preserve"> </w:t>
      </w:r>
      <w:r>
        <w:t xml:space="preserve">on the ability of higher education to provide a basis for meaningful employment will therefore be an important factor. Hence, the structures of the EHEA must further this goal, with implications for the quality of education, the framework and structures of qualifications, recognition and transparency. </w:t>
      </w:r>
    </w:p>
    <w:p w14:paraId="200C988B" w14:textId="77777777" w:rsidR="00C4771A" w:rsidRDefault="00C4771A" w:rsidP="00C4771A">
      <w:pPr>
        <w:pStyle w:val="NoSpacing"/>
        <w:jc w:val="both"/>
      </w:pPr>
    </w:p>
    <w:p w14:paraId="1E44D148" w14:textId="77777777" w:rsidR="00080625" w:rsidRDefault="00080625" w:rsidP="00C4771A">
      <w:pPr>
        <w:pStyle w:val="NoSpacing"/>
        <w:jc w:val="both"/>
      </w:pPr>
      <w:r>
        <w:t xml:space="preserve">There is clearly a perception among political decision makers, employers, graduates and a considerable part of the general public that higher education today is insufficiently geared to making its graduates employable. It is therefore important to be clear about what employability means as well as what it does not mean. Employability does </w:t>
      </w:r>
      <w:r>
        <w:rPr>
          <w:i/>
          <w:iCs/>
        </w:rPr>
        <w:t>not</w:t>
      </w:r>
      <w:r>
        <w:t xml:space="preserve"> mean that employers should determine the contents and teaching methods of study programs, that there could or should be a perfect match between education programs and labor markets, or that higher education institutions should train their students in the routines of everyday work. It </w:t>
      </w:r>
      <w:r w:rsidRPr="009A6D27">
        <w:rPr>
          <w:i/>
          <w:iCs/>
        </w:rPr>
        <w:t>does</w:t>
      </w:r>
      <w:r>
        <w:t xml:space="preserve"> mean that higher education institutions should provide their students with knowledge and understanding of the theories and methods of their chosen academic discipline and enable them to apply their knowledge on the job in order to assess and solve problems as well as to develop new knowledge, skills and competences. In the cases of doctoral education, competence in the theory and methods for the chosen academic discipline are accompanied by </w:t>
      </w:r>
      <w:r w:rsidRPr="004464FD">
        <w:t xml:space="preserve">the ability to conceive, design, implement and adapt a substantial process of research with scholarly integrity </w:t>
      </w:r>
      <w:r>
        <w:t xml:space="preserve">and, consequently, by a substantial contribution through original research to the advancement of knowledge. Higher education graduates should also have acquired relevant soft skills and be able to identify their own training needs.  Study programs, regardless of their level or cycle, should generally comprise practical components such as practice-related/-based teaching and learning, </w:t>
      </w:r>
      <w:r>
        <w:lastRenderedPageBreak/>
        <w:t>mandatory internships or practice periods, practice-oriented papers or theses, career guidance, information about the situation of graduates on the labor market. They should enhance an outcomes orientation and turn students into critical lifelong-learners.  Institutions should describe students</w:t>
      </w:r>
      <w:r w:rsidRPr="009A6D27">
        <w:rPr>
          <w:rFonts w:ascii="Arial Unicode MS"/>
        </w:rPr>
        <w:t>’</w:t>
      </w:r>
      <w:r w:rsidRPr="009A6D27">
        <w:rPr>
          <w:rFonts w:ascii="Arial Unicode MS"/>
        </w:rPr>
        <w:t xml:space="preserve"> </w:t>
      </w:r>
      <w:r>
        <w:t>competences in transparent ways, e.g. by using transparency tools like the Diploma Supplement and the ECTS.</w:t>
      </w:r>
    </w:p>
    <w:p w14:paraId="511D8741" w14:textId="77777777" w:rsidR="00C4771A" w:rsidRDefault="00C4771A" w:rsidP="00C4771A">
      <w:pPr>
        <w:pStyle w:val="NoSpacing"/>
      </w:pPr>
    </w:p>
    <w:p w14:paraId="74DAA91E" w14:textId="77777777" w:rsidR="00080625" w:rsidRDefault="00080625" w:rsidP="00576C54">
      <w:pPr>
        <w:pStyle w:val="NoSpacing"/>
        <w:jc w:val="both"/>
      </w:pPr>
      <w:r>
        <w:t>Enhancing the employability of graduates has consequences for quality assurance, the governance of higher education institutions and cooperation with stakeholders. The employability of graduates needs to be an element of quality assurance in that quality assessment should comprise the practice-oriented aspects of the study program and ensure that the views of external experts (professional practitioners) and students are taken into account.</w:t>
      </w:r>
      <w:r>
        <w:rPr>
          <w:rFonts w:ascii="Calibri" w:eastAsia="Calibri" w:hAnsi="Calibri" w:cs="Calibri"/>
        </w:rPr>
        <w:t xml:space="preserve"> </w:t>
      </w:r>
      <w:r>
        <w:t xml:space="preserve">Institutions should monitor and periodically review their programs to ensure that they respond to the needs of students, employers and society. Tracking the career patterns of graduates is essential to this exercise. </w:t>
      </w:r>
    </w:p>
    <w:p w14:paraId="0396E24E" w14:textId="77777777" w:rsidR="00C4771A" w:rsidRDefault="00C4771A" w:rsidP="00080625">
      <w:pPr>
        <w:pStyle w:val="Body"/>
      </w:pPr>
    </w:p>
    <w:p w14:paraId="4E748E4C" w14:textId="77777777" w:rsidR="00080625" w:rsidRDefault="00080625" w:rsidP="00C4771A">
      <w:pPr>
        <w:pStyle w:val="NoSpacing"/>
        <w:jc w:val="both"/>
      </w:pPr>
      <w:r>
        <w:t xml:space="preserve">Improving employability is an important aspect of the social dimension of higher education.  While higher education should – and does – improve the social capital and employment possibilities for all graduates, this is particularly important from those who come from disadvantaged backgrounds and have little or no social </w:t>
      </w:r>
      <w:r w:rsidR="00F51A1A">
        <w:t xml:space="preserve">or cultural </w:t>
      </w:r>
      <w:r>
        <w:t xml:space="preserve">capital from other sources. While many higher education institutions are making great efforts to improve the employability of its graduates, in cooperation with employers, public authorities, and others, many institutions still need to improve their efforts in this area. Higher education institutions should continue to develop cooperation with employers. Students as well as alumni need to be included in this cooperation and dialogue so they feel part of it and to ensure that the student perspective is included. Dialogue is also essential to creating confidence. </w:t>
      </w:r>
    </w:p>
    <w:p w14:paraId="6883C9C8" w14:textId="77777777" w:rsidR="00C4771A" w:rsidRDefault="00C4771A" w:rsidP="00C4771A">
      <w:pPr>
        <w:pStyle w:val="NoSpacing"/>
        <w:jc w:val="both"/>
      </w:pPr>
    </w:p>
    <w:p w14:paraId="22E0E522" w14:textId="77777777" w:rsidR="00080625" w:rsidRDefault="00080625" w:rsidP="00C4771A">
      <w:pPr>
        <w:pStyle w:val="NoSpacing"/>
        <w:jc w:val="both"/>
      </w:pPr>
      <w:r>
        <w:t>Lifelong learning is essential to ensuring lifelong employability and should be fully integrated into institutional strategies. Institutions should promote permeability: they should be more open to new target groups like working students and students with vocational qualifications, they should increase possibilities for part time studies and for alternating periods of study and of work, and they should improve recognition of qualifications obtained through alternative learning paths, including those gained on the job.</w:t>
      </w:r>
    </w:p>
    <w:p w14:paraId="28C31D46" w14:textId="77777777" w:rsidR="00C4771A" w:rsidRDefault="00C4771A" w:rsidP="00C4771A">
      <w:pPr>
        <w:pStyle w:val="NoSpacing"/>
        <w:jc w:val="both"/>
      </w:pPr>
    </w:p>
    <w:p w14:paraId="6046CAB0" w14:textId="77777777" w:rsidR="00080625" w:rsidRDefault="00080625" w:rsidP="00C4771A">
      <w:pPr>
        <w:pStyle w:val="NoSpacing"/>
        <w:jc w:val="both"/>
      </w:pPr>
      <w:r>
        <w:t xml:space="preserve">The employability problem concerns graduates of the first cycle (or Bachelor) in a particular way. One can assume that the comparatively low employability value of the first degree concerns above all those countries in which the majority of the first degree holders continue with a second degree (Masters) program immediately after graduation from the first cycle. In countries that have long experience with first cycle qualifications, these seem to have found their place also in the labor market and are not seen simply as preparation for further studies.  The quality of cooperation between employers and institutions on the development, delivery and evaluation of study programs, including quality work placements, is also perceived as insufficient. The SRWG acknowledges the fact that enhancing the employability of graduates and providing students with skills relevant to the labor market is often among the national priorities in higher education policies. Therefore, it is essential to demonstrate that furthering this goal depends to large extent on an improved understanding of learning outcomes and proper implementation of EHEA </w:t>
      </w:r>
      <w:r>
        <w:lastRenderedPageBreak/>
        <w:t>structures with implications for quality assurance, the framework and structures of qualifications, recognition and transparency.</w:t>
      </w:r>
    </w:p>
    <w:p w14:paraId="16DAADFD" w14:textId="77777777" w:rsidR="00C4771A" w:rsidRDefault="00C4771A" w:rsidP="00C4771A">
      <w:pPr>
        <w:pStyle w:val="NoSpacing"/>
        <w:jc w:val="both"/>
      </w:pPr>
    </w:p>
    <w:p w14:paraId="5E517389" w14:textId="77777777" w:rsidR="00080625" w:rsidRDefault="00080625" w:rsidP="00C4771A">
      <w:pPr>
        <w:pStyle w:val="NoSpacing"/>
        <w:jc w:val="both"/>
      </w:pPr>
      <w:r>
        <w:t>From the perspective of doctoral education, the issue of employability is also at stake, even if from a different point of view. Only a small number of future doctorate holders can expect a career in academia, while the majority should be equipped to be employable in research–intensive labor market fields or to be self-employed</w:t>
      </w:r>
      <w:r>
        <w:rPr>
          <w:rStyle w:val="FootnoteReference"/>
        </w:rPr>
        <w:footnoteReference w:id="18"/>
      </w:r>
      <w:r>
        <w:t xml:space="preserve">. This is even more of a challenge for economic systems where small and medium sized enterprises, often not based on research and innovation, are the prevailing actors in the market. It is not enough to ensure that doctorate holders have adequate resources to be employable. </w:t>
      </w:r>
      <w:r w:rsidR="007B0AAF">
        <w:t>There</w:t>
      </w:r>
      <w:r>
        <w:t xml:space="preserve"> is a problem of a</w:t>
      </w:r>
      <w:r w:rsidRPr="000D5150">
        <w:t xml:space="preserve">wareness in society of how doctoral candidates can contribute to social progress, </w:t>
      </w:r>
      <w:r>
        <w:t xml:space="preserve">to </w:t>
      </w:r>
      <w:r w:rsidRPr="000D5150">
        <w:t xml:space="preserve">the advancement of the knowledge, </w:t>
      </w:r>
      <w:r>
        <w:t xml:space="preserve">and to </w:t>
      </w:r>
      <w:r w:rsidRPr="000D5150">
        <w:t>innovation and productivity across sectors</w:t>
      </w:r>
      <w:r>
        <w:t xml:space="preserve">.  As the SRWG will recommend under IV.2.3 of this report, </w:t>
      </w:r>
      <w:r w:rsidRPr="00061E43">
        <w:t>employers, both public and private</w:t>
      </w:r>
      <w:r w:rsidRPr="003B41EE">
        <w:t>,</w:t>
      </w:r>
      <w:r>
        <w:t xml:space="preserve"> should consider the competences and skills acquired as well as the time spent to achieve them in doctoral education and/or postdoctoral fellowships as a part of applicants’ professional experience and could also take this period of time into account for the purpose of calculating seniority.</w:t>
      </w:r>
    </w:p>
    <w:p w14:paraId="75CA4A8C" w14:textId="77777777" w:rsidR="00080625" w:rsidRPr="004A4FAE" w:rsidRDefault="00080625" w:rsidP="00080625"/>
    <w:p w14:paraId="6C9ADFC2" w14:textId="77777777" w:rsidR="00080625" w:rsidRDefault="00080625" w:rsidP="00C4771A">
      <w:pPr>
        <w:pStyle w:val="NoSpacing"/>
        <w:jc w:val="both"/>
      </w:pPr>
      <w:r>
        <w:t xml:space="preserve">At the same time, the interpretation of </w:t>
      </w:r>
      <w:r>
        <w:rPr>
          <w:rFonts w:ascii="Arial Unicode MS"/>
        </w:rPr>
        <w:t>“</w:t>
      </w:r>
      <w:r>
        <w:t>employability</w:t>
      </w:r>
      <w:r>
        <w:rPr>
          <w:rFonts w:ascii="Arial Unicode MS"/>
        </w:rPr>
        <w:t>”</w:t>
      </w:r>
      <w:r>
        <w:rPr>
          <w:rFonts w:ascii="Arial Unicode MS"/>
        </w:rPr>
        <w:t xml:space="preserve"> </w:t>
      </w:r>
      <w:r>
        <w:t>must take account of the fact that employment requirements as well as the academic content of qualifications are likely to develop rapidly and that education serves a variety of purposes, including democratic citizenship and personal development.  Furthering employability will, in the vast majority of cases, not mean preparing students for a specific occupation or a specific segment of the labor market as it is today. It will imply providing graduates with the competences needed to get a meaningful first employment as well as to develop further professionally in the course of their career. The balance between subject specific and transversal competences, employers</w:t>
      </w:r>
      <w:r w:rsidRPr="000045D9">
        <w:rPr>
          <w:rFonts w:ascii="Arial Unicode MS"/>
        </w:rPr>
        <w:t>’</w:t>
      </w:r>
      <w:r w:rsidRPr="000045D9">
        <w:rPr>
          <w:rFonts w:ascii="Arial Unicode MS"/>
        </w:rPr>
        <w:t xml:space="preserve"> </w:t>
      </w:r>
      <w:r>
        <w:t>involvement in the development of study programs and structural changes, the transparent description of competences as well as study programs and education systems and the transferability and comparability of quality assessments are all important to enhancing the employability of higher education graduates.</w:t>
      </w:r>
    </w:p>
    <w:p w14:paraId="0C86FBE8" w14:textId="77777777" w:rsidR="00C4771A" w:rsidRDefault="00C4771A" w:rsidP="00C4771A">
      <w:pPr>
        <w:pStyle w:val="NoSpacing"/>
        <w:jc w:val="both"/>
      </w:pPr>
    </w:p>
    <w:p w14:paraId="317AB272" w14:textId="77777777" w:rsidR="00080625" w:rsidRDefault="00080625" w:rsidP="00C4771A">
      <w:pPr>
        <w:pStyle w:val="NoSpacing"/>
        <w:jc w:val="both"/>
      </w:pPr>
      <w:r>
        <w:t>Today, many employers seem insufficiently aware of what competences higher education graduates actually have. Higher education institutions, employers’ organizations, student organizations, alumni associations and public authorities should therefore work together, as appropriate, to increase awareness among employers of the broad range of competences held by higher education graduates.</w:t>
      </w:r>
    </w:p>
    <w:p w14:paraId="4B1C9DF9" w14:textId="77777777" w:rsidR="00080625" w:rsidRDefault="00080625" w:rsidP="00080625">
      <w:pPr>
        <w:pStyle w:val="Body"/>
      </w:pPr>
    </w:p>
    <w:p w14:paraId="23E53C24" w14:textId="77777777" w:rsidR="00080625" w:rsidRDefault="00080625" w:rsidP="00080625">
      <w:pPr>
        <w:pStyle w:val="Body"/>
        <w:rPr>
          <w:b/>
          <w:bCs/>
          <w:i/>
          <w:iCs/>
        </w:rPr>
      </w:pPr>
      <w:r w:rsidRPr="000045D9">
        <w:rPr>
          <w:b/>
          <w:bCs/>
          <w:i/>
          <w:iCs/>
        </w:rPr>
        <w:t>Recommendations</w:t>
      </w:r>
    </w:p>
    <w:p w14:paraId="2C40ED06" w14:textId="77777777" w:rsidR="00C4771A" w:rsidRDefault="00C4771A" w:rsidP="00080625">
      <w:pPr>
        <w:pStyle w:val="Body"/>
      </w:pPr>
    </w:p>
    <w:p w14:paraId="51D1BEA5" w14:textId="77777777" w:rsidR="00080625" w:rsidRDefault="00080625" w:rsidP="00080625">
      <w:pPr>
        <w:pStyle w:val="Body"/>
      </w:pPr>
      <w:r>
        <w:t xml:space="preserve">In order to enhance the employability of higher education graduates </w:t>
      </w:r>
    </w:p>
    <w:p w14:paraId="768B9402" w14:textId="77777777" w:rsidR="00C4771A" w:rsidRDefault="00C4771A" w:rsidP="00080625">
      <w:pPr>
        <w:pStyle w:val="Body"/>
      </w:pPr>
    </w:p>
    <w:p w14:paraId="63BA0949" w14:textId="77777777" w:rsidR="00080625" w:rsidRDefault="00080625" w:rsidP="00B40521">
      <w:pPr>
        <w:pStyle w:val="ListParagraph"/>
        <w:numPr>
          <w:ilvl w:val="0"/>
          <w:numId w:val="111"/>
        </w:numPr>
      </w:pPr>
      <w:r w:rsidRPr="00576C54">
        <w:rPr>
          <w:i/>
          <w:iCs/>
        </w:rPr>
        <w:t>Public authorities and higher education institutions</w:t>
      </w:r>
      <w:r>
        <w:t xml:space="preserve"> should develop and implement qualifications frameworks and study programs that:</w:t>
      </w:r>
      <w:r w:rsidR="00C4771A">
        <w:tab/>
      </w:r>
      <w:r w:rsidR="00C4771A">
        <w:br/>
      </w:r>
    </w:p>
    <w:p w14:paraId="73031965" w14:textId="77777777" w:rsidR="00080625" w:rsidRDefault="00080625" w:rsidP="00B40521">
      <w:pPr>
        <w:pStyle w:val="ListParagraph"/>
        <w:numPr>
          <w:ilvl w:val="0"/>
          <w:numId w:val="80"/>
        </w:numPr>
      </w:pPr>
      <w:r>
        <w:lastRenderedPageBreak/>
        <w:t>with due regard to institutional autonomy, embed employability as an integral part of higher education programs and curricula;</w:t>
      </w:r>
    </w:p>
    <w:p w14:paraId="58F23CC3" w14:textId="77777777" w:rsidR="00080625" w:rsidRDefault="00080625" w:rsidP="00B40521">
      <w:pPr>
        <w:pStyle w:val="ListParagraph"/>
        <w:numPr>
          <w:ilvl w:val="0"/>
          <w:numId w:val="80"/>
        </w:numPr>
      </w:pPr>
      <w:r>
        <w:t xml:space="preserve">within an environment of student centered learning provide students with knowledge and understanding of the theories and methods of their chosen academic discipline and enable them to apply their knowledge on the job in order to assess and solve problems as well as to develop new knowledge, skills and competences. </w:t>
      </w:r>
    </w:p>
    <w:p w14:paraId="6011F575" w14:textId="77777777" w:rsidR="00080625" w:rsidRDefault="00080625" w:rsidP="00B40521">
      <w:pPr>
        <w:pStyle w:val="ListParagraph"/>
        <w:numPr>
          <w:ilvl w:val="0"/>
          <w:numId w:val="80"/>
        </w:numPr>
      </w:pPr>
      <w:r>
        <w:t xml:space="preserve">enable students  to  acquire relevant soft skills and to identify their own education and training needs.  </w:t>
      </w:r>
    </w:p>
    <w:p w14:paraId="2C026392" w14:textId="77777777" w:rsidR="00E753EB" w:rsidRDefault="00080625" w:rsidP="00B40521">
      <w:pPr>
        <w:pStyle w:val="ListParagraph"/>
        <w:numPr>
          <w:ilvl w:val="0"/>
          <w:numId w:val="80"/>
        </w:numPr>
      </w:pPr>
      <w:r>
        <w:t xml:space="preserve">regardless of their level or cycle,  as a general rule comprise practical components such as practice-related/-based teaching and learning, internships or practice periods, practice-oriented papers or theses, and entrepreneurship education. </w:t>
      </w:r>
    </w:p>
    <w:p w14:paraId="72B29840" w14:textId="77777777" w:rsidR="00080625" w:rsidRDefault="00E753EB" w:rsidP="00B40521">
      <w:pPr>
        <w:pStyle w:val="ListParagraph"/>
        <w:numPr>
          <w:ilvl w:val="0"/>
          <w:numId w:val="80"/>
        </w:numPr>
      </w:pPr>
      <w:r>
        <w:t xml:space="preserve">are supported by tracking the career patterns of graduates of all levels and cycles. </w:t>
      </w:r>
    </w:p>
    <w:p w14:paraId="4887C2A4" w14:textId="77777777" w:rsidR="00080625" w:rsidRDefault="00080625" w:rsidP="00B40521">
      <w:pPr>
        <w:pStyle w:val="ListParagraph"/>
        <w:numPr>
          <w:ilvl w:val="0"/>
          <w:numId w:val="80"/>
        </w:numPr>
      </w:pPr>
      <w:r>
        <w:t>are supported by career guidance as well as reliable information on career prospects, including regulated professions, and situation of graduates on the labor market.</w:t>
      </w:r>
    </w:p>
    <w:p w14:paraId="1B42DCEE" w14:textId="77777777" w:rsidR="00080625" w:rsidRDefault="00080625" w:rsidP="00B40521">
      <w:pPr>
        <w:pStyle w:val="ListParagraph"/>
        <w:numPr>
          <w:ilvl w:val="0"/>
          <w:numId w:val="80"/>
        </w:numPr>
      </w:pPr>
      <w:r>
        <w:t xml:space="preserve">enhance an outcomes orientation and turn students into critical lifelong-learners.  </w:t>
      </w:r>
    </w:p>
    <w:p w14:paraId="6F2257A5" w14:textId="77777777" w:rsidR="00080625" w:rsidRDefault="00080625" w:rsidP="00B40521">
      <w:pPr>
        <w:pStyle w:val="ListParagraph"/>
        <w:numPr>
          <w:ilvl w:val="0"/>
          <w:numId w:val="80"/>
        </w:numPr>
      </w:pPr>
      <w:r>
        <w:t>describe students</w:t>
      </w:r>
      <w:r>
        <w:t>’</w:t>
      </w:r>
      <w:r>
        <w:t xml:space="preserve"> competences in transparent ways, by using transparency tools like the Diploma Supplement and the ECTS.</w:t>
      </w:r>
    </w:p>
    <w:p w14:paraId="13895632" w14:textId="77777777" w:rsidR="00080625" w:rsidRPr="00647228" w:rsidRDefault="00080625" w:rsidP="00B40521">
      <w:pPr>
        <w:pStyle w:val="ListParagraph"/>
        <w:numPr>
          <w:ilvl w:val="0"/>
          <w:numId w:val="80"/>
        </w:numPr>
      </w:pPr>
      <w:r>
        <w:t xml:space="preserve">Draw on employers as a source of information </w:t>
      </w:r>
      <w:r w:rsidRPr="00965899">
        <w:t xml:space="preserve">about new </w:t>
      </w:r>
      <w:r>
        <w:t xml:space="preserve">career </w:t>
      </w:r>
      <w:r w:rsidRPr="00965899">
        <w:t>developments and future</w:t>
      </w:r>
      <w:r>
        <w:t xml:space="preserve"> skills.</w:t>
      </w:r>
    </w:p>
    <w:p w14:paraId="16BC7C61" w14:textId="77777777" w:rsidR="00080625" w:rsidRDefault="00080625" w:rsidP="00080625">
      <w:pPr>
        <w:pStyle w:val="Body"/>
        <w:ind w:left="720"/>
      </w:pPr>
      <w:r>
        <w:br/>
      </w:r>
    </w:p>
    <w:p w14:paraId="57FC6243" w14:textId="77777777" w:rsidR="00080625" w:rsidRDefault="00080625" w:rsidP="00B40521">
      <w:pPr>
        <w:pStyle w:val="ListParagraph"/>
        <w:numPr>
          <w:ilvl w:val="0"/>
          <w:numId w:val="111"/>
        </w:numPr>
      </w:pPr>
      <w:r>
        <w:t>Public authorities should:</w:t>
      </w:r>
      <w:r w:rsidR="00C4771A">
        <w:tab/>
      </w:r>
      <w:r w:rsidR="00C4771A">
        <w:br/>
      </w:r>
    </w:p>
    <w:p w14:paraId="08529A0E" w14:textId="77777777" w:rsidR="00080625" w:rsidRDefault="00E41971" w:rsidP="00B40521">
      <w:pPr>
        <w:pStyle w:val="ListParagraph"/>
        <w:numPr>
          <w:ilvl w:val="0"/>
          <w:numId w:val="80"/>
        </w:numPr>
      </w:pPr>
      <w:r>
        <w:t>commit to developing a coherent EHEA system for tracking graduates;</w:t>
      </w:r>
      <w:r w:rsidR="00080625">
        <w:t xml:space="preserve"> </w:t>
      </w:r>
    </w:p>
    <w:p w14:paraId="63ECCC46" w14:textId="77777777" w:rsidR="00080625" w:rsidRDefault="00080625" w:rsidP="00B40521">
      <w:pPr>
        <w:pStyle w:val="ListParagraph"/>
        <w:numPr>
          <w:ilvl w:val="0"/>
          <w:numId w:val="80"/>
        </w:numPr>
      </w:pPr>
      <w:r>
        <w:t xml:space="preserve">ensure that their competence requirements ensure fair access to public employment for holders of first degrees. </w:t>
      </w:r>
    </w:p>
    <w:p w14:paraId="0E657452" w14:textId="77777777" w:rsidR="00080625" w:rsidRDefault="00080625" w:rsidP="00C4771A">
      <w:pPr>
        <w:pStyle w:val="ListParagraph"/>
        <w:numPr>
          <w:ilvl w:val="0"/>
          <w:numId w:val="0"/>
        </w:numPr>
      </w:pPr>
    </w:p>
    <w:p w14:paraId="652C2DED" w14:textId="77777777" w:rsidR="00080625" w:rsidRDefault="00080625" w:rsidP="00B40521">
      <w:pPr>
        <w:pStyle w:val="ListParagraph"/>
        <w:numPr>
          <w:ilvl w:val="0"/>
          <w:numId w:val="111"/>
        </w:numPr>
      </w:pPr>
      <w:r>
        <w:rPr>
          <w:i/>
          <w:iCs/>
        </w:rPr>
        <w:t>Quality assurance agencies and higher education institutions</w:t>
      </w:r>
      <w:r>
        <w:t xml:space="preserve"> should make the employability of graduates an element of quality assurance.</w:t>
      </w:r>
    </w:p>
    <w:p w14:paraId="6AEAC984" w14:textId="77777777" w:rsidR="00080625" w:rsidRDefault="00080625" w:rsidP="00C4771A">
      <w:pPr>
        <w:pStyle w:val="ListParagraph"/>
        <w:numPr>
          <w:ilvl w:val="0"/>
          <w:numId w:val="0"/>
        </w:numPr>
      </w:pPr>
    </w:p>
    <w:p w14:paraId="4C41C6C9" w14:textId="77777777" w:rsidR="00080625" w:rsidRDefault="00080625" w:rsidP="00C4771A">
      <w:pPr>
        <w:pStyle w:val="ListParagraph"/>
        <w:numPr>
          <w:ilvl w:val="0"/>
          <w:numId w:val="0"/>
        </w:numPr>
      </w:pPr>
    </w:p>
    <w:p w14:paraId="1273F459" w14:textId="77777777" w:rsidR="00080625" w:rsidRDefault="00080625" w:rsidP="00B40521">
      <w:pPr>
        <w:pStyle w:val="ListParagraph"/>
        <w:numPr>
          <w:ilvl w:val="0"/>
          <w:numId w:val="111"/>
        </w:numPr>
      </w:pPr>
      <w:r>
        <w:t>Higher education institutions should:</w:t>
      </w:r>
    </w:p>
    <w:p w14:paraId="0571C052" w14:textId="77777777" w:rsidR="00080625" w:rsidRDefault="00080625" w:rsidP="00B40521">
      <w:pPr>
        <w:pStyle w:val="ListParagraph"/>
        <w:numPr>
          <w:ilvl w:val="0"/>
          <w:numId w:val="81"/>
        </w:numPr>
      </w:pPr>
      <w:r>
        <w:t xml:space="preserve">monitor and periodically review their programs to ensure that they respond to the needs of students, employers and society. </w:t>
      </w:r>
    </w:p>
    <w:p w14:paraId="77EBAFED" w14:textId="77777777" w:rsidR="00080625" w:rsidRDefault="00080625" w:rsidP="00B40521">
      <w:pPr>
        <w:pStyle w:val="ListParagraph"/>
        <w:numPr>
          <w:ilvl w:val="0"/>
          <w:numId w:val="81"/>
        </w:numPr>
      </w:pPr>
      <w:r>
        <w:t>continue to develop cooperation with employers and ensure that the views of students are included in this cooperation.</w:t>
      </w:r>
    </w:p>
    <w:p w14:paraId="27C90266" w14:textId="77777777" w:rsidR="00080625" w:rsidRDefault="00080625" w:rsidP="00B40521">
      <w:pPr>
        <w:pStyle w:val="ListParagraph"/>
        <w:numPr>
          <w:ilvl w:val="0"/>
          <w:numId w:val="88"/>
        </w:numPr>
      </w:pPr>
      <w:r>
        <w:t>fully integrate lifelong learning into institutional strategies.</w:t>
      </w:r>
    </w:p>
    <w:p w14:paraId="656DBAB9" w14:textId="77777777" w:rsidR="00C4771A" w:rsidRDefault="00080625" w:rsidP="00B40521">
      <w:pPr>
        <w:pStyle w:val="ListParagraph"/>
        <w:numPr>
          <w:ilvl w:val="0"/>
          <w:numId w:val="81"/>
        </w:numPr>
      </w:pPr>
      <w:r>
        <w:t xml:space="preserve">Actively engage employers in their activities, as appropriate and in line with the profile and mission of institutions and programs, in research, teaching and work </w:t>
      </w:r>
      <w:r w:rsidRPr="00647228">
        <w:t xml:space="preserve">placement, </w:t>
      </w:r>
      <w:r>
        <w:t>as well as</w:t>
      </w:r>
      <w:r w:rsidRPr="00647228">
        <w:t xml:space="preserve"> </w:t>
      </w:r>
      <w:r>
        <w:t xml:space="preserve">in </w:t>
      </w:r>
      <w:r w:rsidRPr="00647228">
        <w:t xml:space="preserve">the </w:t>
      </w:r>
      <w:r>
        <w:t>design of program</w:t>
      </w:r>
      <w:r w:rsidRPr="00647228">
        <w:t>s</w:t>
      </w:r>
      <w:r>
        <w:t xml:space="preserve">. </w:t>
      </w:r>
    </w:p>
    <w:p w14:paraId="3DA149D6" w14:textId="77777777" w:rsidR="00C4771A" w:rsidRDefault="00C4771A" w:rsidP="00C4771A">
      <w:pPr>
        <w:pStyle w:val="NoSpacing"/>
        <w:rPr>
          <w:rFonts w:hAnsi="Arial Unicode MS" w:cs="Arial Unicode MS"/>
          <w:i/>
          <w:color w:val="000000"/>
          <w:u w:color="000000"/>
        </w:rPr>
      </w:pPr>
    </w:p>
    <w:p w14:paraId="6F9A6F88" w14:textId="77777777" w:rsidR="00080625" w:rsidRDefault="00080625" w:rsidP="00B40521">
      <w:pPr>
        <w:pStyle w:val="NoSpacing"/>
        <w:numPr>
          <w:ilvl w:val="0"/>
          <w:numId w:val="111"/>
        </w:numPr>
      </w:pPr>
      <w:r w:rsidRPr="00C4771A">
        <w:rPr>
          <w:i/>
        </w:rPr>
        <w:t>Higher education institutions, employers’ organizations, student organizations, alumni associations and public authorities</w:t>
      </w:r>
      <w:r>
        <w:t xml:space="preserve"> should work together, as appropriate, to increase awareness among employers of the broad range of competences held by higher education graduates.</w:t>
      </w:r>
      <w:r w:rsidR="00C4771A">
        <w:br/>
      </w:r>
    </w:p>
    <w:p w14:paraId="12B5979D" w14:textId="77777777" w:rsidR="00080625" w:rsidRDefault="00080625" w:rsidP="00B40521">
      <w:pPr>
        <w:pStyle w:val="Body"/>
        <w:numPr>
          <w:ilvl w:val="0"/>
          <w:numId w:val="111"/>
        </w:numPr>
      </w:pPr>
      <w:r>
        <w:rPr>
          <w:i/>
        </w:rPr>
        <w:lastRenderedPageBreak/>
        <w:t>Employers</w:t>
      </w:r>
      <w:r>
        <w:t xml:space="preserve"> should:</w:t>
      </w:r>
    </w:p>
    <w:p w14:paraId="5B862864" w14:textId="77777777" w:rsidR="00080625" w:rsidRDefault="00080625" w:rsidP="00B40521">
      <w:pPr>
        <w:pStyle w:val="Body"/>
        <w:numPr>
          <w:ilvl w:val="0"/>
          <w:numId w:val="89"/>
        </w:numPr>
        <w:ind w:left="709" w:hanging="283"/>
      </w:pPr>
      <w:r>
        <w:t>make appropriate use of higher education qualifications, including those of the first cycle.</w:t>
      </w:r>
    </w:p>
    <w:p w14:paraId="44C873AC" w14:textId="77777777" w:rsidR="00080625" w:rsidRPr="003B23C3" w:rsidRDefault="00080625" w:rsidP="00B40521">
      <w:pPr>
        <w:pStyle w:val="ListParagraph"/>
        <w:numPr>
          <w:ilvl w:val="0"/>
          <w:numId w:val="89"/>
        </w:numPr>
        <w:ind w:left="709" w:hanging="283"/>
        <w:rPr>
          <w:lang w:val="en-GB"/>
        </w:rPr>
      </w:pPr>
      <w:r w:rsidRPr="003B23C3">
        <w:t>d</w:t>
      </w:r>
      <w:r w:rsidRPr="003B23C3">
        <w:rPr>
          <w:lang w:val="en-GB"/>
        </w:rPr>
        <w:t>evelop sustainable relationships with higher education institutions, for mutual benefit</w:t>
      </w:r>
      <w:r>
        <w:rPr>
          <w:lang w:val="en-GB"/>
        </w:rPr>
        <w:t>, including through work placements</w:t>
      </w:r>
      <w:r w:rsidRPr="003B23C3">
        <w:rPr>
          <w:lang w:val="en-GB"/>
        </w:rPr>
        <w:t xml:space="preserve">. </w:t>
      </w:r>
    </w:p>
    <w:p w14:paraId="590A642D" w14:textId="77777777" w:rsidR="00080625" w:rsidRDefault="00080625" w:rsidP="00C4771A">
      <w:pPr>
        <w:pStyle w:val="ListParagraph"/>
        <w:numPr>
          <w:ilvl w:val="0"/>
          <w:numId w:val="0"/>
        </w:numPr>
      </w:pPr>
    </w:p>
    <w:p w14:paraId="7EB1F241" w14:textId="77777777" w:rsidR="005A0547" w:rsidRDefault="005A0547" w:rsidP="00080625">
      <w:pPr>
        <w:pStyle w:val="Body"/>
        <w:rPr>
          <w:rFonts w:ascii="Times New Roman Bold"/>
        </w:rPr>
      </w:pPr>
    </w:p>
    <w:p w14:paraId="0BA794A3" w14:textId="77777777" w:rsidR="005A0547" w:rsidRDefault="005A0547" w:rsidP="00080625">
      <w:pPr>
        <w:pStyle w:val="Body"/>
        <w:rPr>
          <w:rFonts w:ascii="Times New Roman Bold"/>
        </w:rPr>
      </w:pPr>
    </w:p>
    <w:p w14:paraId="36FDEFC8" w14:textId="77777777" w:rsidR="00080625" w:rsidRDefault="00080625" w:rsidP="00080625">
      <w:pPr>
        <w:pStyle w:val="Body"/>
      </w:pPr>
      <w:r>
        <w:rPr>
          <w:rFonts w:ascii="Times New Roman Bold"/>
        </w:rPr>
        <w:t>III.3</w:t>
      </w:r>
      <w:r>
        <w:rPr>
          <w:rFonts w:ascii="Times New Roman Bold"/>
        </w:rPr>
        <w:tab/>
        <w:t>The use of qualifications frameworks to improve fair recognition</w:t>
      </w:r>
      <w:r>
        <w:t xml:space="preserve"> (ToR, no. 3)</w:t>
      </w:r>
    </w:p>
    <w:p w14:paraId="46E498D5" w14:textId="77777777" w:rsidR="007475A8" w:rsidRDefault="007475A8" w:rsidP="00080625">
      <w:pPr>
        <w:pStyle w:val="Body"/>
      </w:pPr>
    </w:p>
    <w:p w14:paraId="4AC800AA" w14:textId="77777777" w:rsidR="00080625" w:rsidRDefault="00080625" w:rsidP="007475A8">
      <w:pPr>
        <w:pStyle w:val="Body"/>
        <w:jc w:val="both"/>
      </w:pPr>
      <w:r>
        <w:t>Qualifications frameworks describe all qualifications in a given (higher) education system as well as how these qualifications relate to each other and how learners can move between qualifications within the framework.  The self-certification and referencing of national frameworks to overarching qualifications frameworks (QF-EHEA and EQF) establish the relationship between qualifications from different national frameworks. Qualifications frameworks incorporate the dimension of quality assurance and the competent authorities responsible for quality assurance need to subscribe to the self-certification/referencing of national frameworks against the QF-EHEA and/or the EQF for this to be considered complete.</w:t>
      </w:r>
    </w:p>
    <w:p w14:paraId="75CE5910" w14:textId="77777777" w:rsidR="00080625" w:rsidRDefault="00080625" w:rsidP="007475A8">
      <w:pPr>
        <w:pStyle w:val="Body"/>
        <w:jc w:val="both"/>
      </w:pPr>
      <w:r>
        <w:t>The Lisbon Recognition Convention postulates that foreign qualifications be recognized unless a substantial difference can be demonstrated between the qualification for which recognition is sought and similar or corresponding qualification in the host country.  This is exemplified by paragraph VI.1 on recognition of higher education qualifications; similar wording is found in Articles IV.1 on recognition of qualifications giving access to higher education and V.I on recognition of periods of study:</w:t>
      </w:r>
    </w:p>
    <w:p w14:paraId="083BBCD1" w14:textId="77777777" w:rsidR="00080625" w:rsidRDefault="00080625" w:rsidP="00080625">
      <w:pPr>
        <w:pStyle w:val="Body"/>
      </w:pPr>
    </w:p>
    <w:p w14:paraId="76C75718" w14:textId="77777777" w:rsidR="00080625" w:rsidRDefault="00080625" w:rsidP="00080625">
      <w:pPr>
        <w:pStyle w:val="Body"/>
        <w:ind w:left="567" w:right="855"/>
        <w:jc w:val="both"/>
        <w:rPr>
          <w:sz w:val="22"/>
          <w:szCs w:val="22"/>
        </w:rPr>
      </w:pPr>
      <w:r>
        <w:rPr>
          <w:spacing w:val="-1"/>
          <w:sz w:val="22"/>
          <w:szCs w:val="22"/>
        </w:rPr>
        <w:t>To the extent that a recognition decision is based on the knowledge and skills certified by the higher education qualification, each Party shall recognize the higher education qualifications conferred in another Party, unless a substantial difference can be shown between the qualification for which recognition is sought and the corresponding qualification in the Party in which recognition is sought.</w:t>
      </w:r>
    </w:p>
    <w:p w14:paraId="58652443" w14:textId="77777777" w:rsidR="00080625" w:rsidRDefault="00080625" w:rsidP="00080625">
      <w:pPr>
        <w:pStyle w:val="Body"/>
        <w:rPr>
          <w:sz w:val="22"/>
          <w:szCs w:val="22"/>
        </w:rPr>
      </w:pPr>
    </w:p>
    <w:p w14:paraId="3B2CF196" w14:textId="77777777" w:rsidR="00080625" w:rsidRDefault="00080625" w:rsidP="007475A8">
      <w:pPr>
        <w:pStyle w:val="Body"/>
        <w:jc w:val="both"/>
      </w:pPr>
      <w:r>
        <w:t>Qualifications frameworks should provide clear answers to some of the questions credentials evaluators would normally ask about a foreign qualification, notably about quality, level and workload, and should also be helpful in assessing profile and learning outcomes. They should help make it clear what similarities exist between qualifications from different national frameworks and therefore help avoid an overly narrow interpretation of what differences between qualifications may be considered substantial and which may therefore constitute valid grounds for non-recognition, including partial recognition of foreign qualifications. The published self-certification and referencing reports play a key role in this respect and it is therefore imperative that these be made easily available and that they be updated when (higher) education systems and frameworks undergo reforms. The competent public authorities need to provide clear information, for recognition purposes, on all qualifications belonging to the system for which they are responsible.</w:t>
      </w:r>
    </w:p>
    <w:p w14:paraId="463CD9C3" w14:textId="77777777" w:rsidR="007475A8" w:rsidRDefault="007475A8" w:rsidP="00080625">
      <w:pPr>
        <w:pStyle w:val="Body"/>
      </w:pPr>
    </w:p>
    <w:p w14:paraId="277AF89D" w14:textId="77777777" w:rsidR="00080625" w:rsidRDefault="00080625" w:rsidP="003C088C">
      <w:pPr>
        <w:pStyle w:val="NoSpacing"/>
        <w:jc w:val="both"/>
      </w:pPr>
      <w:r>
        <w:t xml:space="preserve">It is also worth noting that the Lisbon Recognition Convention is in a legal sense restricted to academic recognition, i.e. recognition of foreign qualifications for the purpose of further study.  However, the need for fair recognition is equally strong in the case of professional recognition. </w:t>
      </w:r>
      <w:r>
        <w:lastRenderedPageBreak/>
        <w:t xml:space="preserve">The principles and provisions of the Lisbon Recognition Convention are also applicable, as a guide to good practice, to recognition of the purpose of access to the labor market. </w:t>
      </w:r>
    </w:p>
    <w:p w14:paraId="33A072A8" w14:textId="77777777" w:rsidR="003C088C" w:rsidRDefault="003C088C" w:rsidP="003C088C">
      <w:pPr>
        <w:pStyle w:val="NoSpacing"/>
        <w:jc w:val="both"/>
      </w:pPr>
    </w:p>
    <w:p w14:paraId="2D5B65C8" w14:textId="77777777" w:rsidR="00080625" w:rsidRDefault="00080625" w:rsidP="003C088C">
      <w:pPr>
        <w:pStyle w:val="NoSpacing"/>
        <w:jc w:val="both"/>
      </w:pPr>
      <w:r>
        <w:t>The Lisbon Recognition Convention Committee adopted a new subsidiary text to the Convention on this topic in June 2013</w:t>
      </w:r>
      <w:r>
        <w:rPr>
          <w:rFonts w:eastAsia="Times New Roman"/>
          <w:vertAlign w:val="superscript"/>
        </w:rPr>
        <w:footnoteReference w:id="19"/>
      </w:r>
      <w:r>
        <w:t xml:space="preserve">.  This is the only international standard setting text that stipulates how qualifications frameworks could be used as instruments to further the recognition of qualifications </w:t>
      </w:r>
      <w:r>
        <w:rPr>
          <w:rFonts w:ascii="Arial Unicode MS"/>
        </w:rPr>
        <w:t>–</w:t>
      </w:r>
      <w:r>
        <w:rPr>
          <w:rFonts w:ascii="Arial Unicode MS"/>
        </w:rPr>
        <w:t xml:space="preserve"> </w:t>
      </w:r>
      <w:r>
        <w:t>and hence the Recommendation addresses the coherence and links between two of the policy areas covered by the ToR of the Structural Reforms Working Group.</w:t>
      </w:r>
    </w:p>
    <w:p w14:paraId="265C7FD3" w14:textId="77777777" w:rsidR="003C088C" w:rsidRDefault="003C088C" w:rsidP="003C088C">
      <w:pPr>
        <w:pStyle w:val="NoSpacing"/>
        <w:jc w:val="both"/>
      </w:pPr>
    </w:p>
    <w:p w14:paraId="45A09725" w14:textId="77777777" w:rsidR="00080625" w:rsidRDefault="00080625" w:rsidP="00576C54">
      <w:pPr>
        <w:pStyle w:val="NoSpacing"/>
        <w:jc w:val="both"/>
      </w:pPr>
      <w:r>
        <w:t>The Recommendation underlines the need for better links and more direct interaction between the bodies responsible for recognition and those responsible for qualifications frameworks.  At least indirectly, it also makes the case for better cooperation between these bodies and those responsible for quality assurance since satisfactory quality assurance provision is a precondition for self-certification and referencing of national qualifications frameworks</w:t>
      </w:r>
      <w:r>
        <w:rPr>
          <w:rFonts w:eastAsia="Times New Roman"/>
          <w:vertAlign w:val="superscript"/>
        </w:rPr>
        <w:footnoteReference w:id="20"/>
      </w:r>
      <w:r>
        <w:t xml:space="preserve">. </w:t>
      </w:r>
    </w:p>
    <w:p w14:paraId="3CD349F2" w14:textId="77777777" w:rsidR="003C088C" w:rsidRDefault="003C088C" w:rsidP="003C088C">
      <w:pPr>
        <w:pStyle w:val="NoSpacing"/>
        <w:jc w:val="both"/>
      </w:pPr>
    </w:p>
    <w:p w14:paraId="10C8AB26" w14:textId="77777777" w:rsidR="00080625" w:rsidRDefault="00080625" w:rsidP="003C088C">
      <w:pPr>
        <w:pStyle w:val="NoSpacing"/>
        <w:jc w:val="both"/>
      </w:pPr>
      <w:r>
        <w:t xml:space="preserve">In many countries, contacts and cooperation between the bodies responsible for different areas of structural reform is still insufficient. Even though contacts at European level between the different groups and networks working on specific policy areas </w:t>
      </w:r>
      <w:r>
        <w:rPr>
          <w:rFonts w:ascii="Arial Unicode MS"/>
        </w:rPr>
        <w:t>–</w:t>
      </w:r>
      <w:r>
        <w:rPr>
          <w:rFonts w:ascii="Arial Unicode MS"/>
        </w:rPr>
        <w:t xml:space="preserve"> </w:t>
      </w:r>
      <w:r>
        <w:t xml:space="preserve">such as ENQA and EQAR for quality assurance, the Network of national correspondents for qualifications frameworks of the QF-EHEA and the EQF Advisory Group for qualifications frameworks and the ENIC and NARIC Networks for recognition </w:t>
      </w:r>
      <w:r>
        <w:rPr>
          <w:rFonts w:ascii="Arial Unicode MS"/>
        </w:rPr>
        <w:t>–</w:t>
      </w:r>
      <w:r>
        <w:rPr>
          <w:rFonts w:ascii="Arial Unicode MS"/>
        </w:rPr>
        <w:t xml:space="preserve"> </w:t>
      </w:r>
      <w:r>
        <w:t>have improved significantly over the past few years, there is still scope for considerable improvement. In many countries, further efforts are also required to better incorporate ENICs and NARICs into the national higher education policy environment so that the concerns and expertise of national recognition experts are adequately taken account of.</w:t>
      </w:r>
    </w:p>
    <w:p w14:paraId="7D5A894C" w14:textId="77777777" w:rsidR="003C088C" w:rsidRDefault="003C088C" w:rsidP="003C088C">
      <w:pPr>
        <w:pStyle w:val="NoSpacing"/>
        <w:jc w:val="both"/>
      </w:pPr>
    </w:p>
    <w:p w14:paraId="1552272B" w14:textId="77777777" w:rsidR="00080625" w:rsidRDefault="00080625" w:rsidP="003C088C">
      <w:pPr>
        <w:pStyle w:val="NoSpacing"/>
        <w:jc w:val="both"/>
      </w:pPr>
      <w:r>
        <w:t>One important purpose of the self-certification and referencing process is to build trust.  This is done in part through the report, which – if done convincingly – will not only state that the national framework in question is compatible with the QF-EHEA and/or the EQF but also demonstrate why this is the case in such a way that readers will reach the same conclusion.  In part it is done through the procedure, which should involve the main national stakeholders as well as well reputed international experts. Such trust is essential in facilitating recognition and, conversely, if trust is absent, recognition will become more laborious.   It is essential to ensure that while individual qualifications in the NQFs are self-certified and referenced to the overarching frameworks, national authorities do so transparently and do not use the QF-EHEA and EQF to inflate the level or value of individual qualifications in their national systems.  The European Area of Recognition (EAR) manual, welcomed by Ministers in the Bucharest Communiqué, is an example of good practice in this is respect.</w:t>
      </w:r>
    </w:p>
    <w:p w14:paraId="0BB54828" w14:textId="77777777" w:rsidR="00080625" w:rsidRDefault="00080625" w:rsidP="00F568A4">
      <w:pPr>
        <w:pStyle w:val="ListParagraph"/>
        <w:numPr>
          <w:ilvl w:val="0"/>
          <w:numId w:val="0"/>
        </w:numPr>
      </w:pPr>
    </w:p>
    <w:p w14:paraId="449DEE76" w14:textId="77777777" w:rsidR="00F568A4" w:rsidRDefault="00F568A4" w:rsidP="00F568A4">
      <w:pPr>
        <w:pStyle w:val="ListParagraph"/>
        <w:numPr>
          <w:ilvl w:val="0"/>
          <w:numId w:val="0"/>
        </w:numPr>
      </w:pPr>
    </w:p>
    <w:p w14:paraId="79D20D17" w14:textId="77777777" w:rsidR="00080625" w:rsidRDefault="00080625" w:rsidP="00080625">
      <w:pPr>
        <w:pStyle w:val="Body"/>
        <w:rPr>
          <w:b/>
          <w:bCs/>
          <w:i/>
          <w:iCs/>
        </w:rPr>
      </w:pPr>
      <w:r w:rsidRPr="003B23C3">
        <w:rPr>
          <w:b/>
          <w:bCs/>
          <w:i/>
          <w:iCs/>
        </w:rPr>
        <w:t>Recommendations</w:t>
      </w:r>
    </w:p>
    <w:p w14:paraId="0A4D1E99" w14:textId="77777777" w:rsidR="003C088C" w:rsidRDefault="003C088C" w:rsidP="00080625">
      <w:pPr>
        <w:pStyle w:val="Body"/>
        <w:rPr>
          <w:i/>
          <w:iCs/>
        </w:rPr>
      </w:pPr>
    </w:p>
    <w:p w14:paraId="4B9B9525" w14:textId="77777777" w:rsidR="00080625" w:rsidRDefault="00080625" w:rsidP="00080625">
      <w:pPr>
        <w:pStyle w:val="Body"/>
      </w:pPr>
      <w:r>
        <w:rPr>
          <w:i/>
          <w:iCs/>
        </w:rPr>
        <w:t>Public authorities</w:t>
      </w:r>
      <w:r>
        <w:t xml:space="preserve"> should:</w:t>
      </w:r>
    </w:p>
    <w:p w14:paraId="2AB583CF" w14:textId="77777777" w:rsidR="00080625" w:rsidRDefault="00080625" w:rsidP="00B40521">
      <w:pPr>
        <w:pStyle w:val="ListParagraph"/>
        <w:numPr>
          <w:ilvl w:val="0"/>
          <w:numId w:val="60"/>
        </w:numPr>
        <w:ind w:left="709" w:hanging="709"/>
      </w:pPr>
      <w:r>
        <w:t>make full use of qualifications frameworks to further fair recognition, in particular by acknowledging that national qualifications frameworks that have been self-certified against the QF-EHEA and/or referenced against the EQF provide the required information on the quality, level and workload of any given qualification in the relevant framework.</w:t>
      </w:r>
    </w:p>
    <w:p w14:paraId="108E6E19" w14:textId="77777777" w:rsidR="00080625" w:rsidRDefault="00080625" w:rsidP="00B40521">
      <w:pPr>
        <w:pStyle w:val="ListParagraph"/>
        <w:numPr>
          <w:ilvl w:val="0"/>
          <w:numId w:val="61"/>
        </w:numPr>
        <w:ind w:left="709" w:hanging="709"/>
      </w:pPr>
      <w:r>
        <w:t>ensure good cooperation among the competent authorities for recognition, qualifications frameworks and quality assurance and, where needed, review the structure and organization of these bodies at national level.</w:t>
      </w:r>
    </w:p>
    <w:p w14:paraId="43227D03" w14:textId="77777777" w:rsidR="00080625" w:rsidRDefault="00080625" w:rsidP="00B40521">
      <w:pPr>
        <w:pStyle w:val="ListParagraph"/>
        <w:numPr>
          <w:ilvl w:val="0"/>
          <w:numId w:val="62"/>
        </w:numPr>
        <w:ind w:left="709" w:hanging="709"/>
      </w:pPr>
      <w:r>
        <w:t>better incorporate ENICs and NARICs into the national higher education policy environment.</w:t>
      </w:r>
    </w:p>
    <w:p w14:paraId="1D22C451" w14:textId="77777777" w:rsidR="00080625" w:rsidRDefault="00080625" w:rsidP="00B40521">
      <w:pPr>
        <w:pStyle w:val="ListParagraph"/>
        <w:numPr>
          <w:ilvl w:val="0"/>
          <w:numId w:val="63"/>
        </w:numPr>
        <w:ind w:left="709" w:hanging="709"/>
      </w:pPr>
      <w:r>
        <w:t>ensure that individual qualifications in the NQFs are self-certified and referenced to the overarching frameworks in transparent ways and not use the QF-EHEA and EQF to inflate the level or value of individual qualifications in their national systems.</w:t>
      </w:r>
    </w:p>
    <w:p w14:paraId="59D2244D" w14:textId="77777777" w:rsidR="00080625" w:rsidRDefault="00080625" w:rsidP="00B40521">
      <w:pPr>
        <w:pStyle w:val="Body"/>
        <w:numPr>
          <w:ilvl w:val="0"/>
          <w:numId w:val="63"/>
        </w:numPr>
        <w:ind w:left="709" w:hanging="709"/>
        <w:jc w:val="both"/>
      </w:pPr>
      <w:r>
        <w:t xml:space="preserve">ensure that self-certification and referencing reports be made easily available and that they be updated when (higher) education systems and frameworks undergo reforms. </w:t>
      </w:r>
    </w:p>
    <w:p w14:paraId="6DC785BF" w14:textId="77777777" w:rsidR="00080625" w:rsidRDefault="00080625" w:rsidP="00B40521">
      <w:pPr>
        <w:pStyle w:val="Body"/>
        <w:numPr>
          <w:ilvl w:val="0"/>
          <w:numId w:val="63"/>
        </w:numPr>
        <w:ind w:left="709" w:hanging="709"/>
        <w:jc w:val="both"/>
      </w:pPr>
      <w:r>
        <w:t>provide clear information, for recognition purposes, on all qualifications belonging to the system for which they are responsible.</w:t>
      </w:r>
    </w:p>
    <w:p w14:paraId="1A62E02F" w14:textId="77777777" w:rsidR="00080625" w:rsidRDefault="00080625" w:rsidP="00B40521">
      <w:pPr>
        <w:pStyle w:val="ListParagraph"/>
        <w:numPr>
          <w:ilvl w:val="0"/>
          <w:numId w:val="63"/>
        </w:numPr>
        <w:ind w:left="709" w:hanging="709"/>
      </w:pPr>
      <w:r>
        <w:t>In the process of NQF implementation, attention should be paid to proper definition, implementation and assessment of intended outcomes for all cycles, including the third cycle.</w:t>
      </w:r>
    </w:p>
    <w:p w14:paraId="5E3F1ED9" w14:textId="77777777" w:rsidR="00080625" w:rsidRPr="004A4FAE" w:rsidRDefault="00080625" w:rsidP="00B40521">
      <w:pPr>
        <w:pStyle w:val="ListParagraph"/>
        <w:numPr>
          <w:ilvl w:val="0"/>
          <w:numId w:val="63"/>
        </w:numPr>
        <w:ind w:left="709" w:hanging="709"/>
      </w:pPr>
      <w:r>
        <w:t>clarify the status of doctoral and post-doctoral qualifications used in most countries of the Commonwealth of Independent States</w:t>
      </w:r>
      <w:r w:rsidR="00F568A4">
        <w:t>, Georgia, and Ukraine</w:t>
      </w:r>
      <w:r>
        <w:t xml:space="preserve"> (e.g. the </w:t>
      </w:r>
      <w:r w:rsidRPr="00061E43">
        <w:rPr>
          <w:i/>
        </w:rPr>
        <w:t>kandidat nauk/dr nauk</w:t>
      </w:r>
      <w:r>
        <w:t xml:space="preserve"> system)</w:t>
      </w:r>
      <w:r w:rsidRPr="00AA340F">
        <w:t xml:space="preserve"> </w:t>
      </w:r>
      <w:r>
        <w:t>in relation to the QF-EHEA and the EQF. In case specific NQFs choose to include post-doctoral qualifications at a higher level than the third cycle, this should not limit the access and employability of foreign academic staff from countries without such qualifications, as these are not offered in most systems of the EHEA.</w:t>
      </w:r>
    </w:p>
    <w:p w14:paraId="368F5861" w14:textId="77777777" w:rsidR="00080625" w:rsidRPr="003B23C3" w:rsidRDefault="00080625" w:rsidP="00080625">
      <w:pPr>
        <w:pStyle w:val="Body"/>
      </w:pPr>
    </w:p>
    <w:p w14:paraId="343E4A25" w14:textId="77777777" w:rsidR="00080625" w:rsidRDefault="00080625" w:rsidP="003C75DC">
      <w:pPr>
        <w:pStyle w:val="Body"/>
        <w:jc w:val="both"/>
      </w:pPr>
      <w:r w:rsidRPr="003B23C3">
        <w:rPr>
          <w:i/>
        </w:rPr>
        <w:t>Higher education institutions</w:t>
      </w:r>
      <w:r>
        <w:t xml:space="preserve"> </w:t>
      </w:r>
      <w:r w:rsidRPr="003B23C3">
        <w:rPr>
          <w:i/>
        </w:rPr>
        <w:t>and employers</w:t>
      </w:r>
      <w:r>
        <w:t xml:space="preserve"> should make good use of qualifications frameworks in the recognition of qualifications.</w:t>
      </w:r>
    </w:p>
    <w:p w14:paraId="54AF3D2A" w14:textId="77777777" w:rsidR="005A0547" w:rsidRDefault="005A0547" w:rsidP="003C75DC">
      <w:pPr>
        <w:pStyle w:val="Body"/>
        <w:jc w:val="both"/>
      </w:pPr>
    </w:p>
    <w:p w14:paraId="61CA5849" w14:textId="77777777" w:rsidR="005A0547" w:rsidRDefault="005A0547" w:rsidP="003C75DC">
      <w:pPr>
        <w:pStyle w:val="Body"/>
        <w:jc w:val="both"/>
      </w:pPr>
    </w:p>
    <w:p w14:paraId="2AA9D52B" w14:textId="77777777" w:rsidR="005A0547" w:rsidRDefault="005A0547" w:rsidP="003C75DC">
      <w:pPr>
        <w:pStyle w:val="Body"/>
        <w:jc w:val="both"/>
      </w:pPr>
    </w:p>
    <w:p w14:paraId="506394A2" w14:textId="77777777" w:rsidR="005A0547" w:rsidRDefault="005A0547" w:rsidP="003C75DC">
      <w:pPr>
        <w:pStyle w:val="Body"/>
        <w:jc w:val="both"/>
      </w:pPr>
    </w:p>
    <w:p w14:paraId="1749E5AB" w14:textId="77777777" w:rsidR="005A0547" w:rsidRDefault="005A0547" w:rsidP="003C75DC">
      <w:pPr>
        <w:pStyle w:val="Body"/>
        <w:jc w:val="both"/>
      </w:pPr>
    </w:p>
    <w:p w14:paraId="08FC8A4C" w14:textId="77777777" w:rsidR="00080625" w:rsidRDefault="00080625" w:rsidP="00080625">
      <w:pPr>
        <w:pStyle w:val="Body"/>
      </w:pPr>
      <w:r>
        <w:t xml:space="preserve">  </w:t>
      </w:r>
    </w:p>
    <w:p w14:paraId="5B52296C" w14:textId="77777777" w:rsidR="00080625" w:rsidRDefault="00080625" w:rsidP="00080625">
      <w:pPr>
        <w:pStyle w:val="Body"/>
      </w:pPr>
      <w:r>
        <w:rPr>
          <w:rFonts w:ascii="Times New Roman Bold"/>
        </w:rPr>
        <w:t>III.4</w:t>
      </w:r>
      <w:r>
        <w:rPr>
          <w:rFonts w:ascii="Times New Roman Bold"/>
        </w:rPr>
        <w:tab/>
        <w:t>Diversity and transparency: improve transparency instruments for describing individual qualifications as well as higher education systems</w:t>
      </w:r>
      <w:r>
        <w:t xml:space="preserve"> (ToR no. 5)</w:t>
      </w:r>
    </w:p>
    <w:p w14:paraId="7A0C0DB1" w14:textId="77777777" w:rsidR="003C088C" w:rsidRDefault="003C088C" w:rsidP="00080625">
      <w:pPr>
        <w:pStyle w:val="Body"/>
      </w:pPr>
    </w:p>
    <w:p w14:paraId="3B762A00" w14:textId="77777777" w:rsidR="00080625" w:rsidRDefault="00080625" w:rsidP="003C75DC">
      <w:pPr>
        <w:pStyle w:val="NoSpacing"/>
        <w:jc w:val="both"/>
      </w:pPr>
      <w:r>
        <w:lastRenderedPageBreak/>
        <w:t xml:space="preserve">The considerable diversity of structures and provision within the European Higher Education Area, which is one of its strengths, makes transparency a particularly important issue.  It is important to present higher education in Europe, including its structures, qualifications frameworks, and quality assurance arrangements, in such a way that those who do not have specialized knowledge of higher education </w:t>
      </w:r>
      <w:r>
        <w:rPr>
          <w:rFonts w:ascii="Arial Unicode MS"/>
        </w:rPr>
        <w:t>–</w:t>
      </w:r>
      <w:r>
        <w:rPr>
          <w:rFonts w:ascii="Arial Unicode MS"/>
        </w:rPr>
        <w:t xml:space="preserve"> </w:t>
      </w:r>
      <w:r>
        <w:t xml:space="preserve">or of a specific country and its system </w:t>
      </w:r>
      <w:r>
        <w:rPr>
          <w:rFonts w:ascii="Arial Unicode MS"/>
        </w:rPr>
        <w:t>–</w:t>
      </w:r>
      <w:r>
        <w:rPr>
          <w:rFonts w:ascii="Arial Unicode MS"/>
        </w:rPr>
        <w:t xml:space="preserve"> </w:t>
      </w:r>
      <w:r>
        <w:t xml:space="preserve">can understand it.  A part of the challenge is explaining what is often a complex reality in comprehensible ways, without over-simplifying, and another part of the challenge is to explain the relationship between national and European structures. </w:t>
      </w:r>
    </w:p>
    <w:p w14:paraId="3F360EA7" w14:textId="77777777" w:rsidR="00080625" w:rsidRDefault="00080625" w:rsidP="00080625">
      <w:pPr>
        <w:pStyle w:val="Body"/>
      </w:pPr>
    </w:p>
    <w:p w14:paraId="17DCEF8B" w14:textId="77777777" w:rsidR="00080625" w:rsidRDefault="00080625" w:rsidP="003C75DC">
      <w:pPr>
        <w:pStyle w:val="ListParagraph"/>
        <w:numPr>
          <w:ilvl w:val="0"/>
          <w:numId w:val="0"/>
        </w:numPr>
      </w:pPr>
      <w:r>
        <w:t>It is important to underline that it is the responsibility of each EHEA member country to help other countries understand its education system, qualifications frameworks and arrangements for quality assurance. The most authoritative information on any education system is provided by the competent authorities responsible for the system in question. It is essential to the development of the EHEA that all such information be transparent, understandable, reliable, and accurate.</w:t>
      </w:r>
    </w:p>
    <w:p w14:paraId="11DE56EE" w14:textId="77777777" w:rsidR="00080625" w:rsidRDefault="00080625" w:rsidP="003C75DC">
      <w:pPr>
        <w:pStyle w:val="ListParagraph"/>
        <w:numPr>
          <w:ilvl w:val="0"/>
          <w:numId w:val="0"/>
        </w:numPr>
      </w:pPr>
    </w:p>
    <w:p w14:paraId="19B99B1D" w14:textId="77777777" w:rsidR="00080625" w:rsidRDefault="00080625" w:rsidP="003C75DC">
      <w:pPr>
        <w:pStyle w:val="Body"/>
        <w:jc w:val="both"/>
      </w:pPr>
      <w:r>
        <w:t xml:space="preserve">One important challenge is how public authorities could make the information provided on their education systems and their relationship to the EHEA more transparent. How can 47 countries with at least as many education systems make up a coherent European Higher Education Area? </w:t>
      </w:r>
    </w:p>
    <w:p w14:paraId="00807949" w14:textId="77777777" w:rsidR="003C75DC" w:rsidRDefault="003C75DC" w:rsidP="00080625">
      <w:pPr>
        <w:pStyle w:val="Body"/>
      </w:pPr>
    </w:p>
    <w:p w14:paraId="5BB99F83" w14:textId="77777777" w:rsidR="00080625" w:rsidRDefault="00080625" w:rsidP="003C75DC">
      <w:pPr>
        <w:pStyle w:val="NoSpacing"/>
        <w:jc w:val="both"/>
      </w:pPr>
      <w:r>
        <w:t>Some instruments have already been developed with the promotion of transparency as an important or even the main objective, such as the Diploma Supplement and the European Credit Transfer and Accumulation System (ECTS).  Qualifications frameworks and quality assurance instruments are also important in promoting transparency. The terms of reference make specific reference to the Diploma Supplement and the ECTS, the latter of which will at least in part be covered by the sub-group on the ECTS Users</w:t>
      </w:r>
      <w:r w:rsidRPr="0044450A">
        <w:rPr>
          <w:rFonts w:ascii="Arial Unicode MS"/>
        </w:rPr>
        <w:t>’</w:t>
      </w:r>
      <w:r w:rsidRPr="0044450A">
        <w:rPr>
          <w:rFonts w:ascii="Arial Unicode MS"/>
        </w:rPr>
        <w:t xml:space="preserve"> </w:t>
      </w:r>
      <w:r>
        <w:t xml:space="preserve">Guide.  The </w:t>
      </w:r>
      <w:r w:rsidRPr="004A4FAE">
        <w:t xml:space="preserve">Standards and Guidelines for Quality Assurance in </w:t>
      </w:r>
      <w:r>
        <w:t>the European H</w:t>
      </w:r>
      <w:r w:rsidRPr="004A4FAE">
        <w:t xml:space="preserve">igher </w:t>
      </w:r>
      <w:r>
        <w:t>E</w:t>
      </w:r>
      <w:r w:rsidRPr="004A4FAE">
        <w:t>ducation</w:t>
      </w:r>
      <w:r>
        <w:t xml:space="preserve"> Area provide the basis on which information on quality and quality assurance should be provided.</w:t>
      </w:r>
    </w:p>
    <w:p w14:paraId="7B29550E" w14:textId="77777777" w:rsidR="003C75DC" w:rsidRDefault="003C75DC" w:rsidP="003C75DC">
      <w:pPr>
        <w:pStyle w:val="NoSpacing"/>
        <w:jc w:val="both"/>
      </w:pPr>
    </w:p>
    <w:p w14:paraId="7BB0F809" w14:textId="77777777" w:rsidR="00080625" w:rsidRDefault="00080625" w:rsidP="003C75DC">
      <w:pPr>
        <w:pStyle w:val="NoSpacing"/>
        <w:jc w:val="both"/>
        <w:rPr>
          <w:rFonts w:eastAsia="Times New Roman"/>
        </w:rPr>
      </w:pPr>
      <w:r>
        <w:t>Quality can only be ensured if higher education and research build on and observe principles of ethics and good conduct. Quality is endangered by fraud and corruption. Even if many higher education systems and institutions make laudable efforts to prevent fraud and have published arrangements for addressing academic fraud, others do not yet have such arrangements and need to develop them as a matter of urgency. The Guidelines for an Institutional Code of Ethics in Higher Education developed by the International Association of Universities and the Magna Charta Observatory</w:t>
      </w:r>
      <w:r>
        <w:rPr>
          <w:rFonts w:eastAsia="Times New Roman"/>
          <w:vertAlign w:val="superscript"/>
        </w:rPr>
        <w:footnoteReference w:id="21"/>
      </w:r>
      <w:r>
        <w:t xml:space="preserve"> provide a good starting point for institutions that wish to develop their own guidelines.</w:t>
      </w:r>
    </w:p>
    <w:p w14:paraId="4F287E82" w14:textId="77777777" w:rsidR="00080625" w:rsidRDefault="00080625" w:rsidP="003C75DC">
      <w:pPr>
        <w:pStyle w:val="NoSpacing"/>
        <w:jc w:val="both"/>
        <w:rPr>
          <w:rFonts w:eastAsia="Times New Roman"/>
        </w:rPr>
      </w:pPr>
    </w:p>
    <w:p w14:paraId="5F8A2A33" w14:textId="77777777" w:rsidR="00080625" w:rsidRDefault="00080625" w:rsidP="003C75DC">
      <w:pPr>
        <w:pStyle w:val="NoSpacing"/>
        <w:jc w:val="both"/>
      </w:pPr>
      <w:r>
        <w:t>Another important issue is the responsibility of public authorities for ensuring that higher education institutions provide reliable and meaningful information to prospective students and their parents, to employers and to others who may want or need reliable information on higher education institutions and programs, including on the value and rights associated with their qualifications. The importance of reliable and sometimes comparable information on graduates</w:t>
      </w:r>
      <w:r w:rsidRPr="00D65350">
        <w:rPr>
          <w:rFonts w:ascii="Arial Unicode MS"/>
        </w:rPr>
        <w:t>’</w:t>
      </w:r>
      <w:r w:rsidRPr="00D65350">
        <w:rPr>
          <w:rFonts w:ascii="Arial Unicode MS"/>
        </w:rPr>
        <w:t xml:space="preserve"> </w:t>
      </w:r>
      <w:r>
        <w:t xml:space="preserve">employment outcomes as a factor determining decisions on choosing certain study programs is growing. </w:t>
      </w:r>
    </w:p>
    <w:p w14:paraId="5281D2B9" w14:textId="77777777" w:rsidR="003C75DC" w:rsidRDefault="003C75DC" w:rsidP="003C75DC">
      <w:pPr>
        <w:pStyle w:val="NoSpacing"/>
        <w:jc w:val="both"/>
      </w:pPr>
    </w:p>
    <w:p w14:paraId="597DE822" w14:textId="77777777" w:rsidR="00080625" w:rsidRDefault="00080625" w:rsidP="003C75DC">
      <w:pPr>
        <w:pStyle w:val="NoSpacing"/>
        <w:jc w:val="both"/>
      </w:pPr>
      <w:r>
        <w:lastRenderedPageBreak/>
        <w:t>The latter corresponds directly to the issue of tracking of graduates. Tracking graduates’ career patterns can contribute significantly to implementing Bologna reforms. It improves institutional self-knowledge and in this sense it is an important aspect of internal quality assurance. The ESG already mention “employability of graduates” in this context in ESG 1.6 “Information systems”. Tracking of graduates should also be considered in the context of public information for potential students, their parents and society at large. Objective, reliable, often comparable but at same time meaningful data on the progression of graduates into the labor market are clearly demanded by public opinion (ESG 1.7 also refers to “public information”). The report from the EUA Project “TRACKIT! – Tracking Learners’ and Graduates’ Progression Paths”</w:t>
      </w:r>
      <w:r>
        <w:rPr>
          <w:rStyle w:val="FootnoteReference"/>
        </w:rPr>
        <w:footnoteReference w:id="22"/>
      </w:r>
      <w:r>
        <w:t xml:space="preserve"> presents an overview of tracking initiatives undertaken at the institutional and national level. It shows i.a. trends in the tracking of graduates at national level, which is the main source of reliable and comparable data on graduates’ employment, pointing out that, next to surveying, which is still the predominant method, tracking based on administrative data (e.g. social security data) is more and more used. However, the first edition of U-Multirank clearly shows that a shortage of reliable data on graduates’ career paths is still a big challenge. It means that many institutions still lack information which serves the two purposes</w:t>
      </w:r>
      <w:r w:rsidRPr="00162872">
        <w:t xml:space="preserve"> </w:t>
      </w:r>
      <w:r>
        <w:t>mentioned above: institutional self-knowledge as an element of internal QA and reliable and meaningful information for potential students, their parents and society at large. Participants in the conference on U-Multirank held under Greek Presidency of the Council of EU (Athens, June 10-11, 2014) advocated that political initiative in this area be taken at the European level. Examples of good practice and possible new schemes which can enhance reliability and comparability of data should be further explored.</w:t>
      </w:r>
    </w:p>
    <w:p w14:paraId="4E3F53E4" w14:textId="77777777" w:rsidR="00080625" w:rsidRDefault="00080625" w:rsidP="00080625">
      <w:pPr>
        <w:pStyle w:val="Body"/>
      </w:pPr>
    </w:p>
    <w:p w14:paraId="6E822F1D" w14:textId="77777777" w:rsidR="00080625" w:rsidRDefault="00080625" w:rsidP="003C75DC">
      <w:pPr>
        <w:pStyle w:val="NoSpacing"/>
        <w:jc w:val="both"/>
      </w:pPr>
      <w:r>
        <w:t xml:space="preserve">Indisputably untruthful information </w:t>
      </w:r>
      <w:r>
        <w:rPr>
          <w:rFonts w:ascii="Arial Unicode MS"/>
        </w:rPr>
        <w:t>–</w:t>
      </w:r>
      <w:r>
        <w:rPr>
          <w:rFonts w:ascii="Arial Unicode MS"/>
        </w:rPr>
        <w:t xml:space="preserve"> </w:t>
      </w:r>
      <w:r>
        <w:t xml:space="preserve">such as claiming an institution is accredited if it is not </w:t>
      </w:r>
      <w:r>
        <w:rPr>
          <w:rFonts w:ascii="Arial Unicode MS"/>
        </w:rPr>
        <w:t>–</w:t>
      </w:r>
      <w:r>
        <w:rPr>
          <w:rFonts w:ascii="Arial Unicode MS"/>
        </w:rPr>
        <w:t xml:space="preserve"> </w:t>
      </w:r>
      <w:r>
        <w:t xml:space="preserve">is most likely covered by national legislation, but there is a considerable </w:t>
      </w:r>
      <w:r>
        <w:rPr>
          <w:rFonts w:ascii="Arial Unicode MS"/>
        </w:rPr>
        <w:t>“</w:t>
      </w:r>
      <w:r>
        <w:t>gray</w:t>
      </w:r>
      <w:r>
        <w:rPr>
          <w:rFonts w:ascii="Arial Unicode MS"/>
        </w:rPr>
        <w:t>”</w:t>
      </w:r>
      <w:r>
        <w:rPr>
          <w:rFonts w:ascii="Arial Unicode MS"/>
        </w:rPr>
        <w:t xml:space="preserve"> </w:t>
      </w:r>
      <w:r>
        <w:t xml:space="preserve">zone in which information provided is incomplete rather than openly untruthful and in which information is phrased in such a way as to give a positive impression of the provider while </w:t>
      </w:r>
      <w:r w:rsidRPr="002A1FFA">
        <w:t xml:space="preserve">avoiding untruthful claims. Those who are not higher education specialists will often not understand the </w:t>
      </w:r>
      <w:r w:rsidRPr="002A1FFA">
        <w:rPr>
          <w:rFonts w:ascii="Arial Unicode MS"/>
        </w:rPr>
        <w:t>“</w:t>
      </w:r>
      <w:r w:rsidRPr="002A1FFA">
        <w:t>fine print</w:t>
      </w:r>
      <w:r w:rsidRPr="002A1FFA">
        <w:rPr>
          <w:rFonts w:ascii="Arial Unicode MS"/>
        </w:rPr>
        <w:t>”</w:t>
      </w:r>
      <w:r w:rsidRPr="002A1FFA">
        <w:rPr>
          <w:rFonts w:ascii="Arial Unicode MS"/>
        </w:rPr>
        <w:t xml:space="preserve"> </w:t>
      </w:r>
      <w:r w:rsidRPr="002A1FFA">
        <w:t>in the information provided, and they will not have the background needed to ask the right questions about the kind of information that is not provided.  For example, even if an institution</w:t>
      </w:r>
      <w:r>
        <w:t xml:space="preserve"> claims that its qualifications are good value on the labor market, this may apply only to a </w:t>
      </w:r>
      <w:r w:rsidRPr="00F21796">
        <w:rPr>
          <w:i/>
        </w:rPr>
        <w:t>specific sector</w:t>
      </w:r>
      <w:r>
        <w:t xml:space="preserve"> of the labor market. If the institutions and its qualifications are not recognized by the competent authority as part of the national education system, its graduates may find that their qualifications do not enable them to enroll in study programs at other institutions or transfer to other parts of the labor market, including regulated professions. Making students, parents, employers, and others aware of the kind of issues with which they may well be confronted and the kind of question they should ask of potential education providers is a major challenge. </w:t>
      </w:r>
    </w:p>
    <w:p w14:paraId="13564AD9" w14:textId="77777777" w:rsidR="003C75DC" w:rsidRDefault="003C75DC" w:rsidP="003C75DC">
      <w:pPr>
        <w:pStyle w:val="NoSpacing"/>
        <w:jc w:val="both"/>
      </w:pPr>
    </w:p>
    <w:p w14:paraId="70821C1A" w14:textId="77777777" w:rsidR="00080625" w:rsidRDefault="00080625" w:rsidP="003C75DC">
      <w:pPr>
        <w:pStyle w:val="NoSpacing"/>
        <w:jc w:val="both"/>
      </w:pPr>
      <w:r>
        <w:t xml:space="preserve">There are no reliable figures on the extent to which incomplete, misleading, or fraudulent information is an issue in the European Higher Education Area. Even if the issue concerns a minority of higher education providers, it is nevertheless very real. In some countries, public authorities seem reluctant to play an active, and proactive, role in providing information on individual institutions and programs and to warn against fraudulent or non-serious providers, possibly because the concept of institutional autonomy is misunderstood to mean that public authorities cannot sound the alarm even in cases of non-serious programs and/or because public </w:t>
      </w:r>
      <w:r>
        <w:lastRenderedPageBreak/>
        <w:t>authorities are afraid of being taken to court by aggressive if non-serious providers. Both institutions and countries should have published procedures for dealing with student complaints.</w:t>
      </w:r>
    </w:p>
    <w:p w14:paraId="4A7D1744" w14:textId="77777777" w:rsidR="003C75DC" w:rsidRDefault="003C75DC" w:rsidP="003C75DC">
      <w:pPr>
        <w:pStyle w:val="NoSpacing"/>
        <w:jc w:val="both"/>
      </w:pPr>
    </w:p>
    <w:p w14:paraId="3BF2756D" w14:textId="77777777" w:rsidR="00080625" w:rsidRDefault="00080625" w:rsidP="003C75DC">
      <w:pPr>
        <w:pStyle w:val="NoSpacing"/>
        <w:jc w:val="both"/>
      </w:pPr>
      <w:r>
        <w:t>A further argument for public authorities to play a role in ensuring that information given by institutions and providers is accurate and reliable, and for drawing public attention to blatant violations, is that the accuracy and reliability of such information also reflects on the countries and education systems concerned, and even on systems to which providers may wrongly claim to belong. If the public perception is that many providers in a given country give untruthful, inaccurate or unreliable information, the reputation of the country and system will suffer. Building trust takes a long time but what has been built up can be undone very rapidly.</w:t>
      </w:r>
    </w:p>
    <w:p w14:paraId="5F8FBBC0" w14:textId="77777777" w:rsidR="003C75DC" w:rsidRDefault="003C75DC" w:rsidP="003C75DC">
      <w:pPr>
        <w:pStyle w:val="NoSpacing"/>
        <w:jc w:val="both"/>
      </w:pPr>
    </w:p>
    <w:p w14:paraId="282296D5" w14:textId="77777777" w:rsidR="00080625" w:rsidRDefault="00080625" w:rsidP="003C75DC">
      <w:pPr>
        <w:pStyle w:val="NoSpacing"/>
        <w:jc w:val="both"/>
      </w:pPr>
      <w:r>
        <w:t>Higher education institutions also have an important responsibility for providing up to date, understandable, and complete information on their own programs, qualifications, and practices.  This extends to providing information on past performance, e.g. on qualifications obtained quite some time ago and to provide attestations to holders of such qualifications.</w:t>
      </w:r>
    </w:p>
    <w:p w14:paraId="52013A4D" w14:textId="77777777" w:rsidR="003C75DC" w:rsidRDefault="003C75DC" w:rsidP="003C75DC">
      <w:pPr>
        <w:pStyle w:val="NoSpacing"/>
        <w:jc w:val="both"/>
      </w:pPr>
    </w:p>
    <w:p w14:paraId="14267C69" w14:textId="77777777" w:rsidR="00080625" w:rsidRDefault="00080625" w:rsidP="003C75DC">
      <w:pPr>
        <w:pStyle w:val="NoSpacing"/>
        <w:jc w:val="both"/>
      </w:pPr>
      <w:r>
        <w:t xml:space="preserve">The SRWG is also aware of rapid developments concerning various transparency tools aiming at making international comparisons of institutions and national higher education systems. The EUA studies on </w:t>
      </w:r>
      <w:r>
        <w:rPr>
          <w:rFonts w:ascii="Arial Unicode MS"/>
        </w:rPr>
        <w:t>“</w:t>
      </w:r>
      <w:r>
        <w:t>Global University Rankings and Their Impact</w:t>
      </w:r>
      <w:r>
        <w:rPr>
          <w:rFonts w:eastAsia="Times New Roman"/>
          <w:vertAlign w:val="superscript"/>
        </w:rPr>
        <w:footnoteReference w:id="23"/>
      </w:r>
      <w:r>
        <w:rPr>
          <w:rFonts w:ascii="Arial Unicode MS"/>
        </w:rPr>
        <w:t>”</w:t>
      </w:r>
      <w:r>
        <w:rPr>
          <w:rFonts w:ascii="Arial Unicode MS"/>
        </w:rPr>
        <w:t xml:space="preserve"> </w:t>
      </w:r>
      <w:r>
        <w:t xml:space="preserve">shows that certain countries might use global rankings in recognition and internationalization policies, i.e. for purposes for which the Bologna tools were designed and are much better suited, such as the recognition of qualifications, the award of scholarships, and the setting up of cooperation agreements. Using rankings, which tend to focus on research performance in a limited number of academic disciplines, as an indication of the quality of the teaching and learning of a given program or institution is misleading. This is another challenge related to the decreasing political focus of and on the EHEA. </w:t>
      </w:r>
    </w:p>
    <w:p w14:paraId="237F72DB" w14:textId="77777777" w:rsidR="003C75DC" w:rsidRDefault="003C75DC" w:rsidP="003C75DC">
      <w:pPr>
        <w:pStyle w:val="NoSpacing"/>
        <w:jc w:val="both"/>
      </w:pPr>
    </w:p>
    <w:p w14:paraId="6B660390" w14:textId="77777777" w:rsidR="00080625" w:rsidRDefault="00080625" w:rsidP="003C75DC">
      <w:pPr>
        <w:pStyle w:val="NoSpacing"/>
        <w:jc w:val="both"/>
      </w:pPr>
      <w:r>
        <w:t>The SRWG notes with interest the launching of U-Multirank, which contrary to global rankings is based on the concepts of user-drivenness and multidimensionality and which appears to attract the attention of numerous institutions from EHEA. The EHEA should continue to follow developments in this regard.</w:t>
      </w:r>
    </w:p>
    <w:p w14:paraId="43A39A82" w14:textId="77777777" w:rsidR="00080625" w:rsidRDefault="00080625" w:rsidP="003C75DC">
      <w:pPr>
        <w:pStyle w:val="NoSpacing"/>
        <w:jc w:val="both"/>
      </w:pPr>
    </w:p>
    <w:p w14:paraId="766B35FB" w14:textId="77777777" w:rsidR="00080625" w:rsidRDefault="00080625" w:rsidP="00080625">
      <w:pPr>
        <w:pStyle w:val="Body"/>
        <w:rPr>
          <w:rFonts w:ascii="Times New Roman Bold" w:eastAsia="Times New Roman Bold" w:hAnsi="Times New Roman Bold" w:cs="Times New Roman Bold"/>
        </w:rPr>
      </w:pPr>
      <w:r w:rsidRPr="003B23C3">
        <w:rPr>
          <w:rFonts w:ascii="Times New Roman Bold"/>
        </w:rPr>
        <w:t>Recommendations</w:t>
      </w:r>
      <w:r>
        <w:rPr>
          <w:rFonts w:ascii="Times New Roman Bold" w:eastAsia="Times New Roman Bold" w:hAnsi="Times New Roman Bold" w:cs="Times New Roman Bold"/>
        </w:rPr>
        <w:br/>
      </w:r>
    </w:p>
    <w:p w14:paraId="0A02C656" w14:textId="77777777" w:rsidR="00080625" w:rsidRDefault="00080625" w:rsidP="003C75DC">
      <w:pPr>
        <w:pStyle w:val="Body"/>
        <w:jc w:val="both"/>
      </w:pPr>
      <w:r>
        <w:rPr>
          <w:i/>
          <w:iCs/>
        </w:rPr>
        <w:t>Public authorities</w:t>
      </w:r>
      <w:r>
        <w:t xml:space="preserve"> should ensure that information on their higher education systems and qualification frameworks, and on study programs and qualifications belonging to their national systems, be transparent, understandable, reliable, and accurate.</w:t>
      </w:r>
    </w:p>
    <w:p w14:paraId="277F974D" w14:textId="77777777" w:rsidR="003C75DC" w:rsidRDefault="003C75DC" w:rsidP="00080625">
      <w:pPr>
        <w:pStyle w:val="Body"/>
        <w:rPr>
          <w:i/>
          <w:iCs/>
        </w:rPr>
      </w:pPr>
    </w:p>
    <w:p w14:paraId="64DC3871" w14:textId="77777777" w:rsidR="00080625" w:rsidRDefault="00080625" w:rsidP="00080625">
      <w:pPr>
        <w:pStyle w:val="Body"/>
      </w:pPr>
    </w:p>
    <w:p w14:paraId="6F6E2E39" w14:textId="77777777" w:rsidR="00422E80" w:rsidRDefault="00422E80" w:rsidP="00422E80">
      <w:pPr>
        <w:pStyle w:val="Body"/>
        <w:jc w:val="both"/>
      </w:pPr>
      <w:r>
        <w:rPr>
          <w:i/>
          <w:iCs/>
        </w:rPr>
        <w:lastRenderedPageBreak/>
        <w:t>Public authorities and higher education institutions</w:t>
      </w:r>
      <w:r>
        <w:t xml:space="preserve"> should:</w:t>
      </w:r>
      <w:r>
        <w:tab/>
      </w:r>
      <w:r>
        <w:br/>
      </w:r>
    </w:p>
    <w:p w14:paraId="70F0457A" w14:textId="77777777" w:rsidR="00422E80" w:rsidRDefault="00422E80" w:rsidP="00422E80">
      <w:pPr>
        <w:pStyle w:val="ListParagraph"/>
        <w:ind w:left="709" w:hanging="709"/>
      </w:pPr>
      <w:r>
        <w:t>ensure that reliable and meaningful information is available for prospective students and their parents, employers and others who may want or need reliable information on higher education institutions and programs, including on the value and rights associated with their qualifications;</w:t>
      </w:r>
      <w:r>
        <w:tab/>
      </w:r>
    </w:p>
    <w:p w14:paraId="4CA6546D" w14:textId="77777777" w:rsidR="00422E80" w:rsidRDefault="00422E80" w:rsidP="00422E80">
      <w:pPr>
        <w:pStyle w:val="ListParagraph"/>
        <w:numPr>
          <w:ilvl w:val="0"/>
          <w:numId w:val="0"/>
        </w:numPr>
        <w:ind w:left="709"/>
      </w:pPr>
    </w:p>
    <w:p w14:paraId="2401C439" w14:textId="77777777" w:rsidR="00422E80" w:rsidRDefault="00422E80" w:rsidP="00B40521">
      <w:pPr>
        <w:pStyle w:val="ListParagraph"/>
        <w:numPr>
          <w:ilvl w:val="0"/>
          <w:numId w:val="56"/>
        </w:numPr>
        <w:ind w:left="709" w:hanging="709"/>
      </w:pPr>
      <w:r>
        <w:t>ensure reliable and meaningful information on graduates</w:t>
      </w:r>
      <w:r>
        <w:t>’</w:t>
      </w:r>
      <w:r>
        <w:t xml:space="preserve"> career patterns in order to improve institutional self-knowledge and to obtain data on graduates</w:t>
      </w:r>
      <w:r>
        <w:t>’</w:t>
      </w:r>
      <w:r>
        <w:t xml:space="preserve"> progression to the labor market which should be provided to potential students, their parents and  society at large. </w:t>
      </w:r>
    </w:p>
    <w:p w14:paraId="72D18463" w14:textId="77777777" w:rsidR="00422E80" w:rsidRDefault="00422E80" w:rsidP="00B40521">
      <w:pPr>
        <w:pStyle w:val="ListParagraph"/>
        <w:numPr>
          <w:ilvl w:val="0"/>
          <w:numId w:val="56"/>
        </w:numPr>
        <w:ind w:left="709" w:hanging="709"/>
      </w:pPr>
      <w:r>
        <w:t>commit to engaging in further developing activities for all dimensions of institutional and programmatic quality and diversity</w:t>
      </w:r>
      <w:r w:rsidRPr="004F4914">
        <w:t xml:space="preserve"> </w:t>
      </w:r>
      <w:r>
        <w:t>increasing evidence-based transparency;</w:t>
      </w:r>
    </w:p>
    <w:p w14:paraId="6AD0C751" w14:textId="77777777" w:rsidR="00422E80" w:rsidRDefault="00422E80" w:rsidP="00B40521">
      <w:pPr>
        <w:pStyle w:val="ListParagraph"/>
        <w:numPr>
          <w:ilvl w:val="0"/>
          <w:numId w:val="64"/>
        </w:numPr>
      </w:pPr>
      <w:r>
        <w:t xml:space="preserve">have published arrangements for addressing academic fraud; </w:t>
      </w:r>
      <w:r>
        <w:tab/>
      </w:r>
    </w:p>
    <w:p w14:paraId="667B6A48" w14:textId="77777777" w:rsidR="00422E80" w:rsidRDefault="00422E80" w:rsidP="00422E80">
      <w:pPr>
        <w:pStyle w:val="ListParagraph"/>
        <w:numPr>
          <w:ilvl w:val="0"/>
          <w:numId w:val="0"/>
        </w:numPr>
      </w:pPr>
    </w:p>
    <w:p w14:paraId="27A92FBD" w14:textId="77777777" w:rsidR="00422E80" w:rsidRDefault="00422E80" w:rsidP="00B40521">
      <w:pPr>
        <w:pStyle w:val="ListParagraph"/>
        <w:numPr>
          <w:ilvl w:val="0"/>
          <w:numId w:val="64"/>
        </w:numPr>
      </w:pPr>
      <w:r>
        <w:t>have published procedures for dealing with student complaints.</w:t>
      </w:r>
    </w:p>
    <w:p w14:paraId="20992880" w14:textId="77777777" w:rsidR="00422E80" w:rsidRDefault="00422E80" w:rsidP="00422E80">
      <w:pPr>
        <w:pStyle w:val="ListParagraph"/>
        <w:numPr>
          <w:ilvl w:val="0"/>
          <w:numId w:val="0"/>
        </w:numPr>
      </w:pPr>
    </w:p>
    <w:p w14:paraId="2EB36AE0" w14:textId="77777777" w:rsidR="00422E80" w:rsidRDefault="00422E80" w:rsidP="00422E80">
      <w:pPr>
        <w:pStyle w:val="ListParagraph"/>
        <w:numPr>
          <w:ilvl w:val="0"/>
          <w:numId w:val="0"/>
        </w:numPr>
      </w:pPr>
    </w:p>
    <w:p w14:paraId="3417EBF1" w14:textId="77777777" w:rsidR="00422E80" w:rsidRDefault="00422E80" w:rsidP="00422E80">
      <w:pPr>
        <w:pStyle w:val="ListParagraph"/>
        <w:numPr>
          <w:ilvl w:val="0"/>
          <w:numId w:val="0"/>
        </w:numPr>
      </w:pPr>
      <w:r w:rsidRPr="00794567">
        <w:rPr>
          <w:i/>
        </w:rPr>
        <w:t>The EHEA</w:t>
      </w:r>
      <w:r>
        <w:t xml:space="preserve"> should:</w:t>
      </w:r>
    </w:p>
    <w:p w14:paraId="14C34ADB" w14:textId="77777777" w:rsidR="00422E80" w:rsidRDefault="00422E80" w:rsidP="00422E80">
      <w:pPr>
        <w:pStyle w:val="ListParagraph"/>
        <w:numPr>
          <w:ilvl w:val="0"/>
          <w:numId w:val="0"/>
        </w:numPr>
      </w:pPr>
    </w:p>
    <w:p w14:paraId="231B5FEB" w14:textId="77777777" w:rsidR="00422E80" w:rsidRPr="00794567" w:rsidRDefault="00422E80" w:rsidP="00B40521">
      <w:pPr>
        <w:pStyle w:val="ListParagraph"/>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r>
        <w:t>work on developing a coherent EHEA approach to tracking graduates which would enhance reliability and comparability of data across Europe.</w:t>
      </w:r>
    </w:p>
    <w:p w14:paraId="6C3B823A" w14:textId="77777777" w:rsidR="00422E80" w:rsidRPr="00794567" w:rsidRDefault="00422E80" w:rsidP="00B40521">
      <w:pPr>
        <w:pStyle w:val="ListParagraph"/>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rPr>
      </w:pPr>
      <w:r>
        <w:t xml:space="preserve">continue to monitor transparency tools developed by different actors, also outside of the framework of the EHEA, in particular U-Multirank. </w:t>
      </w:r>
    </w:p>
    <w:p w14:paraId="41FFCC54" w14:textId="77777777" w:rsidR="003C75DC" w:rsidRDefault="003C75DC">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Bold" w:hAnsi="Arial Unicode MS" w:cs="Arial Unicode MS"/>
          <w:color w:val="000000"/>
          <w:u w:color="000000"/>
        </w:rPr>
      </w:pPr>
      <w:r>
        <w:rPr>
          <w:rFonts w:ascii="Times New Roman Bold"/>
        </w:rPr>
        <w:br w:type="page"/>
      </w:r>
    </w:p>
    <w:p w14:paraId="0D4E83AB" w14:textId="77777777" w:rsidR="00080625" w:rsidRPr="003B23C3" w:rsidRDefault="00080625" w:rsidP="00080625">
      <w:pPr>
        <w:pStyle w:val="Body"/>
      </w:pPr>
      <w:r w:rsidRPr="003B23C3">
        <w:rPr>
          <w:rFonts w:ascii="Times New Roman Bold"/>
        </w:rPr>
        <w:lastRenderedPageBreak/>
        <w:t>III.5</w:t>
      </w:r>
      <w:r w:rsidRPr="003B23C3">
        <w:rPr>
          <w:rFonts w:ascii="Times New Roman Bold"/>
        </w:rPr>
        <w:tab/>
      </w:r>
      <w:r>
        <w:rPr>
          <w:rFonts w:ascii="Times New Roman Bold"/>
        </w:rPr>
        <w:t>The g</w:t>
      </w:r>
      <w:r w:rsidRPr="003B23C3">
        <w:rPr>
          <w:rFonts w:ascii="Times New Roman Bold"/>
        </w:rPr>
        <w:t>lobal dimension of structural reforms</w:t>
      </w:r>
      <w:r w:rsidRPr="003B23C3">
        <w:t xml:space="preserve"> (ToR no. 7)</w:t>
      </w:r>
    </w:p>
    <w:p w14:paraId="181DDFBC" w14:textId="77777777" w:rsidR="003C75DC" w:rsidRDefault="003C75DC" w:rsidP="00080625">
      <w:pPr>
        <w:pStyle w:val="Body"/>
      </w:pPr>
    </w:p>
    <w:p w14:paraId="4D1CF401" w14:textId="77777777" w:rsidR="00080625" w:rsidRDefault="00080625" w:rsidP="003C75DC">
      <w:pPr>
        <w:pStyle w:val="Body"/>
        <w:jc w:val="both"/>
      </w:pPr>
      <w:r>
        <w:t xml:space="preserve">While the structural reforms are developed for the EHEA and its member countries, they have global implications both because EHEA members interact with countries outside of the EHEA and because the EHEA has given rise to very considerable interest in other parts of the world. This interest has given rise to the Bologna Policy Fora held end-on with the ministerial conferences in 2009, 2010 and 2012 as well as the suggestion in the 2012 Policy Forum Statement that </w:t>
      </w:r>
    </w:p>
    <w:p w14:paraId="6AC9B9DB" w14:textId="77777777" w:rsidR="003C75DC" w:rsidRDefault="003C75DC" w:rsidP="00080625">
      <w:pPr>
        <w:pStyle w:val="Body"/>
      </w:pPr>
    </w:p>
    <w:p w14:paraId="57EBEB30" w14:textId="77777777" w:rsidR="00080625" w:rsidRDefault="00080625" w:rsidP="00FE6317">
      <w:pPr>
        <w:pStyle w:val="Body"/>
        <w:ind w:left="709" w:right="855"/>
        <w:jc w:val="both"/>
      </w:pPr>
      <w:r>
        <w:rPr>
          <w:sz w:val="22"/>
          <w:szCs w:val="22"/>
        </w:rPr>
        <w:t>Regional exchanges and peer learning should strengthen the political commitments agreed at the Bologna Policy Fora, while also involving practitioners and representatives of the academic communities in a long term policy exchange. We agree that this policy cooperation should focus on specific topics and that it may in particular involve countries or regions which have expressed a particular interest in the topic at hand.</w:t>
      </w:r>
    </w:p>
    <w:p w14:paraId="10AA682F" w14:textId="77777777" w:rsidR="003C75DC" w:rsidRDefault="003C75DC" w:rsidP="00080625">
      <w:pPr>
        <w:pStyle w:val="Body"/>
      </w:pPr>
    </w:p>
    <w:p w14:paraId="746B7B15" w14:textId="77777777" w:rsidR="00080625" w:rsidRDefault="00080625" w:rsidP="003C75DC">
      <w:pPr>
        <w:pStyle w:val="NoSpacing"/>
        <w:jc w:val="both"/>
      </w:pPr>
      <w:r>
        <w:t>Nevertheless, and in spite of the adoption of the strategy “The European Higher Education Area in a Global Setting”</w:t>
      </w:r>
      <w:r>
        <w:rPr>
          <w:rStyle w:val="FootnoteReference"/>
        </w:rPr>
        <w:footnoteReference w:id="24"/>
      </w:r>
      <w:r>
        <w:t xml:space="preserve"> by Ministers in London in 2007, work on the global dimension of the EHEA has focused on the Policy Fora linked to the Ministerial conferences. So far, a more coherent plan for developing the different aspects of the global dimension of the EHEA in cooperation not only at political level but also between policy makers and possibly focusing on specific policy issues with specific regions has not been developed.  Regardless of the policy area(s) addressed, it is important that this work take due account of the underlying values of the EHEA, including academic freedom, institutional autonomy, and democratic participation.</w:t>
      </w:r>
    </w:p>
    <w:p w14:paraId="5A5DD4AE" w14:textId="77777777" w:rsidR="003C75DC" w:rsidRDefault="003C75DC" w:rsidP="003C75DC">
      <w:pPr>
        <w:pStyle w:val="NoSpacing"/>
        <w:jc w:val="both"/>
      </w:pPr>
    </w:p>
    <w:p w14:paraId="5CB50162" w14:textId="77777777" w:rsidR="00080625" w:rsidRDefault="00080625" w:rsidP="003C75DC">
      <w:pPr>
        <w:pStyle w:val="NoSpacing"/>
        <w:jc w:val="both"/>
      </w:pPr>
      <w:r>
        <w:t xml:space="preserve">As concerns the remit of the SRWG, it is important for the EHEA that our structural reforms and the reasons that led to their development be understood in other parts of the world and it is equally important that EHEA members and consultative members be informed about and understand structural issues in other parts of the world.  However, in the absence of any specific EHEA funding (although, again, some institutions, in particular the European Commission, do fund EHEA-related projects) and that many countries may be more interested in funding the promotion of their own higher education systems, programs and institutions rather than those of the EHEA as a whole, it has so far been very difficult to make structural reform an effective part of the global dimension of the EHEA.  </w:t>
      </w:r>
    </w:p>
    <w:p w14:paraId="2702F534" w14:textId="77777777" w:rsidR="003C75DC" w:rsidRDefault="003C75DC" w:rsidP="003C75DC">
      <w:pPr>
        <w:pStyle w:val="NoSpacing"/>
        <w:jc w:val="both"/>
      </w:pPr>
    </w:p>
    <w:p w14:paraId="3785953F" w14:textId="77777777" w:rsidR="00080625" w:rsidRDefault="00080625" w:rsidP="003C75DC">
      <w:pPr>
        <w:pStyle w:val="NoSpacing"/>
        <w:jc w:val="both"/>
      </w:pPr>
      <w:r>
        <w:t xml:space="preserve">There are, however, some examples. For the past few years, the annual meetings of the ENIC and NARIC Networks have included discussion with representatives of other UNESCO Regions or of specific countries from outside of the UNESCO Europe Region. In quality assurance, ENQA, EQAR, the EAU and other stakeholders at European level as well as national quality assurance agencies have presented the ESG in international contexts. The overarching qualifications frameworks of Europe have been met with very great interest in other parts of the world, and the European Training Foundation, the EUA and others have run projects in which the European experiences of qualifications frameworks have been presented in other parts of the world.  ASEM, the Asia-Europe Meeting, which has a ministerial strand as well as a strand for leaders of higher education institutions, has made structural reform one of its topics.   </w:t>
      </w:r>
    </w:p>
    <w:p w14:paraId="1ABB650F" w14:textId="77777777" w:rsidR="00080625" w:rsidRDefault="00080625" w:rsidP="00FE6317">
      <w:pPr>
        <w:pStyle w:val="Body"/>
        <w:jc w:val="both"/>
      </w:pPr>
      <w:r>
        <w:lastRenderedPageBreak/>
        <w:t>Without pretending to present a complete overview, these examples demonstrate the pertinence of the structural reforms of the EHEA in a global context. They also underline the need to continue to develop structural reforms as a part of the global dimension of the EHEA. It is in the interest of the EHEA and its members that our structural reforms and our approaches to and methodology in structural reforms, and we owe it other regions to consider their higher education according to the standards and methods on the basis of which we would like our own higher education to be assessed.</w:t>
      </w:r>
    </w:p>
    <w:p w14:paraId="2220BBC1" w14:textId="77777777" w:rsidR="00080625" w:rsidRDefault="00080625" w:rsidP="00080625">
      <w:pPr>
        <w:pStyle w:val="Body"/>
      </w:pPr>
    </w:p>
    <w:p w14:paraId="5CCFA3A4" w14:textId="77777777" w:rsidR="00080625" w:rsidRDefault="00080625" w:rsidP="00080625">
      <w:pPr>
        <w:pStyle w:val="Body"/>
        <w:rPr>
          <w:b/>
          <w:bCs/>
          <w:i/>
          <w:iCs/>
        </w:rPr>
      </w:pPr>
      <w:r w:rsidRPr="00787896">
        <w:rPr>
          <w:b/>
          <w:bCs/>
          <w:i/>
          <w:iCs/>
        </w:rPr>
        <w:t>Recommendations</w:t>
      </w:r>
    </w:p>
    <w:p w14:paraId="24C5C430" w14:textId="77777777" w:rsidR="003C75DC" w:rsidRDefault="003C75DC" w:rsidP="00080625">
      <w:pPr>
        <w:pStyle w:val="Body"/>
        <w:rPr>
          <w:i/>
          <w:iCs/>
        </w:rPr>
      </w:pPr>
    </w:p>
    <w:p w14:paraId="520437B5" w14:textId="77777777" w:rsidR="00080625" w:rsidRDefault="00080625" w:rsidP="00FE6317">
      <w:pPr>
        <w:pStyle w:val="Body"/>
        <w:jc w:val="both"/>
        <w:rPr>
          <w:iCs/>
        </w:rPr>
      </w:pPr>
      <w:r>
        <w:rPr>
          <w:i/>
          <w:iCs/>
        </w:rPr>
        <w:t xml:space="preserve">The EHEA should </w:t>
      </w:r>
      <w:r w:rsidRPr="005C3CA0">
        <w:rPr>
          <w:iCs/>
        </w:rPr>
        <w:t>include structural reforms in its cooperation with other parts of the world. To this end:</w:t>
      </w:r>
    </w:p>
    <w:p w14:paraId="06DA0588" w14:textId="77777777" w:rsidR="00E41FAA" w:rsidRPr="005C3CA0" w:rsidRDefault="00E41FAA" w:rsidP="00FE6317">
      <w:pPr>
        <w:pStyle w:val="Body"/>
        <w:jc w:val="both"/>
        <w:rPr>
          <w:iCs/>
        </w:rPr>
      </w:pPr>
    </w:p>
    <w:p w14:paraId="7512DFA9" w14:textId="77777777" w:rsidR="00080625" w:rsidRPr="005C3CA0" w:rsidRDefault="00080625" w:rsidP="00B40521">
      <w:pPr>
        <w:pStyle w:val="Body"/>
        <w:numPr>
          <w:ilvl w:val="0"/>
          <w:numId w:val="82"/>
        </w:numPr>
        <w:jc w:val="both"/>
        <w:rPr>
          <w:iCs/>
        </w:rPr>
      </w:pPr>
      <w:r>
        <w:rPr>
          <w:i/>
          <w:iCs/>
        </w:rPr>
        <w:t xml:space="preserve">The BFUG </w:t>
      </w:r>
      <w:r w:rsidRPr="005C3CA0">
        <w:rPr>
          <w:iCs/>
        </w:rPr>
        <w:t xml:space="preserve">should initiate work with one or more regions on structural reforms and present the results to the 2018 ministerial meeting.  </w:t>
      </w:r>
    </w:p>
    <w:p w14:paraId="701B4B81" w14:textId="77777777" w:rsidR="00080625" w:rsidRPr="005C3CA0" w:rsidRDefault="00080625" w:rsidP="00B40521">
      <w:pPr>
        <w:pStyle w:val="Body"/>
        <w:numPr>
          <w:ilvl w:val="0"/>
          <w:numId w:val="82"/>
        </w:numPr>
        <w:jc w:val="both"/>
        <w:rPr>
          <w:iCs/>
        </w:rPr>
      </w:pPr>
      <w:r w:rsidRPr="005C3CA0">
        <w:rPr>
          <w:iCs/>
        </w:rPr>
        <w:t>The conversation(s) could use a variety of working methods (conferences, seminars, working groups, studies, pilot projects, peer learning activities, others) and the BFUG and/or any substructure dealing with structural reforms should be kept duly informed of, and as appropriate be involved in, the conversation(s).</w:t>
      </w:r>
    </w:p>
    <w:p w14:paraId="622C9078" w14:textId="77777777" w:rsidR="00080625" w:rsidRPr="005C3CA0" w:rsidRDefault="00080625" w:rsidP="00B40521">
      <w:pPr>
        <w:pStyle w:val="Body"/>
        <w:numPr>
          <w:ilvl w:val="0"/>
          <w:numId w:val="82"/>
        </w:numPr>
        <w:jc w:val="both"/>
        <w:rPr>
          <w:iCs/>
        </w:rPr>
      </w:pPr>
      <w:r w:rsidRPr="005C3CA0">
        <w:rPr>
          <w:iCs/>
        </w:rPr>
        <w:t>The conversation(s) should take an EHEA perspective rather than the perspective of one or more specific EHEA members and should, as far as possible, cover all areas of structural reform.</w:t>
      </w:r>
    </w:p>
    <w:p w14:paraId="62AF2821" w14:textId="77777777" w:rsidR="00080625" w:rsidRPr="005C3CA0" w:rsidRDefault="00080625" w:rsidP="00B40521">
      <w:pPr>
        <w:pStyle w:val="Body"/>
        <w:numPr>
          <w:ilvl w:val="0"/>
          <w:numId w:val="82"/>
        </w:numPr>
        <w:jc w:val="both"/>
        <w:rPr>
          <w:iCs/>
        </w:rPr>
      </w:pPr>
      <w:r>
        <w:rPr>
          <w:i/>
          <w:iCs/>
        </w:rPr>
        <w:t xml:space="preserve">EHEA members involved in the ASEM (Asia-Europe Meeting) cooperation </w:t>
      </w:r>
      <w:r w:rsidRPr="005C3CA0">
        <w:rPr>
          <w:iCs/>
        </w:rPr>
        <w:t xml:space="preserve">in higher education should consider how structural reform could best be included in this cooperation. </w:t>
      </w:r>
    </w:p>
    <w:p w14:paraId="74A36056" w14:textId="77777777" w:rsidR="00080625" w:rsidRDefault="00080625" w:rsidP="00B40521">
      <w:pPr>
        <w:pStyle w:val="Body"/>
        <w:numPr>
          <w:ilvl w:val="0"/>
          <w:numId w:val="82"/>
        </w:numPr>
        <w:jc w:val="both"/>
        <w:rPr>
          <w:iCs/>
        </w:rPr>
      </w:pPr>
      <w:r>
        <w:rPr>
          <w:i/>
          <w:iCs/>
        </w:rPr>
        <w:t xml:space="preserve">UNESCO </w:t>
      </w:r>
      <w:r w:rsidRPr="005C3CA0">
        <w:rPr>
          <w:iCs/>
        </w:rPr>
        <w:t>should relaunch its participation in the EHEA by active participation in the BFUG and its working structures.</w:t>
      </w:r>
    </w:p>
    <w:p w14:paraId="3AB3C817" w14:textId="77777777" w:rsidR="00E40C07" w:rsidRDefault="00E40C07">
      <w:pPr>
        <w:pBdr>
          <w:top w:val="none" w:sz="0" w:space="0" w:color="auto"/>
          <w:left w:val="none" w:sz="0" w:space="0" w:color="auto"/>
          <w:bottom w:val="none" w:sz="0" w:space="0" w:color="auto"/>
          <w:right w:val="none" w:sz="0" w:space="0" w:color="auto"/>
          <w:between w:val="none" w:sz="0" w:space="0" w:color="auto"/>
          <w:bar w:val="none" w:sz="0" w:color="auto"/>
        </w:pBdr>
        <w:rPr>
          <w:rFonts w:hAnsi="Arial Unicode MS" w:cs="Arial Unicode MS"/>
          <w:i/>
          <w:iCs/>
          <w:color w:val="000000"/>
          <w:u w:color="000000"/>
        </w:rPr>
      </w:pPr>
      <w:r>
        <w:rPr>
          <w:i/>
          <w:iCs/>
        </w:rPr>
        <w:br w:type="page"/>
      </w:r>
    </w:p>
    <w:p w14:paraId="1E0FF625" w14:textId="77777777" w:rsidR="00E40C07" w:rsidRPr="005C3CA0" w:rsidRDefault="00E40C07" w:rsidP="00E40C07">
      <w:pPr>
        <w:pStyle w:val="Body"/>
        <w:ind w:left="720"/>
        <w:jc w:val="both"/>
        <w:rPr>
          <w:iCs/>
        </w:rPr>
      </w:pPr>
    </w:p>
    <w:p w14:paraId="6562B079" w14:textId="77777777" w:rsidR="00080625" w:rsidRDefault="00080625" w:rsidP="00080625">
      <w:pPr>
        <w:pStyle w:val="Body"/>
        <w:rPr>
          <w:rFonts w:ascii="Times New Roman Bold" w:eastAsia="Times New Roman Bold" w:hAnsi="Times New Roman Bold" w:cs="Times New Roman Bold"/>
        </w:rPr>
      </w:pPr>
    </w:p>
    <w:p w14:paraId="1618F34B" w14:textId="77777777" w:rsidR="00080625" w:rsidRPr="00E41FAA" w:rsidRDefault="00080625" w:rsidP="00B40521">
      <w:pPr>
        <w:pStyle w:val="ListParagraph"/>
        <w:numPr>
          <w:ilvl w:val="0"/>
          <w:numId w:val="67"/>
        </w:numPr>
        <w:rPr>
          <w:rFonts w:eastAsia="Times New Roman Bold" w:hAnsi="Times New Roman Bold" w:cs="Times New Roman Bold"/>
          <w:b/>
        </w:rPr>
      </w:pPr>
      <w:r w:rsidRPr="00E41FAA">
        <w:rPr>
          <w:b/>
        </w:rPr>
        <w:t>SPECIFIC POLICY AREAS</w:t>
      </w:r>
    </w:p>
    <w:p w14:paraId="563A35D9" w14:textId="77777777" w:rsidR="00E41FAA" w:rsidRDefault="00E41FAA" w:rsidP="00080625">
      <w:pPr>
        <w:pStyle w:val="Body"/>
      </w:pPr>
    </w:p>
    <w:p w14:paraId="1230A91D" w14:textId="77777777" w:rsidR="00080625" w:rsidRDefault="00080625" w:rsidP="00E41FAA">
      <w:pPr>
        <w:pStyle w:val="NoSpacing"/>
        <w:jc w:val="both"/>
      </w:pPr>
      <w:r>
        <w:t>In addition to considering the coherence of structural reforms, the SRWG has in its terms of reference been asked to consider specific policy areas.  Cross reference to the specific tasks listed in the ToR is provided where relevant.  The first of these tasks (Consider and make recommendations on specific issues of policy and practice related to quality assurance, qualifications frameworks, recognition of qualifications and transparency instruments and their mutual interaction) as well as tasks 14  - 17</w:t>
      </w:r>
      <w:r>
        <w:rPr>
          <w:rFonts w:eastAsia="Times New Roman"/>
          <w:vertAlign w:val="superscript"/>
        </w:rPr>
        <w:footnoteReference w:id="25"/>
      </w:r>
      <w:r>
        <w:t xml:space="preserve"> are relatively general and are therefore covered by the report as a whole. </w:t>
      </w:r>
    </w:p>
    <w:p w14:paraId="6FD48ADC" w14:textId="77777777" w:rsidR="00E41FAA" w:rsidRDefault="00E41FAA" w:rsidP="00E41FAA">
      <w:pPr>
        <w:pStyle w:val="NoSpacing"/>
        <w:jc w:val="both"/>
      </w:pPr>
    </w:p>
    <w:p w14:paraId="47E00525" w14:textId="77777777" w:rsidR="00080625" w:rsidRDefault="00080625" w:rsidP="00E41FAA">
      <w:pPr>
        <w:pStyle w:val="NoSpacing"/>
        <w:jc w:val="both"/>
      </w:pPr>
      <w:r>
        <w:t xml:space="preserve">The SRWG considered and commented on a draft version of the revised European Standards and Guidelines for quality assurance in higher education (ToR no. 10) amendments at its meeting on December 9 </w:t>
      </w:r>
      <w:r>
        <w:rPr>
          <w:rFonts w:ascii="Arial Unicode MS"/>
        </w:rPr>
        <w:t>–</w:t>
      </w:r>
      <w:r>
        <w:rPr>
          <w:rFonts w:ascii="Arial Unicode MS"/>
        </w:rPr>
        <w:t xml:space="preserve"> </w:t>
      </w:r>
      <w:r>
        <w:t>10, 2013.  The comments were transmitted to the E 4 Group. This point in the terms of reference will therefore not be commented on further in this report. The SRWG has also been kept informed of and has commented on the work of the pathfinder group on academic recognition.</w:t>
      </w:r>
    </w:p>
    <w:p w14:paraId="78323394" w14:textId="77777777" w:rsidR="00E41FAA" w:rsidRDefault="00E41FAA" w:rsidP="00E41FAA">
      <w:pPr>
        <w:pStyle w:val="NoSpacing"/>
        <w:jc w:val="both"/>
      </w:pPr>
    </w:p>
    <w:p w14:paraId="38F1BE7C" w14:textId="77777777" w:rsidR="00080625" w:rsidRDefault="00080625" w:rsidP="00E41FAA">
      <w:pPr>
        <w:pStyle w:val="NoSpacing"/>
        <w:jc w:val="both"/>
      </w:pPr>
      <w:r>
        <w:t xml:space="preserve">With the Working Group on Mobility and Internationalization, the SRWG commented on the proposed European Approach to quality assurance of joint degrees and programs developed by an </w:t>
      </w:r>
      <w:r>
        <w:rPr>
          <w:i/>
          <w:iCs/>
        </w:rPr>
        <w:t>ad hoc</w:t>
      </w:r>
      <w:r>
        <w:t xml:space="preserve"> group appointed by the BFUG on the joint proposal of the SRWG and the WG on Mobility and Internationalization (ToR no. 9). This point in the terms of reference will therefore not be commented on further in this report.</w:t>
      </w:r>
    </w:p>
    <w:p w14:paraId="2D256F7E" w14:textId="77777777" w:rsidR="00E41FAA" w:rsidRDefault="00E41FAA" w:rsidP="00E41FAA">
      <w:pPr>
        <w:pStyle w:val="NoSpacing"/>
        <w:jc w:val="both"/>
      </w:pPr>
    </w:p>
    <w:p w14:paraId="10330374" w14:textId="77777777" w:rsidR="00080625" w:rsidRDefault="00080625" w:rsidP="00E41FAA">
      <w:pPr>
        <w:pStyle w:val="NoSpacing"/>
        <w:jc w:val="both"/>
      </w:pPr>
      <w:r>
        <w:t xml:space="preserve">In the following, the issues are listed according to policy area and within each area according to the number of the specific task as listed in the ToR.  The order should therefore </w:t>
      </w:r>
      <w:r>
        <w:rPr>
          <w:i/>
          <w:iCs/>
        </w:rPr>
        <w:t>not</w:t>
      </w:r>
      <w:r>
        <w:t xml:space="preserve"> be read as an indication of relative importance or preference.</w:t>
      </w:r>
    </w:p>
    <w:p w14:paraId="101821FB" w14:textId="77777777" w:rsidR="00080625" w:rsidRDefault="00080625" w:rsidP="00080625">
      <w:pPr>
        <w:pStyle w:val="Body"/>
      </w:pPr>
    </w:p>
    <w:p w14:paraId="08DC4D70" w14:textId="77777777" w:rsidR="00080625" w:rsidRDefault="00080625" w:rsidP="00080625">
      <w:pPr>
        <w:pStyle w:val="Body"/>
        <w:rPr>
          <w:rFonts w:ascii="Times New Roman Bold" w:eastAsia="Times New Roman Bold" w:hAnsi="Times New Roman Bold" w:cs="Times New Roman Bold"/>
          <w:caps/>
        </w:rPr>
      </w:pPr>
      <w:r>
        <w:rPr>
          <w:rFonts w:ascii="Times New Roman Bold"/>
          <w:caps/>
        </w:rPr>
        <w:t>IV.1</w:t>
      </w:r>
      <w:r>
        <w:rPr>
          <w:rFonts w:ascii="Times New Roman Bold"/>
          <w:caps/>
        </w:rPr>
        <w:tab/>
        <w:t>Quality assurance</w:t>
      </w:r>
    </w:p>
    <w:p w14:paraId="06937E75" w14:textId="77777777" w:rsidR="00BF67F2" w:rsidRDefault="00BF67F2" w:rsidP="00080625">
      <w:pPr>
        <w:pStyle w:val="Body"/>
        <w:rPr>
          <w:rFonts w:ascii="Times New Roman Bold"/>
        </w:rPr>
      </w:pPr>
    </w:p>
    <w:p w14:paraId="63670DE4" w14:textId="77777777" w:rsidR="00080625" w:rsidRDefault="00080625" w:rsidP="00080625">
      <w:pPr>
        <w:pStyle w:val="Body"/>
      </w:pPr>
      <w:r>
        <w:rPr>
          <w:rFonts w:ascii="Times New Roman Bold"/>
        </w:rPr>
        <w:t>IV.1.1</w:t>
      </w:r>
      <w:r>
        <w:rPr>
          <w:rFonts w:ascii="Times New Roman Bold"/>
        </w:rPr>
        <w:tab/>
        <w:t>Common principles of quality assurance to be applied across HE and VET</w:t>
      </w:r>
      <w:r>
        <w:t xml:space="preserve"> (ToR no. 4)</w:t>
      </w:r>
    </w:p>
    <w:p w14:paraId="038CD74C" w14:textId="77777777" w:rsidR="00080625" w:rsidRDefault="00080625" w:rsidP="00BF67F2">
      <w:pPr>
        <w:jc w:val="both"/>
      </w:pPr>
      <w:commentRangeStart w:id="7"/>
      <w:r>
        <w:t>Quality</w:t>
      </w:r>
      <w:commentRangeEnd w:id="7"/>
      <w:r>
        <w:rPr>
          <w:rStyle w:val="CommentReference"/>
          <w:rFonts w:eastAsia="Times New Roman"/>
          <w:color w:val="000000"/>
          <w:u w:color="000000"/>
        </w:rPr>
        <w:commentReference w:id="7"/>
      </w:r>
      <w:r>
        <w:t xml:space="preserve"> assurance is well developed in higher education, where the ESG – adopted in 2005 and now under revision – provide guidelines for recognized quality assurance agencies.  The European Register for Quality Assurance in higher education (EQAR) includes agencies that operate according to the ESG, and membership of ENQA is also based on compliance with the ESG. Formal cooperation on quality assurance at European level has also developed in the case of vocational education and training (VET) under the Copenhagen Process. A common reference framework for quality assurance in VET has been established by a 2009 recommendation of the </w:t>
      </w:r>
      <w:r>
        <w:lastRenderedPageBreak/>
        <w:t>European Parliament and Council.</w:t>
      </w:r>
      <w:r>
        <w:rPr>
          <w:rStyle w:val="FootnoteReference"/>
        </w:rPr>
        <w:footnoteReference w:id="26"/>
      </w:r>
      <w:r>
        <w:t xml:space="preserve"> The implementation of this recommendation is promoted through the EQAVET (European Quality Assurance in Vocational Education and Training</w:t>
      </w:r>
      <w:r>
        <w:rPr>
          <w:rStyle w:val="FootnoteReference"/>
        </w:rPr>
        <w:footnoteReference w:id="27"/>
      </w:r>
      <w:r>
        <w:t xml:space="preserve">) network.  Across the different sub-sectors, quality assurance is intended to support student-centered learning leading to qualifications based on learning outcomes. There is, however, a need to establish closer cooperation between the bodies responsible for quality assurance in higher education and VET in order to further a more coherent approach across sub-sectors. </w:t>
      </w:r>
      <w:commentRangeStart w:id="8"/>
      <w:r>
        <w:t>Compatibility may be sought in the first place on EQF level 5, which is at the level against which short cycle qualifications are referenced, at the interface of higher education and VET.</w:t>
      </w:r>
      <w:commentRangeEnd w:id="8"/>
      <w:r>
        <w:rPr>
          <w:rStyle w:val="CommentReference"/>
          <w:rFonts w:eastAsia="Times New Roman"/>
          <w:color w:val="000000"/>
          <w:u w:color="000000"/>
        </w:rPr>
        <w:commentReference w:id="8"/>
      </w:r>
    </w:p>
    <w:p w14:paraId="4D2C2E90" w14:textId="77777777" w:rsidR="00080625" w:rsidRDefault="00080625" w:rsidP="00080625"/>
    <w:p w14:paraId="33032DBE" w14:textId="77777777" w:rsidR="00080625" w:rsidRPr="004F4155" w:rsidRDefault="00080625" w:rsidP="00BF67F2">
      <w:pPr>
        <w:jc w:val="both"/>
      </w:pPr>
      <w:r w:rsidRPr="004F4155">
        <w:t>One of the recommendations by the Irish Presidency conference held in Dublin on March 12 – 13, 2013 was that the EQF Advisory Group and the BFUG working group on Structural Reforms, in cooperation with ENQA and EQAVET, review and make proposals to strengthen the common principles of quality assurance to be applied across higher education and vocational education and training.</w:t>
      </w:r>
      <w:r w:rsidRPr="004F4155">
        <w:rPr>
          <w:rStyle w:val="FootnoteReference"/>
        </w:rPr>
        <w:footnoteReference w:id="28"/>
      </w:r>
      <w:r w:rsidRPr="004F4155">
        <w:t xml:space="preserve">  The issue was considered at the joint meeting of the SRWG and the EQF Advisory Group on September 25, 2013 and was also addressed at an EQF Peer learning activity organized by the European Commission in Leuven in November 2013. The SRWG also takes note of European Council conclusions of May 2014, agreed on by the 28 EHEA members that are also members of the European Union</w:t>
      </w:r>
      <w:r w:rsidRPr="004F4155">
        <w:rPr>
          <w:rStyle w:val="FootnoteReference"/>
        </w:rPr>
        <w:footnoteReference w:id="29"/>
      </w:r>
      <w:r w:rsidRPr="004F4155">
        <w:t xml:space="preserve">.  These urge members to </w:t>
      </w:r>
      <w:r w:rsidRPr="004F4155">
        <w:rPr>
          <w:lang w:val="en-GB"/>
        </w:rPr>
        <w:t xml:space="preserve">continue to promote transparency and complementarity between sub-sectoral approaches to quality assurance by building on European principles for quality assurance in a lifelong learning perspective. </w:t>
      </w:r>
    </w:p>
    <w:p w14:paraId="1BFEAD4A" w14:textId="77777777" w:rsidR="00080625" w:rsidRDefault="00080625" w:rsidP="00080625"/>
    <w:p w14:paraId="144AAC81" w14:textId="77777777" w:rsidR="00080625" w:rsidRDefault="00080625" w:rsidP="004632C3">
      <w:pPr>
        <w:jc w:val="both"/>
      </w:pPr>
      <w:r>
        <w:t>The EQF Recommendation of 2008, in its Annex III</w:t>
      </w:r>
      <w:r>
        <w:rPr>
          <w:rStyle w:val="FootnoteReference"/>
        </w:rPr>
        <w:footnoteReference w:id="30"/>
      </w:r>
      <w:r>
        <w:t xml:space="preserve">, spells out certain </w:t>
      </w:r>
      <w:r>
        <w:rPr>
          <w:bCs/>
        </w:rPr>
        <w:t>Common Principles for Quality Assurance in Higher Education and Vocational Education and Training in the context of the European Qualifications Framework</w:t>
      </w:r>
      <w:r>
        <w:rPr>
          <w:rStyle w:val="FootnoteReference"/>
        </w:rPr>
        <w:footnoteReference w:id="31"/>
      </w:r>
      <w:r>
        <w:t xml:space="preserve">. The SRWG considers that these principles are </w:t>
      </w:r>
      <w:r>
        <w:lastRenderedPageBreak/>
        <w:t xml:space="preserve">compatible with the ESG, both in their current version and in the revised version submitted to the Yerevan Ministerial conference. </w:t>
      </w:r>
    </w:p>
    <w:p w14:paraId="0FC88252" w14:textId="77777777" w:rsidR="00080625" w:rsidRDefault="00080625" w:rsidP="00080625"/>
    <w:p w14:paraId="1A3C32C6" w14:textId="77777777" w:rsidR="00080625" w:rsidRPr="004F4155" w:rsidRDefault="00080625" w:rsidP="00A90189">
      <w:pPr>
        <w:jc w:val="both"/>
      </w:pPr>
      <w:r w:rsidRPr="004F4155">
        <w:rPr>
          <w:lang w:val="en"/>
        </w:rPr>
        <w:t>In its 2014 report to the European Parliament and Council on the implementation of the EQF the Commission referred to these principles as follows: “The EQF’s common principles on quality assurance are broadly compatible with European standards and guidelines (ESG), and with the EQAVET. However, the principles of all three tools refer to quality assurance in education and training in general only, and do not provide specific guidance for ensuring the quality of the learning outcomes approach, qualifications and qualifications frameworks. The on-going evaluations of the EQF, EQAVET and the revision of the ESG should be used to identify where further synergies between European qualifications frameworks and quality assurance arrangements can be achieved.”</w:t>
      </w:r>
      <w:r w:rsidRPr="004F4155">
        <w:rPr>
          <w:rStyle w:val="FootnoteReference"/>
        </w:rPr>
        <w:footnoteReference w:id="32"/>
      </w:r>
    </w:p>
    <w:p w14:paraId="12748523" w14:textId="77777777" w:rsidR="00080625" w:rsidRPr="004F4155" w:rsidRDefault="00080625" w:rsidP="00080625"/>
    <w:p w14:paraId="1B2453D4" w14:textId="77777777" w:rsidR="00080625" w:rsidRDefault="00080625" w:rsidP="00A90189">
      <w:pPr>
        <w:pStyle w:val="Body"/>
        <w:jc w:val="both"/>
      </w:pPr>
      <w:r>
        <w:t>The SRWG agrees that developing even closer cooperation in quality assurance between the higher education and VET sub-sectors should be encouraged and that common principles should be reviewed. It also recognizes that some aspects of quality assurance may be different for the two sub-sectors. Work to revise the common principles should ensure that compatibility with the ESG be maintained. It should also take cognizance of global developments in quality assurance in different sub-sectors of education and training, such as the work conducted by UNESCO in higher education</w:t>
      </w:r>
      <w:r>
        <w:rPr>
          <w:rStyle w:val="FootnoteReference"/>
        </w:rPr>
        <w:footnoteReference w:id="33"/>
      </w:r>
      <w:r>
        <w:t xml:space="preserve"> and VET</w:t>
      </w:r>
      <w:r>
        <w:rPr>
          <w:rStyle w:val="FootnoteReference"/>
        </w:rPr>
        <w:footnoteReference w:id="34"/>
      </w:r>
      <w:r>
        <w:t>. Strong stakeholder involvement is essential to the further development of external quality assurance within the EHEA, as has already been showed through the development, implementation and revision of the ESG. Due account needs to be taken of this stakeholder involvement also in the development of cooperation in quality assurance between the higher education and the VET sectors.</w:t>
      </w:r>
    </w:p>
    <w:p w14:paraId="5BB0A3C3" w14:textId="77777777" w:rsidR="00080625" w:rsidRDefault="00080625" w:rsidP="00080625"/>
    <w:p w14:paraId="22874F13" w14:textId="77777777" w:rsidR="00080625" w:rsidRDefault="00080625" w:rsidP="00A90189">
      <w:pPr>
        <w:jc w:val="both"/>
      </w:pPr>
      <w:r w:rsidRPr="004F4155">
        <w:t xml:space="preserve">Initial exploration of this topic across sub-sectors took place at an October 2013 CEDEFOP Joint Expert Seminar on Quality Assurance in vocational education and training (VET) and higher </w:t>
      </w:r>
      <w:r>
        <w:t>e</w:t>
      </w:r>
      <w:r w:rsidRPr="004F4155">
        <w:t>ducation for improving their permeability</w:t>
      </w:r>
      <w:r w:rsidRPr="004F4155">
        <w:rPr>
          <w:rStyle w:val="FootnoteReference"/>
        </w:rPr>
        <w:footnoteReference w:id="35"/>
      </w:r>
      <w:r w:rsidRPr="004F4155">
        <w:t xml:space="preserve"> and in an EQF peer learning activity on learning outcomes and quality assurance in Leuven  on November 27-28, 2013. Some starting points for future collaborative work were identified. ENQA and EQAVET, supported as required by the European Commission and others, are encouraged to clarify the points on which current principles are compatible as well as points that require further joint consideration, to identify areas of potential concern, and to publish a timetable for address any outstanding issues. </w:t>
      </w:r>
    </w:p>
    <w:p w14:paraId="3BF16092" w14:textId="77777777" w:rsidR="00A90189" w:rsidRDefault="00A90189" w:rsidP="00080625">
      <w:pPr>
        <w:rPr>
          <w:b/>
          <w:i/>
        </w:rPr>
      </w:pPr>
    </w:p>
    <w:p w14:paraId="3612A49F" w14:textId="77777777" w:rsidR="00080625" w:rsidRDefault="00080625" w:rsidP="00080625">
      <w:pPr>
        <w:rPr>
          <w:i/>
        </w:rPr>
      </w:pPr>
      <w:r>
        <w:rPr>
          <w:b/>
          <w:i/>
        </w:rPr>
        <w:t>Recommendations</w:t>
      </w:r>
    </w:p>
    <w:p w14:paraId="04422A9A" w14:textId="77777777" w:rsidR="00080625" w:rsidRDefault="00080625" w:rsidP="00080625">
      <w:pPr>
        <w:rPr>
          <w:i/>
        </w:rPr>
      </w:pPr>
    </w:p>
    <w:p w14:paraId="79690A51" w14:textId="77777777" w:rsidR="00080625" w:rsidRPr="005C3CA0" w:rsidRDefault="00080625" w:rsidP="00A90189">
      <w:pPr>
        <w:jc w:val="both"/>
      </w:pPr>
      <w:r w:rsidRPr="005C3CA0">
        <w:lastRenderedPageBreak/>
        <w:t xml:space="preserve">The frameworks for quality assurance in higher education and in vocational education and training need to be compatible and this basic principle should guide all further work on both frameworks. </w:t>
      </w:r>
    </w:p>
    <w:p w14:paraId="4DBDC45B" w14:textId="77777777" w:rsidR="00080625" w:rsidRPr="005C3CA0" w:rsidRDefault="00080625" w:rsidP="00A90189">
      <w:pPr>
        <w:jc w:val="both"/>
      </w:pPr>
    </w:p>
    <w:p w14:paraId="0422A583" w14:textId="77777777" w:rsidR="00080625" w:rsidRDefault="00080625" w:rsidP="00A90189">
      <w:pPr>
        <w:spacing w:after="200" w:line="100" w:lineRule="atLeast"/>
        <w:jc w:val="both"/>
      </w:pPr>
      <w:r w:rsidRPr="005C3CA0">
        <w:t>Taking due account of the revised ESG as well as of EU recommendations,</w:t>
      </w:r>
      <w:r>
        <w:rPr>
          <w:i/>
        </w:rPr>
        <w:t xml:space="preserve"> ENQA and EQAVET are encouraged </w:t>
      </w:r>
      <w:r w:rsidRPr="005C3CA0">
        <w:t>to review the common principles of quality assurance in higher education in vocational education and training. ENQA is requested to ensure that the BFUG and/or any substructure dealing with structural reforms are duly informed of this work and to report back in due time before the 2018 Ministerial conference.</w:t>
      </w:r>
    </w:p>
    <w:p w14:paraId="40344CE2" w14:textId="77777777" w:rsidR="005A0547" w:rsidRPr="005C3CA0" w:rsidRDefault="005A0547" w:rsidP="00A90189">
      <w:pPr>
        <w:spacing w:after="200" w:line="100" w:lineRule="atLeast"/>
        <w:jc w:val="both"/>
      </w:pPr>
    </w:p>
    <w:p w14:paraId="31766015" w14:textId="77777777" w:rsidR="00080625" w:rsidRDefault="00080625" w:rsidP="00080625">
      <w:pPr>
        <w:pStyle w:val="Body"/>
        <w:rPr>
          <w:i/>
          <w:iCs/>
        </w:rPr>
      </w:pPr>
    </w:p>
    <w:p w14:paraId="2550C146" w14:textId="77777777" w:rsidR="00080625" w:rsidRDefault="00080625" w:rsidP="00080625">
      <w:pPr>
        <w:pStyle w:val="Body"/>
      </w:pPr>
      <w:r>
        <w:rPr>
          <w:rFonts w:ascii="Times New Roman Bold"/>
        </w:rPr>
        <w:t>IV.1.2</w:t>
      </w:r>
      <w:r>
        <w:rPr>
          <w:rFonts w:ascii="Times New Roman Bold"/>
        </w:rPr>
        <w:tab/>
        <w:t>EQAR-registered quality assurance agencies operating in countries other than their countries of origin</w:t>
      </w:r>
      <w:r>
        <w:t xml:space="preserve"> (ToR no. </w:t>
      </w:r>
      <w:commentRangeStart w:id="9"/>
      <w:r>
        <w:t>13</w:t>
      </w:r>
      <w:commentRangeEnd w:id="9"/>
      <w:r>
        <w:rPr>
          <w:rStyle w:val="CommentReference"/>
          <w:rFonts w:eastAsia="Times New Roman" w:hAnsi="Times New Roman" w:cs="Times New Roman"/>
        </w:rPr>
        <w:commentReference w:id="9"/>
      </w:r>
      <w:r>
        <w:t>)</w:t>
      </w:r>
    </w:p>
    <w:p w14:paraId="26136463" w14:textId="77777777" w:rsidR="00A90189" w:rsidRDefault="00A90189" w:rsidP="00080625">
      <w:pPr>
        <w:pStyle w:val="BodyText"/>
        <w:rPr>
          <w:rFonts w:ascii="Times New Roman" w:hAnsi="Times New Roman" w:cs="Times New Roman"/>
          <w:sz w:val="24"/>
          <w:szCs w:val="24"/>
        </w:rPr>
      </w:pPr>
    </w:p>
    <w:p w14:paraId="50FEE828" w14:textId="77777777" w:rsidR="00080625" w:rsidRDefault="00080625" w:rsidP="00A90189">
      <w:pPr>
        <w:pStyle w:val="NoSpacing"/>
      </w:pPr>
      <w:r>
        <w:t>An overarching goal is that quality assurance agencies throughout the EHEA work in accordance with the ESG.</w:t>
      </w:r>
    </w:p>
    <w:p w14:paraId="5E1D173A" w14:textId="77777777" w:rsidR="00867363" w:rsidRDefault="00867363" w:rsidP="00A90189">
      <w:pPr>
        <w:pStyle w:val="NoSpacing"/>
      </w:pPr>
    </w:p>
    <w:p w14:paraId="1D10FDF7"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In the Bucharest Communiqué (2012), ministers agreed to “allow EQAR registered agencies to perform their activities across the EHEA, while complying with national requirements” and, in particular, “to recognise quality assurance decisions of EQAR-registered agencies on joint and double degree programmes”. The European Council conclusions of May 2014 underlined the need to open up opportunities for cross-border quality assurance by EQAR-registered agencies in order to stimulate a European dimension in quality assurance.</w:t>
      </w:r>
    </w:p>
    <w:p w14:paraId="2FEBA3CE" w14:textId="77777777" w:rsidR="00867363" w:rsidRDefault="00867363" w:rsidP="00867363">
      <w:pPr>
        <w:pStyle w:val="BodyText"/>
        <w:rPr>
          <w:rFonts w:ascii="Times New Roman" w:hAnsi="Times New Roman" w:cs="Times New Roman"/>
          <w:color w:val="FF0000"/>
          <w:sz w:val="24"/>
          <w:szCs w:val="24"/>
        </w:rPr>
      </w:pPr>
      <w:r>
        <w:rPr>
          <w:rFonts w:ascii="Times New Roman" w:hAnsi="Times New Roman" w:cs="Times New Roman"/>
          <w:sz w:val="24"/>
          <w:szCs w:val="24"/>
        </w:rPr>
        <w:t>EQAR has collected and analyzed information on the extent to which different EHEA countries allow (foreign) EQAR-registered agencies to operate within their jurisdiction. This work is part of the project Recognizing International Quality Assurance Activity (RIQAA), which is co-funded by the European Union’s Lifelong Learning Programme.</w:t>
      </w:r>
    </w:p>
    <w:p w14:paraId="7DF7DCB7" w14:textId="77777777" w:rsidR="00867363" w:rsidRDefault="00867363" w:rsidP="00867363">
      <w:pPr>
        <w:pStyle w:val="BodyText"/>
        <w:rPr>
          <w:rFonts w:ascii="Times New Roman" w:hAnsi="Times New Roman" w:cs="Times New Roman"/>
          <w:color w:val="auto"/>
          <w:sz w:val="24"/>
          <w:szCs w:val="24"/>
        </w:rPr>
      </w:pPr>
      <w:r w:rsidRPr="00867363">
        <w:rPr>
          <w:rFonts w:ascii="Times New Roman" w:hAnsi="Times New Roman" w:cs="Times New Roman"/>
          <w:color w:val="auto"/>
          <w:sz w:val="24"/>
          <w:szCs w:val="24"/>
        </w:rPr>
        <w:t xml:space="preserve">As of June 2014, 14 EHEA countries (see Table 1, row A) </w:t>
      </w:r>
      <w:r>
        <w:rPr>
          <w:rFonts w:ascii="Times New Roman" w:hAnsi="Times New Roman" w:cs="Times New Roman"/>
          <w:sz w:val="24"/>
          <w:szCs w:val="24"/>
        </w:rPr>
        <w:t xml:space="preserve">allow their higher education institutions to be reviewed by a suitable EQAR-registered QA agencies </w:t>
      </w:r>
      <w:r>
        <w:rPr>
          <w:rFonts w:ascii="Times New Roman" w:hAnsi="Times New Roman" w:cs="Times New Roman"/>
          <w:i/>
          <w:sz w:val="24"/>
          <w:szCs w:val="24"/>
        </w:rPr>
        <w:t>to discharge their external quality assurance obligations required by their country's legislation</w:t>
      </w:r>
      <w:r>
        <w:rPr>
          <w:rStyle w:val="Funotenzeichen"/>
          <w:rFonts w:ascii="Times New Roman" w:eastAsia="Calibri" w:hAnsi="Times New Roman" w:cs="Times New Roman"/>
          <w:sz w:val="24"/>
          <w:szCs w:val="24"/>
        </w:rPr>
        <w:footnoteReference w:id="36"/>
      </w:r>
      <w:r>
        <w:rPr>
          <w:rFonts w:ascii="Times New Roman" w:hAnsi="Times New Roman" w:cs="Times New Roman"/>
          <w:sz w:val="24"/>
          <w:szCs w:val="24"/>
        </w:rPr>
        <w:t>.</w:t>
      </w:r>
    </w:p>
    <w:p w14:paraId="28DB523E"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Some additional countries (see Table 1, row B) use other, specific national requirements for allowing QA agencies from other countries to operate. Most of these frameworks predate the establishment of EQAR and the agreements of the Bucharest Communiqué.</w:t>
      </w:r>
    </w:p>
    <w:p w14:paraId="00EECE72"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b/>
          <w:i/>
          <w:sz w:val="24"/>
          <w:szCs w:val="24"/>
        </w:rPr>
        <w:t>existing legal frameworks</w:t>
      </w:r>
      <w:r>
        <w:rPr>
          <w:rFonts w:ascii="Times New Roman" w:hAnsi="Times New Roman" w:cs="Times New Roman"/>
          <w:sz w:val="24"/>
          <w:szCs w:val="24"/>
        </w:rPr>
        <w:t xml:space="preserve"> differ significantly in detail: some countries allow all higher education institutions to choose a suitable EQAR-registered agency for all types of external quality assurance obligations. In some countries, this is limited to certain types of higher education institutions (e.g. public universities), certain types of external quality assurance (e.g. only program accreditation, but not institutional accreditation), or to joint programs. These limitations are described in the notes to Table 1.</w:t>
      </w:r>
    </w:p>
    <w:p w14:paraId="6472AE8C"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lastRenderedPageBreak/>
        <w:t xml:space="preserve">One major difference is whether the formal outcome or (accreditation) decision is made by the foreign QA agency independently (Table 1, column 1), or the final decision lies with a national QA body, based on a review report </w:t>
      </w:r>
      <w:r w:rsidR="00EA269B">
        <w:rPr>
          <w:rFonts w:ascii="Times New Roman" w:hAnsi="Times New Roman" w:cs="Times New Roman"/>
          <w:sz w:val="24"/>
          <w:szCs w:val="24"/>
        </w:rPr>
        <w:t xml:space="preserve">which may be </w:t>
      </w:r>
      <w:r>
        <w:rPr>
          <w:rFonts w:ascii="Times New Roman" w:hAnsi="Times New Roman" w:cs="Times New Roman"/>
          <w:sz w:val="24"/>
          <w:szCs w:val="24"/>
        </w:rPr>
        <w:t>produced by another agency (Table 1, column 2).</w:t>
      </w:r>
    </w:p>
    <w:p w14:paraId="1E9F2779" w14:textId="77777777" w:rsidR="00867363" w:rsidRDefault="00867363" w:rsidP="00867363">
      <w:pPr>
        <w:pStyle w:val="BodyText"/>
        <w:rPr>
          <w:rFonts w:ascii="DINPro-Regular" w:hAnsi="DINPro-Regular" w:cs="DINPro-Regular"/>
          <w:szCs w:val="20"/>
          <w:lang w:val="en-GB"/>
        </w:rPr>
      </w:pPr>
      <w:r>
        <w:rPr>
          <w:rFonts w:ascii="Times New Roman" w:hAnsi="Times New Roman" w:cs="Times New Roman"/>
          <w:sz w:val="24"/>
          <w:szCs w:val="24"/>
        </w:rPr>
        <w:t xml:space="preserve">In general, countries seem to impose fewer restrictions in allowing their institutions to be reviewed by a foreign QA agency if the review does not bear direct legal or financial consequences. </w:t>
      </w:r>
    </w:p>
    <w:p w14:paraId="5ABA2080"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In most cases, countries require foreign agencies to use a specific set of criteria or cover at least a specific list of issues in their evaluation, accreditation or audit, while the ESG serve as the main reference point.</w:t>
      </w:r>
      <w:r w:rsidDel="0038190F">
        <w:rPr>
          <w:rFonts w:ascii="Times New Roman" w:hAnsi="Times New Roman" w:cs="Times New Roman"/>
          <w:sz w:val="24"/>
          <w:szCs w:val="24"/>
        </w:rPr>
        <w:t xml:space="preserve"> </w:t>
      </w:r>
    </w:p>
    <w:p w14:paraId="317DBCA5" w14:textId="77777777" w:rsidR="00867363" w:rsidRDefault="00867363" w:rsidP="00867363">
      <w:pPr>
        <w:pStyle w:val="BodyText"/>
        <w:rPr>
          <w:rFonts w:ascii="Times New Roman" w:hAnsi="Times New Roman" w:cs="Times New Roman"/>
          <w:sz w:val="24"/>
          <w:szCs w:val="24"/>
        </w:rPr>
      </w:pPr>
    </w:p>
    <w:p w14:paraId="3FBAE03B" w14:textId="77777777" w:rsidR="00867363" w:rsidRDefault="00867363" w:rsidP="00867363">
      <w:pPr>
        <w:pStyle w:val="BodyText"/>
        <w:rPr>
          <w:rFonts w:ascii="Times New Roman" w:hAnsi="Times New Roman" w:cs="Times New Roman"/>
          <w:sz w:val="24"/>
          <w:szCs w:val="24"/>
        </w:rPr>
      </w:pPr>
    </w:p>
    <w:p w14:paraId="7F390C8C" w14:textId="77777777" w:rsidR="00867363" w:rsidRDefault="00867363" w:rsidP="00867363">
      <w:pPr>
        <w:pStyle w:val="BodyText"/>
        <w:rPr>
          <w:rFonts w:ascii="DINPro-Regular" w:hAnsi="DINPro-Regular" w:cs="DINPro-Regular"/>
          <w:szCs w:val="20"/>
        </w:rPr>
      </w:pPr>
      <w:r>
        <w:rPr>
          <w:rFonts w:ascii="Times New Roman" w:hAnsi="Times New Roman" w:cs="Times New Roman"/>
          <w:b/>
          <w:sz w:val="24"/>
          <w:szCs w:val="24"/>
        </w:rPr>
        <w:t>Table 1 Countries allowing higher education institutions belonging to their national education system to undergo quality assurance by foreign EQAR-registered agencies</w:t>
      </w:r>
    </w:p>
    <w:tbl>
      <w:tblPr>
        <w:tblW w:w="0" w:type="auto"/>
        <w:tblLayout w:type="fixed"/>
        <w:tblCellMar>
          <w:left w:w="30" w:type="dxa"/>
          <w:right w:w="30" w:type="dxa"/>
        </w:tblCellMar>
        <w:tblLook w:val="04A0" w:firstRow="1" w:lastRow="0" w:firstColumn="1" w:lastColumn="0" w:noHBand="0" w:noVBand="1"/>
      </w:tblPr>
      <w:tblGrid>
        <w:gridCol w:w="2582"/>
        <w:gridCol w:w="3402"/>
        <w:gridCol w:w="3260"/>
      </w:tblGrid>
      <w:tr w:rsidR="00867363" w14:paraId="1C4FFCA4" w14:textId="77777777" w:rsidTr="002B2E6D">
        <w:trPr>
          <w:trHeight w:val="794"/>
        </w:trPr>
        <w:tc>
          <w:tcPr>
            <w:tcW w:w="2582" w:type="dxa"/>
            <w:tcBorders>
              <w:top w:val="nil"/>
              <w:left w:val="nil"/>
              <w:bottom w:val="single" w:sz="4" w:space="0" w:color="000000"/>
              <w:right w:val="nil"/>
            </w:tcBorders>
          </w:tcPr>
          <w:p w14:paraId="4AA36440" w14:textId="77777777" w:rsidR="00867363" w:rsidRPr="00061E43" w:rsidRDefault="00867363" w:rsidP="002B2E6D">
            <w:pPr>
              <w:suppressAutoHyphens/>
              <w:autoSpaceDE w:val="0"/>
              <w:snapToGrid w:val="0"/>
              <w:spacing w:after="200"/>
              <w:rPr>
                <w:rFonts w:eastAsia="Calibri"/>
                <w:sz w:val="22"/>
                <w:szCs w:val="22"/>
                <w:lang w:eastAsia="ar-SA"/>
              </w:rPr>
            </w:pPr>
          </w:p>
        </w:tc>
        <w:tc>
          <w:tcPr>
            <w:tcW w:w="3402" w:type="dxa"/>
            <w:tcBorders>
              <w:top w:val="nil"/>
              <w:left w:val="single" w:sz="4" w:space="0" w:color="000000"/>
              <w:bottom w:val="single" w:sz="4" w:space="0" w:color="000000"/>
              <w:right w:val="nil"/>
            </w:tcBorders>
            <w:hideMark/>
          </w:tcPr>
          <w:p w14:paraId="7949BBCB" w14:textId="77777777" w:rsidR="00867363" w:rsidRPr="00061E43" w:rsidRDefault="00867363" w:rsidP="002B2E6D">
            <w:pPr>
              <w:suppressAutoHyphens/>
              <w:autoSpaceDE w:val="0"/>
              <w:spacing w:after="200"/>
              <w:rPr>
                <w:rStyle w:val="Strong"/>
                <w:rFonts w:eastAsia="SimSun"/>
                <w:szCs w:val="22"/>
                <w:lang w:eastAsia="ar-SA"/>
              </w:rPr>
            </w:pPr>
            <w:r w:rsidRPr="00061E43">
              <w:rPr>
                <w:rStyle w:val="Strong"/>
                <w:rFonts w:eastAsia="SimSun"/>
                <w:szCs w:val="22"/>
              </w:rPr>
              <w:t>(1) Outcome/decision is directly recognized</w:t>
            </w:r>
          </w:p>
        </w:tc>
        <w:tc>
          <w:tcPr>
            <w:tcW w:w="3260" w:type="dxa"/>
            <w:tcBorders>
              <w:top w:val="nil"/>
              <w:left w:val="single" w:sz="4" w:space="0" w:color="000000"/>
              <w:bottom w:val="single" w:sz="4" w:space="0" w:color="000000"/>
              <w:right w:val="nil"/>
            </w:tcBorders>
            <w:hideMark/>
          </w:tcPr>
          <w:p w14:paraId="1CB66511" w14:textId="77777777" w:rsidR="00867363" w:rsidRPr="00061E43" w:rsidRDefault="00867363" w:rsidP="002B2E6D">
            <w:pPr>
              <w:suppressAutoHyphens/>
              <w:autoSpaceDE w:val="0"/>
              <w:spacing w:after="200"/>
              <w:rPr>
                <w:rFonts w:eastAsia="Calibri"/>
                <w:sz w:val="22"/>
                <w:szCs w:val="22"/>
                <w:lang w:eastAsia="ar-SA"/>
              </w:rPr>
            </w:pPr>
            <w:r w:rsidRPr="00061E43">
              <w:rPr>
                <w:rStyle w:val="Strong"/>
                <w:rFonts w:eastAsia="SimSun"/>
                <w:szCs w:val="22"/>
              </w:rPr>
              <w:t>(2) Final decision or approval by national QA body</w:t>
            </w:r>
          </w:p>
        </w:tc>
      </w:tr>
      <w:tr w:rsidR="00867363" w14:paraId="1C519314" w14:textId="77777777" w:rsidTr="002B2E6D">
        <w:trPr>
          <w:trHeight w:val="794"/>
        </w:trPr>
        <w:tc>
          <w:tcPr>
            <w:tcW w:w="2582" w:type="dxa"/>
            <w:tcBorders>
              <w:top w:val="nil"/>
              <w:left w:val="nil"/>
              <w:bottom w:val="single" w:sz="4" w:space="0" w:color="000000"/>
              <w:right w:val="nil"/>
            </w:tcBorders>
            <w:hideMark/>
          </w:tcPr>
          <w:p w14:paraId="439BF3A6" w14:textId="77777777" w:rsidR="00867363" w:rsidRPr="00061E43" w:rsidRDefault="00867363" w:rsidP="002B2E6D">
            <w:pPr>
              <w:suppressAutoHyphens/>
              <w:autoSpaceDE w:val="0"/>
              <w:spacing w:after="200"/>
              <w:rPr>
                <w:rFonts w:eastAsia="SimSun"/>
                <w:bCs/>
                <w:sz w:val="22"/>
                <w:szCs w:val="22"/>
                <w:lang w:eastAsia="ar-SA"/>
              </w:rPr>
            </w:pPr>
            <w:r w:rsidRPr="00061E43">
              <w:rPr>
                <w:rStyle w:val="Strong"/>
                <w:rFonts w:eastAsia="SimSun"/>
                <w:szCs w:val="22"/>
              </w:rPr>
              <w:t>(A) EQAR-registered agencies are allowed</w:t>
            </w:r>
            <w:r w:rsidRPr="00061E43">
              <w:rPr>
                <w:rStyle w:val="Funotenzeichen"/>
                <w:rFonts w:eastAsia="SimSun"/>
                <w:bCs/>
                <w:sz w:val="22"/>
                <w:szCs w:val="22"/>
              </w:rPr>
              <w:footnoteReference w:id="37"/>
            </w:r>
            <w:r w:rsidRPr="00061E43">
              <w:rPr>
                <w:rStyle w:val="Strong"/>
                <w:rFonts w:eastAsia="SimSun"/>
                <w:szCs w:val="22"/>
              </w:rPr>
              <w:t xml:space="preserve"> to operate</w:t>
            </w:r>
          </w:p>
        </w:tc>
        <w:tc>
          <w:tcPr>
            <w:tcW w:w="3402" w:type="dxa"/>
            <w:tcBorders>
              <w:top w:val="nil"/>
              <w:left w:val="single" w:sz="4" w:space="0" w:color="000000"/>
              <w:bottom w:val="single" w:sz="4" w:space="0" w:color="000000"/>
              <w:right w:val="nil"/>
            </w:tcBorders>
            <w:vAlign w:val="center"/>
            <w:hideMark/>
          </w:tcPr>
          <w:p w14:paraId="50DEF980" w14:textId="77777777" w:rsidR="00867363" w:rsidRPr="00061E43" w:rsidRDefault="00867363" w:rsidP="002B2E6D">
            <w:pPr>
              <w:suppressAutoHyphens/>
              <w:autoSpaceDE w:val="0"/>
              <w:spacing w:after="200"/>
              <w:jc w:val="center"/>
              <w:rPr>
                <w:rFonts w:eastAsia="SimSun"/>
                <w:bCs/>
                <w:sz w:val="22"/>
                <w:szCs w:val="22"/>
                <w:lang w:eastAsia="ar-SA"/>
              </w:rPr>
            </w:pPr>
            <w:r w:rsidRPr="00061E43">
              <w:rPr>
                <w:rFonts w:eastAsia="SimSun"/>
                <w:b/>
                <w:bCs/>
                <w:sz w:val="22"/>
                <w:szCs w:val="22"/>
              </w:rPr>
              <w:t>AM</w:t>
            </w:r>
            <w:r w:rsidRPr="00061E43">
              <w:rPr>
                <w:rFonts w:eastAsia="SimSun"/>
                <w:bCs/>
                <w:sz w:val="22"/>
                <w:szCs w:val="22"/>
              </w:rPr>
              <w:t xml:space="preserve">, </w:t>
            </w:r>
            <w:r w:rsidRPr="00061E43">
              <w:rPr>
                <w:rFonts w:eastAsia="SimSun"/>
                <w:b/>
                <w:bCs/>
                <w:sz w:val="22"/>
                <w:szCs w:val="22"/>
              </w:rPr>
              <w:t>AT</w:t>
            </w:r>
            <w:r w:rsidRPr="00061E43">
              <w:rPr>
                <w:rFonts w:eastAsia="SimSun"/>
                <w:bCs/>
                <w:sz w:val="22"/>
                <w:szCs w:val="22"/>
              </w:rPr>
              <w:t xml:space="preserve"> (only PubU), </w:t>
            </w:r>
            <w:r w:rsidRPr="00061E43">
              <w:rPr>
                <w:rFonts w:eastAsia="SimSun"/>
                <w:b/>
                <w:bCs/>
                <w:sz w:val="22"/>
                <w:szCs w:val="22"/>
              </w:rPr>
              <w:t>AZ</w:t>
            </w:r>
            <w:r w:rsidRPr="00061E43">
              <w:rPr>
                <w:rFonts w:eastAsia="SimSun"/>
                <w:bCs/>
                <w:sz w:val="22"/>
                <w:szCs w:val="22"/>
              </w:rPr>
              <w:t xml:space="preserve">, </w:t>
            </w:r>
            <w:r w:rsidRPr="00061E43">
              <w:rPr>
                <w:rFonts w:eastAsia="SimSun"/>
                <w:b/>
                <w:bCs/>
                <w:sz w:val="22"/>
                <w:szCs w:val="22"/>
              </w:rPr>
              <w:t>DK</w:t>
            </w:r>
            <w:r w:rsidRPr="00061E43">
              <w:rPr>
                <w:rFonts w:eastAsia="SimSun"/>
                <w:bCs/>
                <w:sz w:val="22"/>
                <w:szCs w:val="22"/>
              </w:rPr>
              <w:t xml:space="preserve"> (only JD), </w:t>
            </w:r>
            <w:r w:rsidRPr="00061E43">
              <w:rPr>
                <w:rFonts w:eastAsia="SimSun"/>
                <w:b/>
                <w:bCs/>
                <w:i/>
                <w:sz w:val="22"/>
                <w:szCs w:val="22"/>
              </w:rPr>
              <w:t>KAZ</w:t>
            </w:r>
            <w:r w:rsidRPr="00061E43">
              <w:rPr>
                <w:rStyle w:val="Funotenzeichen"/>
                <w:rFonts w:eastAsia="SimSun"/>
                <w:bCs/>
                <w:i/>
                <w:sz w:val="22"/>
                <w:szCs w:val="22"/>
              </w:rPr>
              <w:footnoteReference w:id="38"/>
            </w:r>
            <w:r w:rsidRPr="00061E43">
              <w:rPr>
                <w:rFonts w:eastAsia="SimSun"/>
                <w:bCs/>
                <w:sz w:val="22"/>
                <w:szCs w:val="22"/>
              </w:rPr>
              <w:t xml:space="preserve"> (only PrAc), </w:t>
            </w:r>
            <w:r w:rsidRPr="00061E43">
              <w:rPr>
                <w:rFonts w:eastAsia="SimSun"/>
                <w:b/>
                <w:bCs/>
                <w:sz w:val="22"/>
                <w:szCs w:val="22"/>
              </w:rPr>
              <w:t>LI</w:t>
            </w:r>
            <w:r w:rsidRPr="00061E43">
              <w:rPr>
                <w:rFonts w:eastAsia="SimSun"/>
                <w:bCs/>
                <w:sz w:val="22"/>
                <w:szCs w:val="22"/>
              </w:rPr>
              <w:t xml:space="preserve"> (only programme), </w:t>
            </w:r>
            <w:r w:rsidRPr="00061E43">
              <w:rPr>
                <w:rFonts w:eastAsia="SimSun"/>
                <w:b/>
                <w:bCs/>
                <w:sz w:val="22"/>
                <w:szCs w:val="22"/>
              </w:rPr>
              <w:t>MD</w:t>
            </w:r>
            <w:r w:rsidRPr="00061E43">
              <w:rPr>
                <w:rFonts w:eastAsia="SimSun"/>
                <w:bCs/>
                <w:sz w:val="22"/>
                <w:szCs w:val="22"/>
              </w:rPr>
              <w:t xml:space="preserve">, </w:t>
            </w:r>
            <w:r w:rsidRPr="00061E43">
              <w:rPr>
                <w:rFonts w:eastAsia="SimSun"/>
                <w:b/>
                <w:bCs/>
                <w:sz w:val="22"/>
                <w:szCs w:val="22"/>
              </w:rPr>
              <w:t>PL</w:t>
            </w:r>
            <w:r w:rsidRPr="00061E43">
              <w:rPr>
                <w:rFonts w:eastAsia="SimSun"/>
                <w:bCs/>
                <w:sz w:val="22"/>
                <w:szCs w:val="22"/>
              </w:rPr>
              <w:t xml:space="preserve"> (only TNE+Doc), </w:t>
            </w:r>
            <w:r w:rsidRPr="00061E43">
              <w:rPr>
                <w:rFonts w:eastAsia="SimSun"/>
                <w:b/>
                <w:bCs/>
                <w:sz w:val="22"/>
                <w:szCs w:val="22"/>
              </w:rPr>
              <w:t>RO</w:t>
            </w:r>
          </w:p>
        </w:tc>
        <w:tc>
          <w:tcPr>
            <w:tcW w:w="3260" w:type="dxa"/>
            <w:tcBorders>
              <w:top w:val="nil"/>
              <w:left w:val="single" w:sz="4" w:space="0" w:color="000000"/>
              <w:bottom w:val="single" w:sz="4" w:space="0" w:color="000000"/>
              <w:right w:val="nil"/>
            </w:tcBorders>
            <w:vAlign w:val="center"/>
            <w:hideMark/>
          </w:tcPr>
          <w:p w14:paraId="1516874F" w14:textId="77777777" w:rsidR="00867363" w:rsidRPr="00061E43" w:rsidRDefault="00867363" w:rsidP="002B2E6D">
            <w:pPr>
              <w:suppressAutoHyphens/>
              <w:autoSpaceDE w:val="0"/>
              <w:spacing w:after="200"/>
              <w:jc w:val="center"/>
              <w:rPr>
                <w:rFonts w:eastAsia="Calibri"/>
                <w:sz w:val="22"/>
                <w:szCs w:val="22"/>
                <w:lang w:eastAsia="ar-SA"/>
              </w:rPr>
            </w:pPr>
            <w:r w:rsidRPr="00061E43">
              <w:rPr>
                <w:rFonts w:eastAsia="SimSun"/>
                <w:b/>
                <w:bCs/>
                <w:sz w:val="22"/>
                <w:szCs w:val="22"/>
              </w:rPr>
              <w:t>AL</w:t>
            </w:r>
            <w:r w:rsidRPr="00061E43">
              <w:rPr>
                <w:rFonts w:eastAsia="SimSun"/>
                <w:bCs/>
                <w:sz w:val="22"/>
                <w:szCs w:val="22"/>
              </w:rPr>
              <w:t xml:space="preserve">, </w:t>
            </w:r>
            <w:r w:rsidRPr="00061E43">
              <w:rPr>
                <w:rFonts w:eastAsia="SimSun"/>
                <w:b/>
                <w:bCs/>
                <w:sz w:val="22"/>
                <w:szCs w:val="22"/>
              </w:rPr>
              <w:t>BE-fl</w:t>
            </w:r>
            <w:r w:rsidRPr="00061E43">
              <w:rPr>
                <w:rFonts w:eastAsia="SimSun"/>
                <w:bCs/>
                <w:sz w:val="22"/>
                <w:szCs w:val="22"/>
              </w:rPr>
              <w:t xml:space="preserve">, </w:t>
            </w:r>
            <w:r w:rsidRPr="00061E43">
              <w:rPr>
                <w:rFonts w:eastAsia="SimSun"/>
                <w:b/>
                <w:bCs/>
                <w:sz w:val="22"/>
                <w:szCs w:val="22"/>
              </w:rPr>
              <w:t>BG</w:t>
            </w:r>
            <w:r w:rsidRPr="00061E43">
              <w:rPr>
                <w:rFonts w:eastAsia="SimSun"/>
                <w:bCs/>
                <w:sz w:val="22"/>
                <w:szCs w:val="22"/>
              </w:rPr>
              <w:t xml:space="preserve">, </w:t>
            </w:r>
            <w:r w:rsidRPr="00061E43">
              <w:rPr>
                <w:rFonts w:eastAsia="SimSun"/>
                <w:b/>
                <w:bCs/>
                <w:sz w:val="22"/>
                <w:szCs w:val="22"/>
              </w:rPr>
              <w:t>DE</w:t>
            </w:r>
            <w:r w:rsidRPr="00061E43">
              <w:rPr>
                <w:rFonts w:eastAsia="SimSun"/>
                <w:bCs/>
                <w:sz w:val="22"/>
                <w:szCs w:val="22"/>
              </w:rPr>
              <w:t xml:space="preserve"> (only JD), </w:t>
            </w:r>
            <w:r w:rsidRPr="00061E43">
              <w:rPr>
                <w:rFonts w:eastAsia="SimSun"/>
                <w:b/>
                <w:bCs/>
                <w:sz w:val="22"/>
                <w:szCs w:val="22"/>
              </w:rPr>
              <w:t>LT</w:t>
            </w:r>
            <w:r w:rsidRPr="00061E43">
              <w:rPr>
                <w:rFonts w:eastAsia="SimSun"/>
                <w:bCs/>
                <w:sz w:val="22"/>
                <w:szCs w:val="22"/>
              </w:rPr>
              <w:t xml:space="preserve">, </w:t>
            </w:r>
            <w:r w:rsidRPr="00061E43">
              <w:rPr>
                <w:rFonts w:eastAsia="SimSun"/>
                <w:b/>
                <w:bCs/>
                <w:sz w:val="22"/>
                <w:szCs w:val="22"/>
              </w:rPr>
              <w:t>PL</w:t>
            </w:r>
            <w:r w:rsidRPr="00061E43">
              <w:rPr>
                <w:rFonts w:eastAsia="SimSun"/>
                <w:bCs/>
                <w:sz w:val="22"/>
                <w:szCs w:val="22"/>
              </w:rPr>
              <w:t xml:space="preserve"> (general)</w:t>
            </w:r>
          </w:p>
        </w:tc>
      </w:tr>
      <w:tr w:rsidR="00867363" w14:paraId="4C7CB0A5" w14:textId="77777777" w:rsidTr="002B2E6D">
        <w:trPr>
          <w:trHeight w:val="794"/>
        </w:trPr>
        <w:tc>
          <w:tcPr>
            <w:tcW w:w="2582" w:type="dxa"/>
            <w:tcBorders>
              <w:top w:val="nil"/>
              <w:left w:val="nil"/>
              <w:bottom w:val="single" w:sz="4" w:space="0" w:color="000000"/>
              <w:right w:val="nil"/>
            </w:tcBorders>
            <w:hideMark/>
          </w:tcPr>
          <w:p w14:paraId="008434A5" w14:textId="77777777" w:rsidR="00867363" w:rsidRPr="00061E43" w:rsidRDefault="00867363" w:rsidP="002B2E6D">
            <w:pPr>
              <w:suppressAutoHyphens/>
              <w:autoSpaceDE w:val="0"/>
              <w:spacing w:after="200"/>
              <w:rPr>
                <w:rFonts w:eastAsia="SimSun"/>
                <w:bCs/>
                <w:sz w:val="22"/>
                <w:szCs w:val="22"/>
                <w:lang w:val="en-GB" w:eastAsia="ar-SA"/>
              </w:rPr>
            </w:pPr>
            <w:r w:rsidRPr="00061E43">
              <w:rPr>
                <w:rStyle w:val="Strong"/>
                <w:rFonts w:eastAsia="SimSun"/>
                <w:szCs w:val="22"/>
              </w:rPr>
              <w:t>(B) Specific national requirements</w:t>
            </w:r>
            <w:r w:rsidRPr="00061E43">
              <w:rPr>
                <w:rStyle w:val="Funotenzeichen"/>
                <w:rFonts w:eastAsia="SimSun"/>
                <w:bCs/>
                <w:sz w:val="22"/>
                <w:szCs w:val="22"/>
              </w:rPr>
              <w:footnoteReference w:id="39"/>
            </w:r>
            <w:r w:rsidRPr="00061E43">
              <w:rPr>
                <w:rStyle w:val="Strong"/>
                <w:rFonts w:eastAsia="SimSun"/>
                <w:szCs w:val="22"/>
              </w:rPr>
              <w:t xml:space="preserve"> for allowing foreign QAAs to operate</w:t>
            </w:r>
          </w:p>
        </w:tc>
        <w:tc>
          <w:tcPr>
            <w:tcW w:w="3402" w:type="dxa"/>
            <w:tcBorders>
              <w:top w:val="nil"/>
              <w:left w:val="single" w:sz="4" w:space="0" w:color="000000"/>
              <w:bottom w:val="single" w:sz="4" w:space="0" w:color="000000"/>
              <w:right w:val="nil"/>
            </w:tcBorders>
            <w:vAlign w:val="center"/>
            <w:hideMark/>
          </w:tcPr>
          <w:p w14:paraId="6AE45144" w14:textId="77777777" w:rsidR="00867363" w:rsidRPr="00061E43" w:rsidRDefault="00867363" w:rsidP="002B2E6D">
            <w:pPr>
              <w:suppressAutoHyphens/>
              <w:autoSpaceDE w:val="0"/>
              <w:spacing w:after="200"/>
              <w:jc w:val="center"/>
              <w:rPr>
                <w:rFonts w:eastAsia="SimSun"/>
                <w:bCs/>
                <w:sz w:val="22"/>
                <w:szCs w:val="22"/>
                <w:lang w:val="nl-BE" w:eastAsia="ar-SA"/>
              </w:rPr>
            </w:pPr>
            <w:r w:rsidRPr="00061E43">
              <w:rPr>
                <w:rFonts w:eastAsia="SimSun"/>
                <w:b/>
                <w:bCs/>
                <w:sz w:val="22"/>
                <w:szCs w:val="22"/>
                <w:lang w:val="en-GB"/>
              </w:rPr>
              <w:t>CH</w:t>
            </w:r>
            <w:r w:rsidRPr="00061E43">
              <w:rPr>
                <w:rFonts w:eastAsia="SimSun"/>
                <w:bCs/>
                <w:sz w:val="22"/>
                <w:szCs w:val="22"/>
                <w:lang w:val="en-GB"/>
              </w:rPr>
              <w:t xml:space="preserve"> (only UAS), </w:t>
            </w:r>
            <w:r w:rsidRPr="00061E43">
              <w:rPr>
                <w:rFonts w:eastAsia="SimSun"/>
                <w:b/>
                <w:bCs/>
                <w:sz w:val="22"/>
                <w:szCs w:val="22"/>
                <w:lang w:val="en-GB"/>
              </w:rPr>
              <w:t>DE</w:t>
            </w:r>
            <w:r w:rsidRPr="00061E43">
              <w:rPr>
                <w:rFonts w:eastAsia="SimSun"/>
                <w:bCs/>
                <w:sz w:val="22"/>
                <w:szCs w:val="22"/>
                <w:lang w:val="en-GB"/>
              </w:rPr>
              <w:t xml:space="preserve"> (general), </w:t>
            </w:r>
            <w:r w:rsidRPr="00061E43">
              <w:rPr>
                <w:rFonts w:eastAsia="SimSun"/>
                <w:b/>
                <w:bCs/>
                <w:sz w:val="22"/>
                <w:szCs w:val="22"/>
                <w:lang w:val="en-GB"/>
              </w:rPr>
              <w:t>FI</w:t>
            </w:r>
            <w:r w:rsidRPr="00061E43">
              <w:rPr>
                <w:rFonts w:eastAsia="SimSun"/>
                <w:bCs/>
                <w:sz w:val="22"/>
                <w:szCs w:val="22"/>
                <w:lang w:val="en-GB"/>
              </w:rPr>
              <w:t xml:space="preserve">, </w:t>
            </w:r>
            <w:r w:rsidRPr="00061E43">
              <w:rPr>
                <w:rFonts w:eastAsia="SimSun"/>
                <w:b/>
                <w:bCs/>
                <w:sz w:val="22"/>
                <w:szCs w:val="22"/>
                <w:lang w:val="en-GB"/>
              </w:rPr>
              <w:t>ME</w:t>
            </w:r>
          </w:p>
        </w:tc>
        <w:tc>
          <w:tcPr>
            <w:tcW w:w="3260" w:type="dxa"/>
            <w:tcBorders>
              <w:top w:val="nil"/>
              <w:left w:val="single" w:sz="4" w:space="0" w:color="000000"/>
              <w:bottom w:val="single" w:sz="4" w:space="0" w:color="000000"/>
              <w:right w:val="nil"/>
            </w:tcBorders>
            <w:vAlign w:val="center"/>
            <w:hideMark/>
          </w:tcPr>
          <w:p w14:paraId="540E87CD" w14:textId="77777777" w:rsidR="00867363" w:rsidRPr="00061E43" w:rsidRDefault="00867363" w:rsidP="002B2E6D">
            <w:pPr>
              <w:suppressAutoHyphens/>
              <w:autoSpaceDE w:val="0"/>
              <w:spacing w:after="200"/>
              <w:jc w:val="center"/>
              <w:rPr>
                <w:rFonts w:eastAsia="Calibri"/>
                <w:sz w:val="22"/>
                <w:szCs w:val="22"/>
                <w:lang w:eastAsia="ar-SA"/>
              </w:rPr>
            </w:pPr>
            <w:r w:rsidRPr="00061E43">
              <w:rPr>
                <w:rFonts w:eastAsia="SimSun"/>
                <w:b/>
                <w:bCs/>
                <w:sz w:val="22"/>
                <w:szCs w:val="22"/>
                <w:lang w:val="nl-BE"/>
              </w:rPr>
              <w:t>CH</w:t>
            </w:r>
            <w:r w:rsidRPr="00061E43">
              <w:rPr>
                <w:rFonts w:eastAsia="SimSun"/>
                <w:bCs/>
                <w:sz w:val="22"/>
                <w:szCs w:val="22"/>
                <w:lang w:val="nl-BE"/>
              </w:rPr>
              <w:t xml:space="preserve">, </w:t>
            </w:r>
            <w:r w:rsidRPr="00061E43">
              <w:rPr>
                <w:rFonts w:eastAsia="SimSun"/>
                <w:b/>
                <w:bCs/>
                <w:sz w:val="22"/>
                <w:szCs w:val="22"/>
                <w:lang w:val="nl-BE"/>
              </w:rPr>
              <w:t>EE</w:t>
            </w:r>
            <w:r w:rsidRPr="00061E43">
              <w:rPr>
                <w:rFonts w:eastAsia="SimSun"/>
                <w:bCs/>
                <w:sz w:val="22"/>
                <w:szCs w:val="22"/>
                <w:lang w:val="nl-BE"/>
              </w:rPr>
              <w:t xml:space="preserve">, </w:t>
            </w:r>
            <w:r w:rsidRPr="00061E43">
              <w:rPr>
                <w:rFonts w:eastAsia="SimSun"/>
                <w:b/>
                <w:bCs/>
                <w:sz w:val="22"/>
                <w:szCs w:val="22"/>
                <w:lang w:val="nl-BE"/>
              </w:rPr>
              <w:t>FI</w:t>
            </w:r>
            <w:r w:rsidRPr="00061E43">
              <w:rPr>
                <w:rFonts w:eastAsia="SimSun"/>
                <w:bCs/>
                <w:sz w:val="22"/>
                <w:szCs w:val="22"/>
                <w:lang w:val="nl-BE"/>
              </w:rPr>
              <w:t xml:space="preserve">, </w:t>
            </w:r>
            <w:r w:rsidRPr="00061E43">
              <w:rPr>
                <w:rFonts w:eastAsia="SimSun"/>
                <w:b/>
                <w:bCs/>
                <w:sz w:val="22"/>
                <w:szCs w:val="22"/>
                <w:lang w:val="nl-BE"/>
              </w:rPr>
              <w:t>ME</w:t>
            </w:r>
            <w:r w:rsidRPr="00061E43">
              <w:rPr>
                <w:rFonts w:eastAsia="SimSun"/>
                <w:bCs/>
                <w:sz w:val="22"/>
                <w:szCs w:val="22"/>
                <w:lang w:val="nl-BE"/>
              </w:rPr>
              <w:t xml:space="preserve">, </w:t>
            </w:r>
            <w:r w:rsidRPr="00061E43">
              <w:rPr>
                <w:rFonts w:eastAsia="SimSun"/>
                <w:b/>
                <w:bCs/>
                <w:sz w:val="22"/>
                <w:szCs w:val="22"/>
                <w:lang w:val="nl-BE"/>
              </w:rPr>
              <w:t>NL</w:t>
            </w:r>
            <w:r w:rsidRPr="00061E43">
              <w:rPr>
                <w:rFonts w:eastAsia="SimSun"/>
                <w:bCs/>
                <w:sz w:val="22"/>
                <w:szCs w:val="22"/>
                <w:lang w:val="nl-BE"/>
              </w:rPr>
              <w:t xml:space="preserve">, </w:t>
            </w:r>
            <w:r w:rsidRPr="00061E43">
              <w:rPr>
                <w:rFonts w:eastAsia="SimSun"/>
                <w:b/>
                <w:bCs/>
                <w:sz w:val="22"/>
                <w:szCs w:val="22"/>
                <w:lang w:val="nl-BE"/>
              </w:rPr>
              <w:t>PT</w:t>
            </w:r>
          </w:p>
        </w:tc>
      </w:tr>
      <w:tr w:rsidR="00867363" w:rsidRPr="0038190F" w14:paraId="7576D879" w14:textId="77777777" w:rsidTr="002B2E6D">
        <w:trPr>
          <w:trHeight w:val="317"/>
        </w:trPr>
        <w:tc>
          <w:tcPr>
            <w:tcW w:w="9244" w:type="dxa"/>
            <w:gridSpan w:val="3"/>
            <w:hideMark/>
          </w:tcPr>
          <w:p w14:paraId="6691765E" w14:textId="77777777" w:rsidR="00867363" w:rsidRPr="00061E43" w:rsidRDefault="00867363" w:rsidP="002B2E6D">
            <w:pPr>
              <w:suppressAutoHyphens/>
              <w:autoSpaceDE w:val="0"/>
              <w:spacing w:after="200"/>
              <w:rPr>
                <w:rFonts w:eastAsia="Calibri"/>
                <w:sz w:val="20"/>
                <w:szCs w:val="20"/>
                <w:lang w:eastAsia="ar-SA"/>
              </w:rPr>
            </w:pPr>
            <w:r w:rsidRPr="00061E43">
              <w:rPr>
                <w:rFonts w:eastAsia="SimSun"/>
                <w:b/>
                <w:sz w:val="20"/>
                <w:szCs w:val="20"/>
              </w:rPr>
              <w:t>Country-specific limitations</w:t>
            </w:r>
            <w:r w:rsidRPr="00061E43">
              <w:rPr>
                <w:rFonts w:eastAsia="SimSun"/>
                <w:sz w:val="20"/>
                <w:szCs w:val="20"/>
              </w:rPr>
              <w:t xml:space="preserve"> are in parenthesis (“only …”):</w:t>
            </w:r>
            <w:r w:rsidRPr="00061E43">
              <w:rPr>
                <w:rFonts w:eastAsia="SimSun"/>
                <w:sz w:val="20"/>
                <w:szCs w:val="20"/>
              </w:rPr>
              <w:br/>
              <w:t>Doc:</w:t>
            </w:r>
            <w:r w:rsidRPr="00061E43">
              <w:rPr>
                <w:rFonts w:eastAsia="SimSun"/>
                <w:sz w:val="20"/>
                <w:szCs w:val="20"/>
              </w:rPr>
              <w:tab/>
              <w:t>only for doctoral programs</w:t>
            </w:r>
            <w:r w:rsidRPr="00061E43">
              <w:rPr>
                <w:rFonts w:eastAsia="SimSun"/>
                <w:sz w:val="20"/>
                <w:szCs w:val="20"/>
              </w:rPr>
              <w:br/>
              <w:t>JD:</w:t>
            </w:r>
            <w:r w:rsidRPr="00061E43">
              <w:rPr>
                <w:rFonts w:eastAsia="SimSun"/>
                <w:sz w:val="20"/>
                <w:szCs w:val="20"/>
              </w:rPr>
              <w:tab/>
              <w:t>only applicable for accreditation of joint programs or joint degrees</w:t>
            </w:r>
            <w:r w:rsidRPr="00061E43">
              <w:rPr>
                <w:rFonts w:eastAsia="SimSun"/>
                <w:sz w:val="20"/>
                <w:szCs w:val="20"/>
              </w:rPr>
              <w:br/>
              <w:t>PrAc:</w:t>
            </w:r>
            <w:r w:rsidRPr="00061E43">
              <w:rPr>
                <w:rFonts w:eastAsia="SimSun"/>
                <w:sz w:val="20"/>
                <w:szCs w:val="20"/>
              </w:rPr>
              <w:tab/>
              <w:t>only for program accreditation, but not for institutional accreditation</w:t>
            </w:r>
            <w:r w:rsidRPr="00061E43">
              <w:rPr>
                <w:rFonts w:eastAsia="SimSun"/>
                <w:sz w:val="20"/>
                <w:szCs w:val="20"/>
              </w:rPr>
              <w:br/>
              <w:t>PubU:</w:t>
            </w:r>
            <w:r w:rsidRPr="00061E43">
              <w:rPr>
                <w:rFonts w:eastAsia="SimSun"/>
                <w:sz w:val="20"/>
                <w:szCs w:val="20"/>
              </w:rPr>
              <w:tab/>
              <w:t>only for public universities (and universities of applied sciences after initial accreditation)</w:t>
            </w:r>
            <w:r w:rsidRPr="00061E43">
              <w:rPr>
                <w:rFonts w:eastAsia="SimSun"/>
                <w:sz w:val="20"/>
                <w:szCs w:val="20"/>
              </w:rPr>
              <w:br/>
              <w:t>TNE:</w:t>
            </w:r>
            <w:r w:rsidRPr="00061E43">
              <w:rPr>
                <w:rFonts w:eastAsia="SimSun"/>
                <w:sz w:val="20"/>
                <w:szCs w:val="20"/>
              </w:rPr>
              <w:tab/>
              <w:t>only for branch campuses or franchised provision of foreign HEIs</w:t>
            </w:r>
            <w:r w:rsidRPr="00061E43">
              <w:rPr>
                <w:rFonts w:eastAsia="SimSun"/>
                <w:sz w:val="20"/>
                <w:szCs w:val="20"/>
              </w:rPr>
              <w:br/>
              <w:t>UAS:</w:t>
            </w:r>
            <w:r w:rsidRPr="00061E43">
              <w:rPr>
                <w:rFonts w:eastAsia="SimSun"/>
                <w:sz w:val="20"/>
                <w:szCs w:val="20"/>
              </w:rPr>
              <w:tab/>
              <w:t>only for universities of applied sciences</w:t>
            </w:r>
            <w:r w:rsidRPr="00061E43">
              <w:rPr>
                <w:rFonts w:eastAsia="SimSun"/>
                <w:sz w:val="20"/>
                <w:szCs w:val="20"/>
              </w:rPr>
              <w:br/>
              <w:t>When there is a different framework that applies to most or traditional HEIs/programs, “general” is added</w:t>
            </w:r>
          </w:p>
        </w:tc>
      </w:tr>
    </w:tbl>
    <w:p w14:paraId="6B5BA279" w14:textId="77777777" w:rsidR="00867363" w:rsidRDefault="00867363" w:rsidP="00867363">
      <w:pPr>
        <w:pStyle w:val="BodyText"/>
        <w:rPr>
          <w:rFonts w:ascii="Times New Roman" w:eastAsia="Times New Roman" w:hAnsi="Times New Roman" w:cs="Times New Roman"/>
          <w:sz w:val="24"/>
          <w:szCs w:val="24"/>
          <w:lang w:eastAsia="ar-SA"/>
        </w:rPr>
      </w:pPr>
    </w:p>
    <w:p w14:paraId="3574FA5D" w14:textId="77777777" w:rsidR="00867363" w:rsidRDefault="00867363" w:rsidP="00867363">
      <w:pPr>
        <w:pStyle w:val="BodyText"/>
        <w:rPr>
          <w:rFonts w:ascii="Times New Roman" w:hAnsi="Times New Roman" w:cs="Times New Roman"/>
          <w:sz w:val="24"/>
          <w:szCs w:val="24"/>
        </w:rPr>
      </w:pPr>
    </w:p>
    <w:p w14:paraId="63B585BE" w14:textId="77777777" w:rsidR="005A0547" w:rsidRDefault="005A0547" w:rsidP="00867363">
      <w:pPr>
        <w:pStyle w:val="BodyText"/>
        <w:rPr>
          <w:rFonts w:ascii="Times New Roman" w:hAnsi="Times New Roman" w:cs="Times New Roman"/>
          <w:sz w:val="24"/>
          <w:szCs w:val="24"/>
        </w:rPr>
      </w:pPr>
    </w:p>
    <w:p w14:paraId="45D8C08F" w14:textId="77777777" w:rsidR="00867363" w:rsidRDefault="00867363" w:rsidP="00B40521">
      <w:pPr>
        <w:pStyle w:val="Heading3"/>
        <w:numPr>
          <w:ilvl w:val="2"/>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cs="Arial"/>
          <w:sz w:val="24"/>
          <w:szCs w:val="24"/>
          <w:lang w:val="en-GB"/>
        </w:rPr>
      </w:pPr>
      <w:r>
        <w:rPr>
          <w:rFonts w:ascii="Times New Roman" w:hAnsi="Times New Roman" w:cs="Times New Roman"/>
          <w:b/>
          <w:i/>
          <w:sz w:val="24"/>
          <w:szCs w:val="24"/>
        </w:rPr>
        <w:lastRenderedPageBreak/>
        <w:t>Benefits</w:t>
      </w:r>
    </w:p>
    <w:p w14:paraId="2760156D" w14:textId="77777777" w:rsidR="00867363" w:rsidRDefault="00867363" w:rsidP="00867363">
      <w:pPr>
        <w:pStyle w:val="CommentText"/>
        <w:rPr>
          <w:sz w:val="24"/>
          <w:szCs w:val="24"/>
        </w:rPr>
      </w:pPr>
    </w:p>
    <w:p w14:paraId="2C22CA85" w14:textId="77777777" w:rsidR="00867363" w:rsidRDefault="00867363" w:rsidP="00867363">
      <w:pPr>
        <w:pStyle w:val="CommentText"/>
      </w:pPr>
      <w:r>
        <w:rPr>
          <w:sz w:val="24"/>
          <w:szCs w:val="24"/>
        </w:rPr>
        <w:t>Higher education institutions have pointed</w:t>
      </w:r>
      <w:r>
        <w:rPr>
          <w:rStyle w:val="Funotenzeichen"/>
          <w:sz w:val="24"/>
          <w:szCs w:val="24"/>
        </w:rPr>
        <w:footnoteReference w:id="40"/>
      </w:r>
      <w:r>
        <w:rPr>
          <w:sz w:val="24"/>
          <w:szCs w:val="24"/>
        </w:rPr>
        <w:t xml:space="preserve"> to two main advantages in being able to have their audit, evaluation or accreditation carried out by an EQAR-registered quality assurance agency of their choice: firstly, it allows them to identify an agency that best suits their own mission and profile, and</w:t>
      </w:r>
      <w:r w:rsidRPr="000F00DE">
        <w:rPr>
          <w:sz w:val="24"/>
          <w:szCs w:val="24"/>
        </w:rPr>
        <w:t xml:space="preserve"> </w:t>
      </w:r>
      <w:r>
        <w:rPr>
          <w:sz w:val="24"/>
          <w:szCs w:val="24"/>
        </w:rPr>
        <w:t>from which they believe to receive the most valuable feedback. This, in turn, increases the commitment of their internal and external stakeholders, and help to develop their own quality culture.</w:t>
      </w:r>
    </w:p>
    <w:p w14:paraId="4DC01493" w14:textId="77777777" w:rsidR="00867363" w:rsidRDefault="00867363" w:rsidP="00867363">
      <w:pPr>
        <w:pStyle w:val="CommentText"/>
        <w:rPr>
          <w:sz w:val="24"/>
          <w:szCs w:val="24"/>
        </w:rPr>
      </w:pPr>
      <w:r>
        <w:rPr>
          <w:sz w:val="24"/>
          <w:szCs w:val="24"/>
        </w:rPr>
        <w:t>Some institutions welcomed the possibility of a review that would not have been available in that form in their country (e.g. award of an additional international label that is not available nationally).</w:t>
      </w:r>
    </w:p>
    <w:p w14:paraId="5CE23773" w14:textId="77777777" w:rsidR="00867363" w:rsidRDefault="00867363" w:rsidP="00867363">
      <w:pPr>
        <w:pStyle w:val="CommentText"/>
        <w:rPr>
          <w:sz w:val="24"/>
          <w:szCs w:val="24"/>
        </w:rPr>
      </w:pPr>
      <w:r>
        <w:rPr>
          <w:sz w:val="24"/>
          <w:szCs w:val="24"/>
        </w:rPr>
        <w:t>Secondly, institutions felt that a review by a foreign/international agency was a more genuinely international experience, even if the national QA agency would include international peers on its panels. This is mainly based on the perception that the agency chosen has a broad pool of international peers and would clearly be considered international by their stakeholders.</w:t>
      </w:r>
    </w:p>
    <w:p w14:paraId="6D760DC4" w14:textId="77777777" w:rsidR="00867363" w:rsidRDefault="00867363" w:rsidP="00867363">
      <w:pPr>
        <w:pStyle w:val="CommentText"/>
        <w:rPr>
          <w:sz w:val="24"/>
          <w:szCs w:val="24"/>
        </w:rPr>
      </w:pPr>
      <w:r>
        <w:rPr>
          <w:sz w:val="24"/>
          <w:szCs w:val="24"/>
        </w:rPr>
        <w:t>Institutions (especially small or regional ones) thus consider the review to strengthen their international profile and international partnerships. Related to this, the reputation and image of the agency chosen plays a certain role.</w:t>
      </w:r>
    </w:p>
    <w:p w14:paraId="64FB13FC"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Quality assurance agencies have described</w:t>
      </w:r>
      <w:r>
        <w:rPr>
          <w:rStyle w:val="Funotenzeichen"/>
          <w:rFonts w:ascii="Times New Roman" w:eastAsia="Calibri" w:hAnsi="Times New Roman" w:cs="Times New Roman"/>
          <w:sz w:val="24"/>
          <w:szCs w:val="24"/>
        </w:rPr>
        <w:footnoteReference w:id="41"/>
      </w:r>
      <w:r>
        <w:rPr>
          <w:rFonts w:ascii="Times New Roman" w:hAnsi="Times New Roman" w:cs="Times New Roman"/>
          <w:sz w:val="24"/>
          <w:szCs w:val="24"/>
        </w:rPr>
        <w:t xml:space="preserve"> the possibility to operate in other countries as an opportunity to improve their own processes and methodologies, by reflecting on how well they can be deployed in a different system and using observations from their cross-border work to improve their methodologies “at home”.</w:t>
      </w:r>
    </w:p>
    <w:p w14:paraId="0F3A8716" w14:textId="77777777" w:rsidR="00867363" w:rsidRDefault="00867363" w:rsidP="00867363">
      <w:pPr>
        <w:pStyle w:val="BodyText"/>
        <w:rPr>
          <w:rFonts w:ascii="Times New Roman" w:hAnsi="Times New Roman" w:cs="Times New Roman"/>
          <w:sz w:val="24"/>
          <w:szCs w:val="24"/>
        </w:rPr>
      </w:pPr>
    </w:p>
    <w:p w14:paraId="535D16FB" w14:textId="77777777" w:rsidR="00867363" w:rsidRDefault="00867363" w:rsidP="00B40521">
      <w:pPr>
        <w:pStyle w:val="Heading3"/>
        <w:numPr>
          <w:ilvl w:val="2"/>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cs="Arial"/>
          <w:sz w:val="24"/>
          <w:szCs w:val="24"/>
          <w:lang w:val="en-GB"/>
        </w:rPr>
      </w:pPr>
      <w:r>
        <w:rPr>
          <w:rFonts w:ascii="Times New Roman" w:hAnsi="Times New Roman" w:cs="Times New Roman"/>
          <w:b/>
          <w:i/>
          <w:sz w:val="24"/>
          <w:szCs w:val="24"/>
        </w:rPr>
        <w:t>Challenges</w:t>
      </w:r>
    </w:p>
    <w:p w14:paraId="354779AB" w14:textId="77777777" w:rsidR="00867363" w:rsidRDefault="00867363" w:rsidP="00867363">
      <w:pPr>
        <w:pStyle w:val="CommentText"/>
        <w:rPr>
          <w:sz w:val="24"/>
          <w:szCs w:val="24"/>
        </w:rPr>
      </w:pPr>
    </w:p>
    <w:p w14:paraId="121370D6"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The key challenge quality assurance agencies have experienced when operating in a different country is to familiarize themselves with the regulatory framework, context and customs of the “target” country. This requires considerable effort before operating in a country for the first time. Agencies have described this as particularly difficult for cases where regulations on the work of foreign agencies were unclear or not transparent. Not very surprisingly, a language barrier amplifies this challenge, and not all countries have regulations or criteria to be used available in English.</w:t>
      </w:r>
    </w:p>
    <w:p w14:paraId="0EDC81CF"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Higher education institutions observe a similar challenge in turn: they have to explain “their” system and context to a foreign agency and peers. Generally, a review by a foreign QA agency requires more time and effort than a review by the national QA agency.</w:t>
      </w:r>
    </w:p>
    <w:p w14:paraId="3C6CA14A"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t>The issue of costs can be an inhibiting factor where a review by the national QA agency is free of charge, while a review by another EQAR-registered agency might be at the higher education institution’s own expense. Unless there are external requirements (i.e. procurement rules), however, the price of a review does not seem to be a determining factor for choosing an agency.</w:t>
      </w:r>
      <w:r w:rsidR="000756C3" w:rsidRPr="000756C3">
        <w:rPr>
          <w:rFonts w:ascii="Times New Roman" w:hAnsi="Times New Roman" w:cs="Times New Roman"/>
          <w:sz w:val="24"/>
          <w:szCs w:val="24"/>
        </w:rPr>
        <w:t xml:space="preserve"> </w:t>
      </w:r>
      <w:r w:rsidR="000756C3">
        <w:rPr>
          <w:rFonts w:ascii="Times New Roman" w:hAnsi="Times New Roman" w:cs="Times New Roman"/>
          <w:sz w:val="24"/>
          <w:szCs w:val="24"/>
        </w:rPr>
        <w:t>There is also an issue of agencies facing legal obstacles to charging fees while operating abroad.</w:t>
      </w:r>
    </w:p>
    <w:p w14:paraId="2E746B7A" w14:textId="77777777" w:rsidR="00867363" w:rsidRDefault="00867363" w:rsidP="00867363">
      <w:pPr>
        <w:pStyle w:val="BodyText"/>
        <w:rPr>
          <w:rFonts w:ascii="Times New Roman" w:hAnsi="Times New Roman" w:cs="Times New Roman"/>
          <w:sz w:val="24"/>
          <w:szCs w:val="24"/>
        </w:rPr>
      </w:pPr>
      <w:r>
        <w:rPr>
          <w:rFonts w:ascii="Times New Roman" w:hAnsi="Times New Roman" w:cs="Times New Roman"/>
          <w:sz w:val="24"/>
          <w:szCs w:val="24"/>
        </w:rPr>
        <w:lastRenderedPageBreak/>
        <w:t>The choice of a suitable agency usually involves considerable desk research for higher education institutions, for which institutions have used information provided on the EQAR website (e.g. expertise in different methodologies of external quality assurance, countries where agencies have worked) and on the agencies' own websites.  Institutions often find themselves in the situation that only a small number of the (currently) 32 EQAR-registered agencies would at all be suitable to undertake the review that is needed.</w:t>
      </w:r>
    </w:p>
    <w:p w14:paraId="434BE7C2" w14:textId="77777777" w:rsidR="00867363" w:rsidRDefault="00867363" w:rsidP="00867363">
      <w:pPr>
        <w:pStyle w:val="BodyText"/>
        <w:rPr>
          <w:rFonts w:ascii="Times New Roman" w:hAnsi="Times New Roman" w:cs="Times New Roman"/>
          <w:sz w:val="24"/>
          <w:szCs w:val="24"/>
        </w:rPr>
      </w:pPr>
    </w:p>
    <w:p w14:paraId="5206DF68" w14:textId="77777777" w:rsidR="00867363" w:rsidRDefault="00867363" w:rsidP="00B40521">
      <w:pPr>
        <w:pStyle w:val="Heading3"/>
        <w:numPr>
          <w:ilvl w:val="2"/>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cs="Arial"/>
          <w:szCs w:val="26"/>
          <w:lang w:val="en-GB"/>
        </w:rPr>
      </w:pPr>
      <w:r>
        <w:rPr>
          <w:rFonts w:ascii="Times New Roman" w:hAnsi="Times New Roman" w:cs="Times New Roman"/>
          <w:b/>
          <w:i/>
          <w:sz w:val="24"/>
          <w:szCs w:val="24"/>
        </w:rPr>
        <w:t>Conclusions</w:t>
      </w:r>
    </w:p>
    <w:p w14:paraId="6CB58221" w14:textId="77777777" w:rsidR="00867363" w:rsidRDefault="00867363" w:rsidP="00867363">
      <w:pPr>
        <w:pStyle w:val="BodyText"/>
        <w:rPr>
          <w:rFonts w:ascii="Times New Roman" w:hAnsi="Times New Roman" w:cs="Times New Roman"/>
          <w:i/>
          <w:sz w:val="24"/>
          <w:szCs w:val="24"/>
        </w:rPr>
      </w:pPr>
      <w:r>
        <w:rPr>
          <w:rFonts w:ascii="Times New Roman" w:hAnsi="Times New Roman" w:cs="Times New Roman"/>
          <w:i/>
          <w:sz w:val="24"/>
          <w:szCs w:val="24"/>
        </w:rPr>
        <w:t>A clear and transparent legal framework for the operation of EQAR-registered QA agencies is crucial in order to allow higher education institutions and quality assurance agencies to make full use of the existing opportunities for cross-border external quality assurance.</w:t>
      </w:r>
    </w:p>
    <w:p w14:paraId="0A4E14AB" w14:textId="77777777" w:rsidR="00867363" w:rsidRPr="00061E43" w:rsidRDefault="00867363" w:rsidP="00867363">
      <w:pPr>
        <w:pStyle w:val="BodyText"/>
        <w:rPr>
          <w:rFonts w:ascii="Times New Roman" w:hAnsi="Times New Roman" w:cs="Times New Roman"/>
          <w:i/>
          <w:sz w:val="24"/>
          <w:szCs w:val="24"/>
        </w:rPr>
      </w:pPr>
      <w:r w:rsidRPr="00061E43">
        <w:rPr>
          <w:rFonts w:ascii="Times New Roman" w:hAnsi="Times New Roman" w:cs="Times New Roman"/>
          <w:i/>
          <w:sz w:val="24"/>
          <w:szCs w:val="24"/>
        </w:rPr>
        <w:t>The ESG have served as a reference framework for agencies' cross-border work, and are considered suitable for that purpose by most.</w:t>
      </w:r>
    </w:p>
    <w:p w14:paraId="707B8E27" w14:textId="77777777" w:rsidR="00867363" w:rsidRPr="000F00DE" w:rsidRDefault="00867363" w:rsidP="00867363">
      <w:pPr>
        <w:pStyle w:val="BodyText"/>
        <w:rPr>
          <w:rFonts w:ascii="Times New Roman" w:hAnsi="Times New Roman" w:cs="Times New Roman"/>
          <w:i/>
          <w:sz w:val="24"/>
          <w:szCs w:val="24"/>
        </w:rPr>
      </w:pPr>
      <w:r w:rsidRPr="00061E43">
        <w:rPr>
          <w:rFonts w:ascii="Times New Roman" w:hAnsi="Times New Roman" w:cs="Times New Roman"/>
          <w:i/>
          <w:sz w:val="24"/>
          <w:szCs w:val="24"/>
        </w:rPr>
        <w:t xml:space="preserve">The revised ESG are expected to reflect and continue to serve that purpose, while also reflecting the </w:t>
      </w:r>
      <w:r w:rsidRPr="000F00DE">
        <w:rPr>
          <w:rFonts w:ascii="Times New Roman" w:hAnsi="Times New Roman" w:cs="Times New Roman"/>
          <w:i/>
          <w:sz w:val="24"/>
          <w:szCs w:val="24"/>
        </w:rPr>
        <w:t>additional, important responsibilities for both higher education institutions and quality assurance agencies that arise from working together across borders</w:t>
      </w:r>
      <w:r w:rsidRPr="00061E43">
        <w:rPr>
          <w:rFonts w:ascii="Times New Roman" w:hAnsi="Times New Roman" w:cs="Times New Roman"/>
          <w:i/>
          <w:sz w:val="24"/>
          <w:szCs w:val="24"/>
        </w:rPr>
        <w:t xml:space="preserve">. </w:t>
      </w:r>
      <w:r w:rsidRPr="000F00DE">
        <w:rPr>
          <w:rFonts w:ascii="Times New Roman" w:hAnsi="Times New Roman" w:cs="Times New Roman"/>
          <w:i/>
          <w:sz w:val="24"/>
          <w:szCs w:val="24"/>
        </w:rPr>
        <w:t>The revised ESG</w:t>
      </w:r>
      <w:r>
        <w:rPr>
          <w:rFonts w:ascii="Times New Roman" w:hAnsi="Times New Roman" w:cs="Times New Roman"/>
          <w:i/>
          <w:sz w:val="24"/>
          <w:szCs w:val="24"/>
        </w:rPr>
        <w:t xml:space="preserve"> thus</w:t>
      </w:r>
      <w:r w:rsidRPr="000F00DE">
        <w:rPr>
          <w:rFonts w:ascii="Times New Roman" w:hAnsi="Times New Roman" w:cs="Times New Roman"/>
          <w:i/>
          <w:sz w:val="24"/>
          <w:szCs w:val="24"/>
        </w:rPr>
        <w:t xml:space="preserve"> underline agencies' responsibility for assuring the quality and integrity of their activities</w:t>
      </w:r>
      <w:r w:rsidRPr="000F00DE">
        <w:rPr>
          <w:rStyle w:val="FootnoteReference"/>
          <w:rFonts w:ascii="Times New Roman" w:hAnsi="Times New Roman" w:cs="Times New Roman"/>
          <w:i/>
          <w:sz w:val="24"/>
          <w:szCs w:val="24"/>
        </w:rPr>
        <w:footnoteReference w:id="42"/>
      </w:r>
      <w:r w:rsidRPr="000F00DE">
        <w:rPr>
          <w:rFonts w:ascii="Times New Roman" w:hAnsi="Times New Roman" w:cs="Times New Roman"/>
          <w:i/>
          <w:sz w:val="24"/>
          <w:szCs w:val="24"/>
        </w:rPr>
        <w:t>.</w:t>
      </w:r>
    </w:p>
    <w:p w14:paraId="4F096A8C" w14:textId="77777777" w:rsidR="00867363" w:rsidRDefault="00867363" w:rsidP="00867363">
      <w:pPr>
        <w:pStyle w:val="BodyText"/>
        <w:rPr>
          <w:rFonts w:ascii="Times New Roman" w:hAnsi="Times New Roman" w:cs="Times New Roman"/>
          <w:i/>
          <w:sz w:val="24"/>
          <w:szCs w:val="24"/>
        </w:rPr>
      </w:pPr>
      <w:r w:rsidRPr="000F00DE">
        <w:rPr>
          <w:rFonts w:ascii="Times New Roman" w:hAnsi="Times New Roman" w:cs="Times New Roman"/>
          <w:i/>
          <w:sz w:val="24"/>
          <w:szCs w:val="24"/>
        </w:rPr>
        <w:t>Likewise, robust arrangements by EQAR to continuously monitor registered agencies' activities across borders are crucial as a basis for trust.</w:t>
      </w:r>
    </w:p>
    <w:p w14:paraId="37496AC8" w14:textId="77777777" w:rsidR="00867363" w:rsidRDefault="00867363" w:rsidP="00867363">
      <w:pPr>
        <w:pStyle w:val="BodyText"/>
        <w:rPr>
          <w:rFonts w:ascii="Times New Roman" w:hAnsi="Times New Roman" w:cs="Times New Roman"/>
          <w:i/>
          <w:sz w:val="24"/>
          <w:szCs w:val="24"/>
        </w:rPr>
      </w:pPr>
      <w:r w:rsidRPr="00061E43">
        <w:rPr>
          <w:rFonts w:ascii="Times New Roman" w:hAnsi="Times New Roman" w:cs="Times New Roman"/>
          <w:i/>
          <w:sz w:val="24"/>
          <w:szCs w:val="24"/>
        </w:rPr>
        <w:t>The future European Approach for Quality Assurance of Joint Programmes will be an additional, specific reference framework for that specific case</w:t>
      </w:r>
      <w:r>
        <w:rPr>
          <w:rFonts w:ascii="Times New Roman" w:hAnsi="Times New Roman" w:cs="Times New Roman"/>
          <w:i/>
          <w:sz w:val="24"/>
          <w:szCs w:val="24"/>
        </w:rPr>
        <w:t>, and thus contributes to strengthening the EHEA framework for cross-border quality assurance.</w:t>
      </w:r>
    </w:p>
    <w:p w14:paraId="1692400B" w14:textId="77777777" w:rsidR="00867363" w:rsidRDefault="00867363" w:rsidP="00867363">
      <w:pPr>
        <w:pStyle w:val="BodyText"/>
        <w:rPr>
          <w:rFonts w:ascii="DINPro-Regular" w:hAnsi="DINPro-Regular" w:cs="DINPro-Regular"/>
          <w:szCs w:val="20"/>
          <w:lang w:val="en-GB"/>
        </w:rPr>
      </w:pPr>
      <w:r>
        <w:rPr>
          <w:rFonts w:ascii="Times New Roman" w:hAnsi="Times New Roman" w:cs="Times New Roman"/>
          <w:i/>
          <w:sz w:val="24"/>
          <w:szCs w:val="24"/>
        </w:rPr>
        <w:t>Easily-accessible information on quality assurance agencies, their expertise and methodologies is crucial to allow higher education institutions to make an informed choice of a suitable agency.</w:t>
      </w:r>
    </w:p>
    <w:p w14:paraId="03AFA11E" w14:textId="77777777" w:rsidR="00867363" w:rsidRDefault="00867363" w:rsidP="00867363">
      <w:pPr>
        <w:pStyle w:val="BodyText"/>
      </w:pPr>
    </w:p>
    <w:p w14:paraId="03C4BB71" w14:textId="77777777" w:rsidR="00867363" w:rsidRDefault="00867363" w:rsidP="00B40521">
      <w:pPr>
        <w:pStyle w:val="Heading3"/>
        <w:numPr>
          <w:ilvl w:val="2"/>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Times New Roman" w:hAnsi="Times New Roman" w:cs="Times New Roman"/>
          <w:sz w:val="24"/>
          <w:szCs w:val="24"/>
        </w:rPr>
      </w:pPr>
      <w:r>
        <w:rPr>
          <w:rFonts w:ascii="Times New Roman" w:hAnsi="Times New Roman" w:cs="Times New Roman"/>
          <w:b/>
          <w:i/>
          <w:sz w:val="24"/>
          <w:szCs w:val="24"/>
        </w:rPr>
        <w:t>Recommendations</w:t>
      </w:r>
    </w:p>
    <w:p w14:paraId="2D5792BA" w14:textId="77777777" w:rsidR="00867363" w:rsidRDefault="00867363" w:rsidP="00867363">
      <w:pPr>
        <w:pStyle w:val="BodyText"/>
        <w:rPr>
          <w:rFonts w:ascii="Times New Roman" w:hAnsi="Times New Roman" w:cs="Times New Roman"/>
          <w:sz w:val="24"/>
          <w:szCs w:val="24"/>
        </w:rPr>
      </w:pPr>
    </w:p>
    <w:p w14:paraId="13A4B7A6" w14:textId="77777777" w:rsidR="00867363" w:rsidRDefault="00867363"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Times New Roman" w:hAnsi="Times New Roman" w:cs="Times New Roman"/>
          <w:i/>
          <w:sz w:val="24"/>
          <w:szCs w:val="24"/>
        </w:rPr>
      </w:pPr>
      <w:r>
        <w:rPr>
          <w:rFonts w:ascii="Times New Roman" w:hAnsi="Times New Roman" w:cs="Times New Roman"/>
          <w:i/>
          <w:sz w:val="24"/>
          <w:szCs w:val="24"/>
        </w:rPr>
        <w:t>EHEA members should undertake further action, within their respective education systems, to implement the commitments made in the Bucharest Communiqué, in particular:</w:t>
      </w:r>
    </w:p>
    <w:p w14:paraId="3126191F" w14:textId="77777777" w:rsidR="00867363" w:rsidRDefault="00867363"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ind w:left="1080"/>
        <w:rPr>
          <w:rFonts w:ascii="Times New Roman" w:hAnsi="Times New Roman" w:cs="Times New Roman"/>
          <w:i/>
          <w:sz w:val="24"/>
          <w:szCs w:val="24"/>
        </w:rPr>
      </w:pPr>
      <w:r>
        <w:rPr>
          <w:rFonts w:ascii="Times New Roman" w:hAnsi="Times New Roman" w:cs="Times New Roman"/>
          <w:i/>
          <w:sz w:val="24"/>
          <w:szCs w:val="24"/>
        </w:rPr>
        <w:t>Provide clear and transparent information (in English) on the requirements under which EQAR-registered agencies may operate, the criteria to be used and the responsibilities vis-à-vis national bodies.</w:t>
      </w:r>
    </w:p>
    <w:p w14:paraId="1D9E8E7C" w14:textId="77777777" w:rsidR="00867363" w:rsidRDefault="00867363"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ind w:left="1080"/>
        <w:rPr>
          <w:rFonts w:ascii="Times New Roman" w:hAnsi="Times New Roman" w:cs="Times New Roman"/>
          <w:i/>
          <w:sz w:val="24"/>
          <w:szCs w:val="24"/>
        </w:rPr>
      </w:pPr>
      <w:r>
        <w:rPr>
          <w:rFonts w:ascii="Times New Roman" w:hAnsi="Times New Roman" w:cs="Times New Roman"/>
          <w:i/>
          <w:sz w:val="24"/>
          <w:szCs w:val="24"/>
        </w:rPr>
        <w:t>Allow agencies that are registered in EQAR and, thus, have demonstrated that they work in line with the European Standards and Guidelines (ESG) to operate throughout the EHEA, in compliance with the respective national requirements.</w:t>
      </w:r>
    </w:p>
    <w:p w14:paraId="66CCE4D1" w14:textId="77777777" w:rsidR="00867363" w:rsidRDefault="00867363" w:rsidP="00B40521">
      <w:pPr>
        <w:pStyle w:val="BodyText"/>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ind w:left="1080"/>
        <w:rPr>
          <w:rFonts w:ascii="DINPro-Regular" w:hAnsi="DINPro-Regular" w:cs="DINPro-Regular"/>
          <w:szCs w:val="20"/>
          <w:lang w:val="en-GB"/>
        </w:rPr>
      </w:pPr>
      <w:r>
        <w:rPr>
          <w:rFonts w:ascii="Times New Roman" w:hAnsi="Times New Roman" w:cs="Times New Roman"/>
          <w:i/>
          <w:iCs/>
          <w:sz w:val="24"/>
          <w:szCs w:val="24"/>
        </w:rPr>
        <w:lastRenderedPageBreak/>
        <w:t>QA agencies that seek to offer accreditation, evaluation or audit to higher education institutions in different countries should establish clear and transparent processes and criteria for their cross-border work.</w:t>
      </w:r>
    </w:p>
    <w:p w14:paraId="5D73017D" w14:textId="77777777" w:rsidR="00867363" w:rsidRPr="003B23C3" w:rsidRDefault="00867363" w:rsidP="00867363">
      <w:pPr>
        <w:pStyle w:val="BodyText"/>
        <w:rPr>
          <w:rFonts w:ascii="Times New Roman"/>
          <w:sz w:val="24"/>
          <w:szCs w:val="24"/>
          <w:lang w:val="en-GB"/>
        </w:rPr>
      </w:pPr>
    </w:p>
    <w:p w14:paraId="200CF0E7" w14:textId="77777777" w:rsidR="00867363" w:rsidRPr="00012578" w:rsidRDefault="00867363" w:rsidP="00867363">
      <w:pPr>
        <w:rPr>
          <w:lang w:val="en-GB"/>
        </w:rPr>
      </w:pPr>
    </w:p>
    <w:p w14:paraId="2B829540" w14:textId="77777777" w:rsidR="00867363" w:rsidRPr="00A17E2C" w:rsidRDefault="00867363" w:rsidP="00867363">
      <w:pPr>
        <w:rPr>
          <w:lang w:val="en-GB"/>
        </w:rPr>
      </w:pPr>
    </w:p>
    <w:p w14:paraId="4BA48F17" w14:textId="77777777" w:rsidR="00867363" w:rsidRPr="00867363" w:rsidRDefault="00867363" w:rsidP="00A90189">
      <w:pPr>
        <w:pStyle w:val="NoSpacing"/>
        <w:rPr>
          <w:lang w:val="en-GB"/>
        </w:rPr>
      </w:pPr>
    </w:p>
    <w:p w14:paraId="03125334" w14:textId="77777777" w:rsidR="00080625" w:rsidRDefault="00080625" w:rsidP="00080625">
      <w:pPr>
        <w:pStyle w:val="Body"/>
      </w:pPr>
    </w:p>
    <w:p w14:paraId="710EB04E" w14:textId="77777777" w:rsidR="00080625" w:rsidRDefault="00080625" w:rsidP="00080625">
      <w:pPr>
        <w:pStyle w:val="Body"/>
        <w:rPr>
          <w:rFonts w:ascii="Times New Roman Bold" w:eastAsia="Times New Roman Bold" w:hAnsi="Times New Roman Bold" w:cs="Times New Roman Bold"/>
          <w:caps/>
        </w:rPr>
      </w:pPr>
      <w:r>
        <w:rPr>
          <w:rFonts w:ascii="Times New Roman Bold"/>
          <w:caps/>
        </w:rPr>
        <w:t>IV.2</w:t>
      </w:r>
      <w:r>
        <w:rPr>
          <w:rFonts w:ascii="Times New Roman Bold"/>
          <w:caps/>
        </w:rPr>
        <w:tab/>
        <w:t>Qualifications frameworks</w:t>
      </w:r>
    </w:p>
    <w:p w14:paraId="5B8E85F1" w14:textId="77777777" w:rsidR="00140077" w:rsidRDefault="00140077" w:rsidP="00080625">
      <w:pPr>
        <w:pStyle w:val="Body"/>
        <w:rPr>
          <w:b/>
          <w:bCs/>
          <w:iCs/>
        </w:rPr>
      </w:pPr>
    </w:p>
    <w:p w14:paraId="05B544CC" w14:textId="77777777" w:rsidR="00080625" w:rsidRDefault="00080625" w:rsidP="00140077">
      <w:pPr>
        <w:pStyle w:val="Body"/>
        <w:jc w:val="both"/>
      </w:pPr>
      <w:r w:rsidRPr="00993900">
        <w:rPr>
          <w:b/>
          <w:bCs/>
          <w:iCs/>
        </w:rPr>
        <w:t>IV.2.1</w:t>
      </w:r>
      <w:r w:rsidRPr="00993900">
        <w:rPr>
          <w:b/>
          <w:bCs/>
          <w:iCs/>
        </w:rPr>
        <w:tab/>
        <w:t>The place of short cycle qualifications in the QF-EHEA</w:t>
      </w:r>
      <w:r>
        <w:t xml:space="preserve"> (ToR no. 1 and the 2012 report by the Working Group on Qualifications Frameworks)</w:t>
      </w:r>
    </w:p>
    <w:p w14:paraId="161CFC36" w14:textId="77777777" w:rsidR="00140077" w:rsidRDefault="00140077" w:rsidP="00080625">
      <w:pPr>
        <w:pStyle w:val="Body"/>
      </w:pPr>
    </w:p>
    <w:p w14:paraId="71045CA3" w14:textId="77777777" w:rsidR="00080625" w:rsidRDefault="00080625" w:rsidP="00140077">
      <w:pPr>
        <w:pStyle w:val="Body"/>
        <w:jc w:val="both"/>
      </w:pPr>
      <w:r>
        <w:t>When Ministers adopted the QF-EHEA in Bergen in 2005, they acknowledged that countries may include short cycle qualifications within the first cycle in their national frameworks but declined to make specific provision for short cycle qualifications within the QF-EHEA:</w:t>
      </w:r>
    </w:p>
    <w:p w14:paraId="4F62BBD2" w14:textId="77777777" w:rsidR="00140077" w:rsidRDefault="00140077" w:rsidP="00080625">
      <w:pPr>
        <w:pStyle w:val="Body"/>
      </w:pPr>
    </w:p>
    <w:p w14:paraId="19CC42A1" w14:textId="77777777" w:rsidR="00080625" w:rsidRPr="00150FD7" w:rsidRDefault="00080625" w:rsidP="00150FD7">
      <w:pPr>
        <w:pStyle w:val="NoSpacing"/>
        <w:ind w:left="720"/>
        <w:jc w:val="both"/>
        <w:rPr>
          <w:sz w:val="20"/>
          <w:szCs w:val="20"/>
        </w:rPr>
      </w:pPr>
      <w:r w:rsidRPr="00150FD7">
        <w:rPr>
          <w:sz w:val="20"/>
          <w:szCs w:val="20"/>
        </w:rPr>
        <w:t>We adopt the overarching framework for qualifications in the EHEA, comprising three cycles (including, within national contexts, the possibility of intermediate qualifications), generic descriptors for each cycle based on learning outcomes and competences, and credit ranges in the first and second cycles. (Bergen Communiqué)</w:t>
      </w:r>
    </w:p>
    <w:p w14:paraId="4C24DE13" w14:textId="77777777" w:rsidR="00080625" w:rsidRDefault="00080625" w:rsidP="00150FD7">
      <w:pPr>
        <w:pStyle w:val="Body"/>
        <w:jc w:val="both"/>
        <w:rPr>
          <w:sz w:val="22"/>
          <w:szCs w:val="22"/>
        </w:rPr>
      </w:pPr>
    </w:p>
    <w:p w14:paraId="3D685299" w14:textId="77777777" w:rsidR="00080625" w:rsidRDefault="00080625" w:rsidP="00150FD7">
      <w:pPr>
        <w:pStyle w:val="Body"/>
        <w:jc w:val="both"/>
      </w:pPr>
      <w:r>
        <w:t>This was reiterated as late as in 2009:</w:t>
      </w:r>
    </w:p>
    <w:p w14:paraId="66358D4C" w14:textId="77777777" w:rsidR="00150FD7" w:rsidRDefault="00150FD7" w:rsidP="00150FD7">
      <w:pPr>
        <w:pStyle w:val="NoSpacing"/>
        <w:jc w:val="both"/>
      </w:pPr>
    </w:p>
    <w:p w14:paraId="2F7A9505" w14:textId="77777777" w:rsidR="00080625" w:rsidRPr="00150FD7" w:rsidRDefault="00080625" w:rsidP="00150FD7">
      <w:pPr>
        <w:pStyle w:val="NoSpacing"/>
        <w:ind w:left="720"/>
        <w:jc w:val="both"/>
        <w:rPr>
          <w:sz w:val="20"/>
          <w:szCs w:val="20"/>
        </w:rPr>
      </w:pPr>
      <w:r w:rsidRPr="00150FD7">
        <w:rPr>
          <w:sz w:val="20"/>
          <w:szCs w:val="20"/>
        </w:rPr>
        <w:t>Within national contexts, intermediate qualifications within the first cycle can be a means of widening access to higher education. (Leuven/Louvain-la-Neuve Communiqué)</w:t>
      </w:r>
    </w:p>
    <w:p w14:paraId="0CB3B6B0" w14:textId="77777777" w:rsidR="00080625" w:rsidRDefault="00080625" w:rsidP="00150FD7">
      <w:pPr>
        <w:pStyle w:val="Body"/>
        <w:jc w:val="both"/>
        <w:rPr>
          <w:sz w:val="22"/>
          <w:szCs w:val="22"/>
        </w:rPr>
      </w:pPr>
    </w:p>
    <w:p w14:paraId="6574378E" w14:textId="77777777" w:rsidR="00080625" w:rsidRDefault="00080625" w:rsidP="00150FD7">
      <w:pPr>
        <w:pStyle w:val="Body"/>
        <w:jc w:val="both"/>
      </w:pPr>
      <w:r>
        <w:t>In 2012, Ministers recognized that the diversity of qualifications had evolved in relation to the situation in 2005 by stating:</w:t>
      </w:r>
    </w:p>
    <w:p w14:paraId="36843693" w14:textId="77777777" w:rsidR="00080625" w:rsidRDefault="00080625" w:rsidP="00150FD7">
      <w:pPr>
        <w:pStyle w:val="Body"/>
        <w:jc w:val="both"/>
        <w:rPr>
          <w:rFonts w:ascii="Arial" w:eastAsia="Arial" w:hAnsi="Arial" w:cs="Arial"/>
        </w:rPr>
      </w:pPr>
    </w:p>
    <w:p w14:paraId="092E8623" w14:textId="77777777" w:rsidR="00080625" w:rsidRDefault="00080625" w:rsidP="00150FD7">
      <w:pPr>
        <w:pStyle w:val="NoSpacing"/>
        <w:ind w:left="720"/>
        <w:jc w:val="both"/>
        <w:rPr>
          <w:sz w:val="20"/>
          <w:szCs w:val="20"/>
        </w:rPr>
      </w:pPr>
      <w:r w:rsidRPr="00150FD7">
        <w:rPr>
          <w:sz w:val="20"/>
          <w:szCs w:val="20"/>
        </w:rPr>
        <w:t>We further commit to referencing first, second and third cycle qualifications against EQF levels 6, 7 and 8 respectively, or against equivalent levels for countries not bound by the EQF. We will explore how the QF-EHEA could take account of short cycle qualifications (EQF level 5) and encourage countries to use the QF-EHEA for referencing these qualifications in national contexts where they exist. (Bucharest Communiqué)</w:t>
      </w:r>
    </w:p>
    <w:p w14:paraId="58DCB34C" w14:textId="77777777" w:rsidR="00150FD7" w:rsidRPr="00150FD7" w:rsidRDefault="00150FD7" w:rsidP="00150FD7">
      <w:pPr>
        <w:pStyle w:val="NoSpacing"/>
        <w:ind w:left="720"/>
        <w:rPr>
          <w:sz w:val="20"/>
          <w:szCs w:val="20"/>
        </w:rPr>
      </w:pPr>
    </w:p>
    <w:p w14:paraId="25D7487F" w14:textId="77777777" w:rsidR="00080625" w:rsidRDefault="00080625" w:rsidP="00150FD7">
      <w:pPr>
        <w:pStyle w:val="Body"/>
        <w:jc w:val="both"/>
      </w:pPr>
      <w:r>
        <w:t xml:space="preserve">One important development since 2005 is that short cycle programs have gained prominence in many countries and the EQF, adopted in 2008, includes a level 5, which is normally the level to which short cycle qualifications, whether in higher education or VET, are referenced. While some qualifications referenced against EQF level 5 are not higher education qualifications, many are, and it is worth noting that there are also qualifications at first and second degree level (EQF levels 6 and 7) that are not considered higher education qualifications in the systems to which they belong. It therefore seems incongruent that the QF-EHEA does not acknowledge the widespread existence of short cycle degrees in national systems.  </w:t>
      </w:r>
    </w:p>
    <w:p w14:paraId="4F04FA77" w14:textId="77777777" w:rsidR="00150FD7" w:rsidRDefault="00150FD7" w:rsidP="00150FD7">
      <w:pPr>
        <w:pStyle w:val="Body"/>
        <w:jc w:val="both"/>
      </w:pPr>
    </w:p>
    <w:p w14:paraId="0D098844" w14:textId="77777777" w:rsidR="00080625" w:rsidRDefault="00080625" w:rsidP="00150FD7">
      <w:pPr>
        <w:pStyle w:val="Body"/>
        <w:jc w:val="both"/>
      </w:pPr>
      <w:r>
        <w:t xml:space="preserve">It is also worth underlining that national education systems may include levels other than those included in the overarching frameworks as long as national frameworks are self-certified and referenced against the QF-EHEA and the EQF. For example, while the EQF comprises 8 levels, </w:t>
      </w:r>
      <w:r>
        <w:lastRenderedPageBreak/>
        <w:t>the number of levels in national frameworks currently ranges from 7 to 12. Therefore, including short cycle qualifications in the QF-EHEA will in no way oblige countries to include such qualifications in their national frameworks but it would give explicit recognition to the fact that many national frameworks do include short cycle qualifications.</w:t>
      </w:r>
    </w:p>
    <w:p w14:paraId="41BD54CC" w14:textId="77777777" w:rsidR="00080625" w:rsidRDefault="00080625" w:rsidP="00080625">
      <w:pPr>
        <w:pStyle w:val="Body"/>
      </w:pPr>
    </w:p>
    <w:p w14:paraId="176AE383" w14:textId="77777777" w:rsidR="00080625" w:rsidRDefault="00080625" w:rsidP="00080625">
      <w:pPr>
        <w:pStyle w:val="Body"/>
        <w:rPr>
          <w:b/>
          <w:bCs/>
          <w:i/>
          <w:iCs/>
        </w:rPr>
      </w:pPr>
      <w:r w:rsidRPr="003B23C3">
        <w:rPr>
          <w:b/>
          <w:bCs/>
          <w:i/>
          <w:iCs/>
        </w:rPr>
        <w:t>Recommendations</w:t>
      </w:r>
    </w:p>
    <w:p w14:paraId="7AA6E46A" w14:textId="77777777" w:rsidR="00150FD7" w:rsidRDefault="00150FD7" w:rsidP="00080625">
      <w:pPr>
        <w:pStyle w:val="Body"/>
        <w:rPr>
          <w:i/>
          <w:iCs/>
          <w:color w:val="auto"/>
        </w:rPr>
      </w:pPr>
    </w:p>
    <w:p w14:paraId="6F95AFD0" w14:textId="77777777" w:rsidR="00080625" w:rsidRPr="00993900" w:rsidRDefault="00080625" w:rsidP="00150FD7">
      <w:pPr>
        <w:pStyle w:val="Body"/>
        <w:jc w:val="both"/>
        <w:rPr>
          <w:color w:val="auto"/>
          <w:u w:color="FF0000"/>
        </w:rPr>
      </w:pPr>
      <w:r w:rsidRPr="00D45BF3">
        <w:rPr>
          <w:i/>
          <w:iCs/>
          <w:color w:val="auto"/>
        </w:rPr>
        <w:t xml:space="preserve">At their 2015 meeting, Ministers should decide </w:t>
      </w:r>
      <w:r w:rsidRPr="00993900">
        <w:rPr>
          <w:iCs/>
          <w:color w:val="auto"/>
        </w:rPr>
        <w:t>to include short cycle qualifications in the overarching framework of qualifications of the European Higher Education Area (QF-EHEA) based on</w:t>
      </w:r>
      <w:r w:rsidRPr="00993900">
        <w:rPr>
          <w:color w:val="auto"/>
        </w:rPr>
        <w:t xml:space="preserve"> </w:t>
      </w:r>
      <w:r w:rsidRPr="00993900">
        <w:rPr>
          <w:color w:val="auto"/>
          <w:u w:color="FF0000"/>
        </w:rPr>
        <w:t>the Dublin descriptor</w:t>
      </w:r>
      <w:r w:rsidRPr="00993900">
        <w:rPr>
          <w:rFonts w:eastAsia="Times New Roman" w:hAnsi="Times New Roman" w:cs="Times New Roman"/>
          <w:color w:val="auto"/>
          <w:u w:color="FF0000"/>
          <w:vertAlign w:val="superscript"/>
        </w:rPr>
        <w:footnoteReference w:id="43"/>
      </w:r>
      <w:r w:rsidRPr="00993900">
        <w:rPr>
          <w:color w:val="auto"/>
          <w:u w:color="FF0000"/>
        </w:rPr>
        <w:t xml:space="preserve"> for short cycle qualifications and quality assured according to the ESG</w:t>
      </w:r>
      <w:r w:rsidR="00C817EA">
        <w:rPr>
          <w:color w:val="auto"/>
          <w:u w:color="FF0000"/>
        </w:rPr>
        <w:t xml:space="preserve"> in order to give explicit recognition to the fact that many national frameworks now include short cycle qualifications but without an obligation on countries to include such qualifications in their NQF</w:t>
      </w:r>
      <w:r w:rsidRPr="00993900">
        <w:rPr>
          <w:color w:val="auto"/>
          <w:u w:color="FF0000"/>
        </w:rPr>
        <w:t>.</w:t>
      </w:r>
    </w:p>
    <w:p w14:paraId="5C86C1C3" w14:textId="77777777" w:rsidR="00080625" w:rsidRDefault="00080625" w:rsidP="00150FD7">
      <w:pPr>
        <w:pStyle w:val="Body"/>
        <w:jc w:val="both"/>
        <w:rPr>
          <w:color w:val="FF0000"/>
          <w:u w:color="FF0000"/>
        </w:rPr>
      </w:pPr>
    </w:p>
    <w:p w14:paraId="38C431C7" w14:textId="77777777" w:rsidR="00080625" w:rsidRDefault="00080625" w:rsidP="00150FD7">
      <w:pPr>
        <w:pStyle w:val="Body"/>
        <w:jc w:val="both"/>
      </w:pPr>
      <w:r w:rsidRPr="00993900">
        <w:rPr>
          <w:b/>
          <w:bCs/>
          <w:iCs/>
        </w:rPr>
        <w:t>IV.2.2</w:t>
      </w:r>
      <w:r w:rsidRPr="00993900">
        <w:rPr>
          <w:b/>
          <w:bCs/>
          <w:iCs/>
        </w:rPr>
        <w:tab/>
      </w:r>
      <w:r>
        <w:rPr>
          <w:rFonts w:ascii="Times New Roman Bold"/>
        </w:rPr>
        <w:t>Referencing of access qualifications</w:t>
      </w:r>
      <w:r>
        <w:t xml:space="preserve"> (ToR no. 11 and the 2012 report by the Working Group on Qualifications Frameworks)</w:t>
      </w:r>
    </w:p>
    <w:p w14:paraId="59B67443" w14:textId="77777777" w:rsidR="00150FD7" w:rsidRDefault="00150FD7" w:rsidP="00150FD7">
      <w:pPr>
        <w:pStyle w:val="Body"/>
        <w:jc w:val="both"/>
      </w:pPr>
    </w:p>
    <w:p w14:paraId="4797076E" w14:textId="77777777" w:rsidR="00080625" w:rsidRDefault="00080625" w:rsidP="00150FD7">
      <w:pPr>
        <w:pStyle w:val="NoSpacing"/>
      </w:pPr>
      <w:r>
        <w:t>The referencing of school leaving qualifications giving access to higher education has been identified as a major challenge to the usefulness of the overarching frameworks.  This is recognized in the Bucharest Communiqu</w:t>
      </w:r>
      <w:r>
        <w:rPr>
          <w:rFonts w:ascii="Arial Unicode MS"/>
        </w:rPr>
        <w:t>é</w:t>
      </w:r>
      <w:r>
        <w:t>:</w:t>
      </w:r>
    </w:p>
    <w:p w14:paraId="0804DFAE" w14:textId="77777777" w:rsidR="00080625" w:rsidRDefault="00080625" w:rsidP="00150FD7">
      <w:pPr>
        <w:pStyle w:val="Body"/>
        <w:jc w:val="both"/>
        <w:rPr>
          <w:rFonts w:ascii="Arial" w:eastAsia="Arial" w:hAnsi="Arial" w:cs="Arial"/>
        </w:rPr>
      </w:pPr>
    </w:p>
    <w:p w14:paraId="3E05CC16" w14:textId="77777777" w:rsidR="00080625" w:rsidRDefault="00080625" w:rsidP="00150FD7">
      <w:pPr>
        <w:pStyle w:val="Body"/>
        <w:ind w:left="567" w:right="571"/>
        <w:jc w:val="both"/>
        <w:rPr>
          <w:sz w:val="22"/>
          <w:szCs w:val="22"/>
        </w:rPr>
      </w:pPr>
      <w:r>
        <w:rPr>
          <w:sz w:val="22"/>
          <w:szCs w:val="22"/>
        </w:rPr>
        <w:t>A common understanding of the levels of our qualifications frameworks is essential to recognition for both academic and professional purposes. School leaving qualifications giving access to higher education will be considered as being of European Qualifications Framework (EQF) level 4, or equivalent levels for countries not bound by the EQF, where they are included in National Qualifications Frameworks.</w:t>
      </w:r>
    </w:p>
    <w:p w14:paraId="7F733278" w14:textId="77777777" w:rsidR="00080625" w:rsidRDefault="00080625" w:rsidP="00080625">
      <w:pPr>
        <w:pStyle w:val="Body"/>
        <w:rPr>
          <w:sz w:val="22"/>
          <w:szCs w:val="22"/>
        </w:rPr>
      </w:pPr>
    </w:p>
    <w:p w14:paraId="01641491" w14:textId="77777777" w:rsidR="00080625" w:rsidRDefault="00080625" w:rsidP="00150FD7">
      <w:pPr>
        <w:pStyle w:val="NoSpacing"/>
        <w:jc w:val="both"/>
      </w:pPr>
      <w:r>
        <w:t xml:space="preserve">This statement was made in the light of discussions in some countries about whether secondary school leaving qualifications giving access to higher education should be referenced against EQF levels 4 or 5. This is an issue of great importance to the future development of the overarching qualifications frameworks. As pointed out in the 2012 report by the Working Group on Qualifications Frameworks, if some school leaving qualifications are referenced against EQF level 5, and hence as being within the first cycle qualifications of the QF-EHEA, the logical implications would be that school leaving qualifications from countries in which they are referenced against level 4 would not be fully recognized for access and, conversely, that countries referencing their access qualifications against EQF level 5 would expect these to be recognized for credits toward a first degree as they would </w:t>
      </w:r>
      <w:r>
        <w:rPr>
          <w:i/>
          <w:iCs/>
        </w:rPr>
        <w:t>de facto</w:t>
      </w:r>
      <w:r>
        <w:t xml:space="preserve"> be considered to be at the level of short cycle qualifications.  </w:t>
      </w:r>
    </w:p>
    <w:p w14:paraId="7775B299" w14:textId="77777777" w:rsidR="00150FD7" w:rsidRDefault="00150FD7" w:rsidP="00150FD7">
      <w:pPr>
        <w:pStyle w:val="NoSpacing"/>
        <w:jc w:val="both"/>
      </w:pPr>
    </w:p>
    <w:p w14:paraId="79519310" w14:textId="77777777" w:rsidR="00080625" w:rsidRDefault="00080625" w:rsidP="00150FD7">
      <w:pPr>
        <w:pStyle w:val="NoSpacing"/>
        <w:jc w:val="both"/>
      </w:pPr>
      <w:r>
        <w:t xml:space="preserve">The SRWG considered making a recommendation on the referencing of access qualifications, since this referencing has clear implications for the QF-EHEA and, beyond that, for facilitating </w:t>
      </w:r>
      <w:r>
        <w:rPr>
          <w:rFonts w:ascii="Arial Unicode MS"/>
        </w:rPr>
        <w:t>–</w:t>
      </w:r>
      <w:r>
        <w:rPr>
          <w:rFonts w:ascii="Arial Unicode MS"/>
        </w:rPr>
        <w:t xml:space="preserve"> </w:t>
      </w:r>
      <w:r>
        <w:t xml:space="preserve">or not </w:t>
      </w:r>
      <w:r>
        <w:rPr>
          <w:rFonts w:ascii="Arial Unicode MS"/>
        </w:rPr>
        <w:t>–</w:t>
      </w:r>
      <w:r>
        <w:rPr>
          <w:rFonts w:ascii="Arial Unicode MS"/>
        </w:rPr>
        <w:t xml:space="preserve"> </w:t>
      </w:r>
      <w:r>
        <w:t xml:space="preserve">access to higher education throughout the EHEA. However, there now seems to be a constructive dialogue on the issue within the EQF as well as the countries in which the issue is </w:t>
      </w:r>
      <w:r>
        <w:lastRenderedPageBreak/>
        <w:t xml:space="preserve">salient in the domestic debate and it is important not to make recommendations that might upset this dialogue.  </w:t>
      </w:r>
    </w:p>
    <w:p w14:paraId="4983BF61" w14:textId="77777777" w:rsidR="00150FD7" w:rsidRDefault="00150FD7" w:rsidP="00080625">
      <w:pPr>
        <w:pStyle w:val="Body"/>
        <w:rPr>
          <w:b/>
          <w:bCs/>
          <w:i/>
          <w:iCs/>
        </w:rPr>
      </w:pPr>
    </w:p>
    <w:p w14:paraId="5E51BBBC" w14:textId="77777777" w:rsidR="00FE6317" w:rsidRDefault="00FE6317">
      <w:pPr>
        <w:pBdr>
          <w:top w:val="none" w:sz="0" w:space="0" w:color="auto"/>
          <w:left w:val="none" w:sz="0" w:space="0" w:color="auto"/>
          <w:bottom w:val="none" w:sz="0" w:space="0" w:color="auto"/>
          <w:right w:val="none" w:sz="0" w:space="0" w:color="auto"/>
          <w:between w:val="none" w:sz="0" w:space="0" w:color="auto"/>
          <w:bar w:val="none" w:sz="0" w:color="auto"/>
        </w:pBdr>
        <w:rPr>
          <w:rFonts w:hAnsi="Arial Unicode MS" w:cs="Arial Unicode MS"/>
          <w:b/>
          <w:bCs/>
          <w:i/>
          <w:iCs/>
          <w:color w:val="000000"/>
          <w:u w:color="000000"/>
        </w:rPr>
      </w:pPr>
    </w:p>
    <w:p w14:paraId="009C10CA" w14:textId="77777777" w:rsidR="00080625" w:rsidRDefault="00080625" w:rsidP="00080625">
      <w:pPr>
        <w:pStyle w:val="Body"/>
        <w:rPr>
          <w:b/>
          <w:bCs/>
          <w:i/>
          <w:iCs/>
        </w:rPr>
      </w:pPr>
      <w:r w:rsidRPr="00B43EFD">
        <w:rPr>
          <w:b/>
          <w:bCs/>
          <w:i/>
          <w:iCs/>
        </w:rPr>
        <w:t>Recommendation</w:t>
      </w:r>
    </w:p>
    <w:p w14:paraId="7E3CC1A9" w14:textId="77777777" w:rsidR="00150FD7" w:rsidRDefault="00150FD7" w:rsidP="00080625">
      <w:pPr>
        <w:pStyle w:val="Body"/>
        <w:rPr>
          <w:iCs/>
        </w:rPr>
      </w:pPr>
    </w:p>
    <w:p w14:paraId="7BDE7E02" w14:textId="77777777" w:rsidR="00080625" w:rsidRPr="00993900" w:rsidRDefault="00080625" w:rsidP="00150FD7">
      <w:pPr>
        <w:pStyle w:val="Body"/>
        <w:jc w:val="both"/>
        <w:rPr>
          <w:iCs/>
        </w:rPr>
      </w:pPr>
      <w:r w:rsidRPr="00993900">
        <w:rPr>
          <w:iCs/>
        </w:rPr>
        <w:t xml:space="preserve">In view of the ongoing discussions at national level in some EHEA members, the SRWG has chosen to reserve judgment but recommends that the issue be on the structural reforms agenda of the EHEA also beyond 2015. </w:t>
      </w:r>
    </w:p>
    <w:p w14:paraId="219503A5" w14:textId="77777777" w:rsidR="00080625" w:rsidRDefault="00080625" w:rsidP="00080625">
      <w:pPr>
        <w:pStyle w:val="Body"/>
        <w:rPr>
          <w:i/>
          <w:iCs/>
        </w:rPr>
      </w:pPr>
    </w:p>
    <w:p w14:paraId="6CB9A096" w14:textId="77777777" w:rsidR="00080625" w:rsidRDefault="00080625" w:rsidP="00080625">
      <w:pPr>
        <w:pStyle w:val="Body"/>
        <w:rPr>
          <w:i/>
          <w:iCs/>
        </w:rPr>
      </w:pPr>
    </w:p>
    <w:p w14:paraId="28529DEB" w14:textId="77777777" w:rsidR="00CD3987" w:rsidRDefault="00CD3987" w:rsidP="00080625">
      <w:pPr>
        <w:pStyle w:val="Body"/>
        <w:rPr>
          <w:i/>
          <w:iCs/>
        </w:rPr>
      </w:pPr>
    </w:p>
    <w:p w14:paraId="04810AEE" w14:textId="77777777" w:rsidR="00080625" w:rsidRDefault="00080625" w:rsidP="00080625">
      <w:pPr>
        <w:pStyle w:val="Body"/>
      </w:pPr>
      <w:commentRangeStart w:id="10"/>
      <w:r>
        <w:rPr>
          <w:rFonts w:ascii="Times New Roman Bold"/>
        </w:rPr>
        <w:t>IV.2.3</w:t>
      </w:r>
      <w:r>
        <w:rPr>
          <w:rFonts w:ascii="Times New Roman Bold"/>
        </w:rPr>
        <w:tab/>
        <w:t>Third cycle qualifications</w:t>
      </w:r>
      <w:r>
        <w:t xml:space="preserve"> </w:t>
      </w:r>
      <w:commentRangeEnd w:id="10"/>
      <w:r w:rsidR="00CD3987">
        <w:rPr>
          <w:rStyle w:val="CommentReference"/>
          <w:rFonts w:eastAsia="Times New Roman" w:hAnsi="Times New Roman" w:cs="Times New Roman"/>
        </w:rPr>
        <w:commentReference w:id="10"/>
      </w:r>
      <w:r>
        <w:t>(ToR no. 8)</w:t>
      </w:r>
    </w:p>
    <w:p w14:paraId="658CF5AB" w14:textId="77777777" w:rsidR="00150FD7" w:rsidRDefault="00150FD7" w:rsidP="00080625"/>
    <w:p w14:paraId="6BB99D93" w14:textId="77777777" w:rsidR="00080625" w:rsidRDefault="00080625" w:rsidP="00150FD7">
      <w:pPr>
        <w:jc w:val="both"/>
      </w:pPr>
      <w:r>
        <w:t>I</w:t>
      </w:r>
      <w:r w:rsidRPr="00D042AF">
        <w:t xml:space="preserve">n 2003, EHEA Ministers agreed that “The core component of doctoral training is the advancement of knowledge through original research” (Berlin Communiqué). Hence a doctoral degree has to be focused on research training as well as on research production. </w:t>
      </w:r>
      <w:r>
        <w:t>Recent reforms in</w:t>
      </w:r>
      <w:r w:rsidRPr="00D042AF">
        <w:t xml:space="preserve"> doctoral programs are intended to bring innovative features to both aspects of the doctoral degree while underlining the fact that graduates should be competent and skilled researchers qualified for careers in</w:t>
      </w:r>
      <w:r>
        <w:t>,</w:t>
      </w:r>
      <w:r w:rsidRPr="00D042AF">
        <w:t xml:space="preserve"> as well as outside of</w:t>
      </w:r>
      <w:r>
        <w:t>,</w:t>
      </w:r>
      <w:r w:rsidRPr="00D042AF">
        <w:t xml:space="preserve"> academia. This implies, among other things, the expansion of the training dimension of the third cy</w:t>
      </w:r>
      <w:r>
        <w:t>cle to interdisciplinary issues</w:t>
      </w:r>
      <w:r w:rsidRPr="00D042AF">
        <w:t xml:space="preserve"> and the ac</w:t>
      </w:r>
      <w:r>
        <w:t>quisition of transversal skills</w:t>
      </w:r>
      <w:r w:rsidRPr="008B47B3">
        <w:t>,</w:t>
      </w:r>
      <w:r>
        <w:t xml:space="preserve"> not only through specific training activities but also through research work</w:t>
      </w:r>
      <w:r w:rsidRPr="00D042AF">
        <w:t>.</w:t>
      </w:r>
    </w:p>
    <w:p w14:paraId="4ADF054A" w14:textId="77777777" w:rsidR="00080625" w:rsidRPr="00D042AF" w:rsidRDefault="00080625" w:rsidP="00150FD7">
      <w:pPr>
        <w:jc w:val="both"/>
      </w:pPr>
    </w:p>
    <w:p w14:paraId="68DACF82" w14:textId="77777777" w:rsidR="00080625" w:rsidRDefault="00080625" w:rsidP="00150FD7">
      <w:pPr>
        <w:jc w:val="both"/>
      </w:pPr>
      <w:r w:rsidRPr="00777956">
        <w:t>At their Bucharest meeting in 2012, Ministers of the European Higher Education Area asked for policy recommendations on how to improve transparency, quality, employability, internationalization and mobility in the third cycle. The BFUG decided to develop the policy recommendation</w:t>
      </w:r>
      <w:r>
        <w:t>s</w:t>
      </w:r>
      <w:r w:rsidRPr="00777956">
        <w:t xml:space="preserve"> by </w:t>
      </w:r>
      <w:r>
        <w:t>establishing</w:t>
      </w:r>
      <w:r w:rsidRPr="00777956">
        <w:t xml:space="preserve"> an </w:t>
      </w:r>
      <w:r w:rsidRPr="00777956">
        <w:rPr>
          <w:i/>
        </w:rPr>
        <w:t>ad hoc</w:t>
      </w:r>
      <w:r w:rsidRPr="00777956">
        <w:t xml:space="preserve"> working group on the third cycle as a sub-structure of the SRWG. </w:t>
      </w:r>
    </w:p>
    <w:p w14:paraId="2D579016" w14:textId="77777777" w:rsidR="00080625" w:rsidRDefault="00080625" w:rsidP="00080625"/>
    <w:p w14:paraId="133F5803" w14:textId="77777777" w:rsidR="00080625" w:rsidRDefault="00080625" w:rsidP="00DD2675">
      <w:pPr>
        <w:jc w:val="both"/>
      </w:pPr>
      <w:r>
        <w:t xml:space="preserve">The </w:t>
      </w:r>
      <w:r w:rsidRPr="00133E8A">
        <w:rPr>
          <w:i/>
        </w:rPr>
        <w:t>ad hoc</w:t>
      </w:r>
      <w:r>
        <w:t xml:space="preserve"> working group on third cycle qualifications is, then, one of four sub-groups under the responsibility of the SRWG.  This </w:t>
      </w:r>
      <w:r w:rsidRPr="00777956">
        <w:rPr>
          <w:i/>
        </w:rPr>
        <w:t>ad hoc</w:t>
      </w:r>
      <w:r>
        <w:t xml:space="preserve"> group has submitted a particularly substantial report and its mandate and proposals to some extent go beyond the issue of structural reforms. Examples are its proposals concerning the funding of third cycle education, internationalization and mobility, and data collection. The SRWG therefore suggests that the BFUG give separate consideration to the full report by the </w:t>
      </w:r>
      <w:r w:rsidRPr="00133E8A">
        <w:rPr>
          <w:i/>
        </w:rPr>
        <w:t>ad hoc</w:t>
      </w:r>
      <w:r>
        <w:t xml:space="preserve"> working group on third cycle qualifications.  In the present report, the SRWG puts forward considerations on third cycle qualifications, based on input by the </w:t>
      </w:r>
      <w:r w:rsidRPr="00133E8A">
        <w:rPr>
          <w:i/>
        </w:rPr>
        <w:t>ad hoc</w:t>
      </w:r>
      <w:r>
        <w:t xml:space="preserve"> working group, to the extent that these fall within the remit of the SRWG.</w:t>
      </w:r>
    </w:p>
    <w:p w14:paraId="00203187" w14:textId="77777777" w:rsidR="00926A45" w:rsidRDefault="00926A45" w:rsidP="00DD2675">
      <w:pPr>
        <w:jc w:val="both"/>
      </w:pPr>
    </w:p>
    <w:p w14:paraId="6E18B1A0" w14:textId="77777777" w:rsidR="00080625" w:rsidRDefault="00080625" w:rsidP="00DD2675">
      <w:pPr>
        <w:jc w:val="both"/>
      </w:pPr>
      <w:r>
        <w:t>The starting point for the SRWG’s consideration of third cycle qualifications is that the holders of these qualifications – and in particular of doctoral qualifications – are often perceived as being highly qualified but within a very narrow field. Holders of doctoral qualifications are also often perceived as being qualified only for a research career, and sometimes there is even a perception that research careers are limited to higher education institutions and specialized research institutes. In many cases, the degree holders themselves have a restricted view of their career options.</w:t>
      </w:r>
      <w:r w:rsidRPr="00165782">
        <w:t xml:space="preserve"> </w:t>
      </w:r>
      <w:r>
        <w:t xml:space="preserve"> This perception leads to an underutilization of the advanced subject specific knowledge </w:t>
      </w:r>
      <w:r>
        <w:lastRenderedPageBreak/>
        <w:t>and the higher generic skills and competences holders of third cycle qualifications have acquired through conducting research and taught courses. Utilizing the capabilities of holders of third cycle qualifications in a more appropriate way could enhance the innovative capacity of businesses, non-profit, public and governmental organizations.</w:t>
      </w:r>
    </w:p>
    <w:p w14:paraId="44634010" w14:textId="77777777" w:rsidR="00080625" w:rsidRDefault="00080625" w:rsidP="00080625"/>
    <w:p w14:paraId="2E9D6E1F" w14:textId="77777777" w:rsidR="00080625" w:rsidRDefault="00080625" w:rsidP="00DD2675">
      <w:pPr>
        <w:jc w:val="both"/>
      </w:pPr>
      <w:r>
        <w:t xml:space="preserve">It is therefore important to broaden the perception of the employability and real competences of holders of third cycle qualifications. On the one hand, research is carried out not only within universities and research institutes but also in several other kinds of organizations, such as industry, financial organizations, and other businesses as well as in a number of non-profit NGOs. To take only two examples, both Amnesty International and Transparency International have well developed research departments. A successful research project can also lead to self-employment. It is important that higher education institutions provide good career guidance adapted to third cycle graduates or support services to encourage the set-up of new businesses managed by third cycle graduates (e.g. incubators or </w:t>
      </w:r>
      <w:r w:rsidRPr="00D31D2A">
        <w:rPr>
          <w:i/>
        </w:rPr>
        <w:t>ad hoc</w:t>
      </w:r>
      <w:r>
        <w:t xml:space="preserve"> financial support). </w:t>
      </w:r>
    </w:p>
    <w:p w14:paraId="6896599A" w14:textId="77777777" w:rsidR="00080625" w:rsidRDefault="00080625" w:rsidP="00080625"/>
    <w:p w14:paraId="6AF84794" w14:textId="77777777" w:rsidR="00080625" w:rsidRDefault="00080625" w:rsidP="000A5F0D">
      <w:pPr>
        <w:jc w:val="both"/>
      </w:pPr>
      <w:r>
        <w:t>On the other hand, and perhaps even more importantly, higher education institutions need to provide clear and understandable descriptions not only of the subject specific competences doctoral students are expected to acquire but also of the generic competences that will be developed in doctoral programs. If the generic competences acquired through a third cycle qualification are different from and/or more advanced than those obtained through a second cycle degree, these need to be described and communicated clearly</w:t>
      </w:r>
      <w:r w:rsidRPr="00D31D2A">
        <w:t xml:space="preserve"> </w:t>
      </w:r>
      <w:r>
        <w:t>to an academic and, more importantly, a non-academic audience.  For example, since conducting research is a key component of third cycle programs, it is reasonable to assume that those who successfully complete such programs will have problem solving and analytical skills as well as competences in critical thinking beyond those acquired through second cycle programs.  If the recommendation made elsewhere in the SRWG report to review the Diploma Supplement is taken up, it is important that the review take into account the need for transparency in doctoral education and to reflect its specificities compared with first and second cycle degrees. The BFUG and, as appropriate, the European Commission should encourage coordination with the possible development of a “Doctoral Supplement” within the European Research Area</w:t>
      </w:r>
      <w:r>
        <w:rPr>
          <w:rStyle w:val="CommentReference"/>
        </w:rPr>
        <w:annotationRef/>
      </w:r>
      <w:r>
        <w:t>.</w:t>
      </w:r>
    </w:p>
    <w:p w14:paraId="51DEE26A" w14:textId="77777777" w:rsidR="000A5F0D" w:rsidRDefault="000A5F0D" w:rsidP="000A5F0D">
      <w:pPr>
        <w:jc w:val="both"/>
      </w:pPr>
    </w:p>
    <w:p w14:paraId="6EA0DAD7" w14:textId="77777777" w:rsidR="00080625" w:rsidRDefault="00080625" w:rsidP="000A5F0D">
      <w:pPr>
        <w:jc w:val="both"/>
      </w:pPr>
      <w:r>
        <w:t xml:space="preserve">A broader view of the range of competences third cycle students should acquire and what kinds of employment they may qualify for, including in a research career, also has impacts on program design. Third cycle programs must be designed  in such a way that they complement the research dimension with the subject specific and generic competences that are particularly important to holders of doctorates and that strengthen their employability and entrepreneurship as well as their ability and desire to engage with society as active citizens. </w:t>
      </w:r>
    </w:p>
    <w:p w14:paraId="2BF85E3F" w14:textId="77777777" w:rsidR="00080625" w:rsidRDefault="00080625" w:rsidP="00080625"/>
    <w:p w14:paraId="72445F57" w14:textId="77777777" w:rsidR="00080625" w:rsidRDefault="00080625" w:rsidP="000A5F0D">
      <w:pPr>
        <w:jc w:val="both"/>
      </w:pPr>
      <w:r>
        <w:t xml:space="preserve">Another important consideration is that the organization of third cycle degree programs and the status of their students vary greatly from one country to another.  The third cycle, with its strong component of research, is an area for which academic freedom and institutional autonomy are particularly important. In some countries, doctoral students are considered as junior researchers, whereas in others they are considered as advanced students. Among other things, this means that their doctoral studies – and sometimes even post-doctoral fellowships - are not considered as relevant labor market experience when they apply for jobs on the strength of their third cycle degrees.  It is important that third cycle programs include mobility windows that enable most </w:t>
      </w:r>
      <w:r>
        <w:lastRenderedPageBreak/>
        <w:t>students to include a stay aboard and/or a traineeship, work placement or similar experience</w:t>
      </w:r>
      <w:r w:rsidRPr="004E314C">
        <w:t xml:space="preserve"> </w:t>
      </w:r>
      <w:r>
        <w:t>by adapting them to the research-based approach of their program.  At the same time, a narrow view of the employability of third cycle graduates as well as a refusal to recognize third cycle studies and/or postgraduate fellowships as relevant work experience may easily lead to brain drain at a level most European countries can ill afford.</w:t>
      </w:r>
    </w:p>
    <w:p w14:paraId="440A7F3F" w14:textId="77777777" w:rsidR="00080625" w:rsidRDefault="00080625" w:rsidP="00080625"/>
    <w:p w14:paraId="61C06A6D" w14:textId="77777777" w:rsidR="00080625" w:rsidRDefault="00080625" w:rsidP="000A5F0D">
      <w:pPr>
        <w:jc w:val="both"/>
      </w:pPr>
      <w:r>
        <w:t xml:space="preserve">In addition to ensuring the high quality of research in the programs and units in which third cycle students undertake their research training, quality assurance in third cycle education should pay special attention to the existence of </w:t>
      </w:r>
      <w:r w:rsidRPr="00AB196F">
        <w:t>a supportive and inclusive research enviro</w:t>
      </w:r>
      <w:r>
        <w:t>nment based on good supervision;</w:t>
      </w:r>
      <w:r w:rsidRPr="00AB196F">
        <w:t xml:space="preserve"> </w:t>
      </w:r>
      <w:r>
        <w:t xml:space="preserve">to </w:t>
      </w:r>
      <w:r w:rsidRPr="00AB196F">
        <w:t>the involvement of doctoral candidates in improving the overall quality of the program</w:t>
      </w:r>
      <w:r>
        <w:t>;</w:t>
      </w:r>
      <w:r w:rsidRPr="00AB196F">
        <w:t xml:space="preserve"> </w:t>
      </w:r>
      <w:r>
        <w:t>to the existence of an independent and external peer review (where possible, international) to</w:t>
      </w:r>
      <w:r w:rsidRPr="00AB196F">
        <w:t xml:space="preserve"> assess outcomes such as originality, </w:t>
      </w:r>
      <w:r>
        <w:t xml:space="preserve">rigor, </w:t>
      </w:r>
      <w:r w:rsidRPr="00AB196F">
        <w:t>creativity and independence through defense of the thesis</w:t>
      </w:r>
      <w:r>
        <w:t>;</w:t>
      </w:r>
      <w:r w:rsidRPr="00AB196F">
        <w:t xml:space="preserve"> and </w:t>
      </w:r>
      <w:r>
        <w:t>to</w:t>
      </w:r>
      <w:r w:rsidRPr="00AB196F">
        <w:t xml:space="preserve"> provisions </w:t>
      </w:r>
      <w:r>
        <w:t>to support the development</w:t>
      </w:r>
      <w:r w:rsidRPr="00AB196F">
        <w:t xml:space="preserve"> </w:t>
      </w:r>
      <w:r>
        <w:t xml:space="preserve">of </w:t>
      </w:r>
      <w:r w:rsidRPr="00AB196F">
        <w:t xml:space="preserve">the supervisors’ competencies </w:t>
      </w:r>
      <w:r>
        <w:t>in carrying out their</w:t>
      </w:r>
      <w:r w:rsidRPr="00AB196F">
        <w:t xml:space="preserve"> role in the candidates’ training. </w:t>
      </w:r>
    </w:p>
    <w:p w14:paraId="2DBFCFEF" w14:textId="77777777" w:rsidR="00080625" w:rsidRDefault="00080625" w:rsidP="00080625"/>
    <w:p w14:paraId="3298D2BA" w14:textId="77777777" w:rsidR="00080625" w:rsidRDefault="00080625" w:rsidP="000A5F0D">
      <w:pPr>
        <w:jc w:val="both"/>
      </w:pPr>
      <w:r>
        <w:t xml:space="preserve">Although the capabilities of doctoral candidates have been assessed </w:t>
      </w:r>
      <w:r w:rsidRPr="00E76665">
        <w:rPr>
          <w:i/>
        </w:rPr>
        <w:t>ex ante</w:t>
      </w:r>
      <w:r>
        <w:t xml:space="preserve"> and although the quality of research is assessed by panels of peers reviewing the quality of research projects, we recommend that the universities pay due attention to the quality of the research training.</w:t>
      </w:r>
    </w:p>
    <w:p w14:paraId="2BD8E750" w14:textId="77777777" w:rsidR="00080625" w:rsidRDefault="00080625" w:rsidP="00080625"/>
    <w:p w14:paraId="3B2EB550" w14:textId="77777777" w:rsidR="00080625" w:rsidRDefault="00080625" w:rsidP="00080625">
      <w:pPr>
        <w:rPr>
          <w:b/>
        </w:rPr>
      </w:pPr>
      <w:r w:rsidRPr="00AD1E19">
        <w:rPr>
          <w:b/>
        </w:rPr>
        <w:t>Recommendations</w:t>
      </w:r>
    </w:p>
    <w:p w14:paraId="09EEA252" w14:textId="77777777" w:rsidR="00080625" w:rsidRPr="00AD1E19" w:rsidRDefault="00080625" w:rsidP="00080625">
      <w:pPr>
        <w:rPr>
          <w:b/>
        </w:rPr>
      </w:pPr>
    </w:p>
    <w:p w14:paraId="22D5D89E" w14:textId="77777777" w:rsidR="00080625" w:rsidRDefault="00080625" w:rsidP="00080625">
      <w:r w:rsidRPr="008D3E85">
        <w:rPr>
          <w:b/>
          <w:i/>
        </w:rPr>
        <w:t>Higher education institutions</w:t>
      </w:r>
      <w:r>
        <w:t xml:space="preserve"> should:</w:t>
      </w:r>
    </w:p>
    <w:p w14:paraId="00E3DB0D" w14:textId="77777777" w:rsidR="00080625" w:rsidRDefault="00080625" w:rsidP="00080625"/>
    <w:p w14:paraId="4057374C" w14:textId="77777777" w:rsidR="00080625" w:rsidRDefault="00080625" w:rsidP="00B40521">
      <w:pPr>
        <w:pStyle w:val="ListParagraph"/>
        <w:numPr>
          <w:ilvl w:val="0"/>
          <w:numId w:val="91"/>
        </w:numPr>
      </w:pPr>
      <w:r>
        <w:t>design and conduct third cycle programs to ensure that they develop competences that qualify third cycle graduates for a broad range of employment, within as well as outside of academia and research more broadly;</w:t>
      </w:r>
    </w:p>
    <w:p w14:paraId="6CF13394" w14:textId="77777777" w:rsidR="00080625" w:rsidRDefault="00080625" w:rsidP="00B40521">
      <w:pPr>
        <w:pStyle w:val="ListParagraph"/>
        <w:numPr>
          <w:ilvl w:val="0"/>
          <w:numId w:val="91"/>
        </w:numPr>
      </w:pPr>
      <w:r>
        <w:t>describe both subject specific and generic competences students are expected to acquire through third cycle programs clearly and understandably and in such a way that the competences specific to third cycle qualifications are clearly demonstrated. Third cycle programs should, as appropriate, include the development of entrepreneurial competences and provide good career guidance;</w:t>
      </w:r>
    </w:p>
    <w:p w14:paraId="7C549951" w14:textId="77777777" w:rsidR="00080625" w:rsidRDefault="00080625" w:rsidP="00080625"/>
    <w:p w14:paraId="548AAFA3" w14:textId="77777777" w:rsidR="00080625" w:rsidRDefault="00080625" w:rsidP="00080625">
      <w:r w:rsidRPr="009E1F2B">
        <w:rPr>
          <w:b/>
          <w:i/>
        </w:rPr>
        <w:t>Employers, both public and private</w:t>
      </w:r>
      <w:r>
        <w:t>, should consider the competences and skills acquired as well as the time spent to achieve them in doctoral education and/or postdoctoral fellowships as a part of applicants’ professional experience and could also take this period of time into account for the purpose of calculating seniority.</w:t>
      </w:r>
    </w:p>
    <w:p w14:paraId="6780D9C1" w14:textId="77777777" w:rsidR="00080625" w:rsidRDefault="00080625" w:rsidP="00080625"/>
    <w:p w14:paraId="552E9D46" w14:textId="77777777" w:rsidR="00080625" w:rsidRDefault="00080625" w:rsidP="00080625">
      <w:r w:rsidRPr="00C745A3">
        <w:rPr>
          <w:b/>
          <w:i/>
        </w:rPr>
        <w:t>Public authorities and higher education institutions</w:t>
      </w:r>
      <w:r>
        <w:t xml:space="preserve"> should:</w:t>
      </w:r>
    </w:p>
    <w:p w14:paraId="7854704D" w14:textId="77777777" w:rsidR="00080625" w:rsidRDefault="00080625" w:rsidP="00080625"/>
    <w:p w14:paraId="5A652D10" w14:textId="77777777" w:rsidR="00080625" w:rsidRDefault="00080625" w:rsidP="00B40521">
      <w:pPr>
        <w:pStyle w:val="NoSpacing"/>
        <w:numPr>
          <w:ilvl w:val="0"/>
          <w:numId w:val="108"/>
        </w:numPr>
        <w:ind w:hanging="720"/>
      </w:pPr>
      <w:r>
        <w:t xml:space="preserve">provide students in third cycle programs with the possibility to include a stay abroad and/or a traineeship, work placement or similar experience </w:t>
      </w:r>
      <w:r w:rsidRPr="00901C53">
        <w:t xml:space="preserve">by adapting them to the research-based approach of </w:t>
      </w:r>
      <w:r>
        <w:t xml:space="preserve">their studies, </w:t>
      </w:r>
      <w:r w:rsidRPr="00F06004">
        <w:rPr>
          <w:i/>
        </w:rPr>
        <w:t>inter alia</w:t>
      </w:r>
      <w:r>
        <w:t xml:space="preserve"> by providing “mobility windows” in third cycle programs:</w:t>
      </w:r>
    </w:p>
    <w:p w14:paraId="767E98A6" w14:textId="77777777" w:rsidR="00080625" w:rsidRDefault="00080625" w:rsidP="00B40521">
      <w:pPr>
        <w:pStyle w:val="ListParagraph"/>
        <w:numPr>
          <w:ilvl w:val="0"/>
          <w:numId w:val="92"/>
        </w:numPr>
        <w:ind w:hanging="720"/>
      </w:pPr>
      <w:r>
        <w:t xml:space="preserve">provide </w:t>
      </w:r>
      <w:r w:rsidRPr="00755DBD">
        <w:t>doctoral candidates</w:t>
      </w:r>
      <w:r>
        <w:t xml:space="preserve"> and those considering applying for third cycle programs with information</w:t>
      </w:r>
      <w:r w:rsidRPr="00755DBD">
        <w:t xml:space="preserve"> about opportunities to cover the cost</w:t>
      </w:r>
      <w:r>
        <w:t>s</w:t>
      </w:r>
      <w:r w:rsidRPr="00755DBD">
        <w:t xml:space="preserve"> of their education (scholarships, </w:t>
      </w:r>
      <w:r>
        <w:t xml:space="preserve">loans, </w:t>
      </w:r>
      <w:r w:rsidRPr="00755DBD">
        <w:t>charity funds etc.)</w:t>
      </w:r>
    </w:p>
    <w:p w14:paraId="71B31056" w14:textId="77777777" w:rsidR="00080625" w:rsidRPr="00755DBD" w:rsidRDefault="00080625" w:rsidP="00B40521">
      <w:pPr>
        <w:pStyle w:val="ListParagraph"/>
        <w:numPr>
          <w:ilvl w:val="0"/>
          <w:numId w:val="92"/>
        </w:numPr>
        <w:ind w:hanging="720"/>
      </w:pPr>
      <w:r>
        <w:lastRenderedPageBreak/>
        <w:t>provide transparent and understandable information on the competences and skills achieved by Doctoral graduates to a wide academic and non-academic audience.</w:t>
      </w:r>
    </w:p>
    <w:p w14:paraId="7D86B324" w14:textId="77777777" w:rsidR="00080625" w:rsidRPr="00755DBD" w:rsidRDefault="00080625" w:rsidP="00B40521">
      <w:pPr>
        <w:pStyle w:val="ListParagraph"/>
        <w:numPr>
          <w:ilvl w:val="0"/>
          <w:numId w:val="92"/>
        </w:numPr>
        <w:ind w:hanging="720"/>
      </w:pPr>
      <w:r>
        <w:t xml:space="preserve">public authorities should provide incentives to higher education institutions to </w:t>
      </w:r>
      <w:r w:rsidR="009C1167">
        <w:t xml:space="preserve">establish organizational frameworks (e.g. doctoral schools) aiming at </w:t>
      </w:r>
      <w:r>
        <w:t>upgrading the generic/transferable skills of doctoral candidates, stimulating interdisciplinarity, enhancing international cooperation and cooperation with businesses and non-profit and public organizations.</w:t>
      </w:r>
    </w:p>
    <w:p w14:paraId="33936EAE" w14:textId="77777777" w:rsidR="00080625" w:rsidRDefault="00080625" w:rsidP="00080625">
      <w:pPr>
        <w:pStyle w:val="Body"/>
        <w:rPr>
          <w:color w:val="FF0000"/>
          <w:u w:color="FF0000"/>
        </w:rPr>
      </w:pPr>
    </w:p>
    <w:p w14:paraId="3A09D3C4" w14:textId="77777777" w:rsidR="009C1167" w:rsidRDefault="009C1167" w:rsidP="00080625">
      <w:pPr>
        <w:pStyle w:val="Body"/>
        <w:rPr>
          <w:rFonts w:ascii="Times New Roman Bold"/>
        </w:rPr>
      </w:pPr>
    </w:p>
    <w:p w14:paraId="260DD5C7" w14:textId="77777777" w:rsidR="00080625" w:rsidRDefault="00080625" w:rsidP="00080625">
      <w:pPr>
        <w:pStyle w:val="Body"/>
      </w:pPr>
      <w:r>
        <w:rPr>
          <w:rFonts w:ascii="Times New Roman Bold"/>
        </w:rPr>
        <w:t>IV.2.4</w:t>
      </w:r>
      <w:r>
        <w:rPr>
          <w:rFonts w:ascii="Times New Roman Bold"/>
        </w:rPr>
        <w:tab/>
        <w:t>Implementation of qualifications frameworks</w:t>
      </w:r>
      <w:r>
        <w:t xml:space="preserve"> (ToR no. 8)</w:t>
      </w:r>
    </w:p>
    <w:p w14:paraId="7BCF0962" w14:textId="77777777" w:rsidR="000A5F0D" w:rsidRDefault="000A5F0D" w:rsidP="00080625">
      <w:pPr>
        <w:pStyle w:val="Body"/>
      </w:pPr>
    </w:p>
    <w:p w14:paraId="50A7E97D" w14:textId="77777777" w:rsidR="00080625" w:rsidRDefault="00080625" w:rsidP="000A5F0D">
      <w:pPr>
        <w:pStyle w:val="Body"/>
        <w:jc w:val="both"/>
      </w:pPr>
      <w:r>
        <w:t xml:space="preserve">In April 2014, the Network of National Correspondents for Qualifications Frameworks conducted a small survey among its members on the development of national qualifications frameworks for higher education. 25 countries completed the questionnaire, of which 10 stated that they do not (yet) have a national framework. This means that the commitment made by Ministers to develop national frameworks and prepare them for self-certification by 2012 remains unfulfilled for many countries. In explaining this situation, it should be underlined that developing national higher education frameworks requires a development process within each system and that this development takes time. The development of NQFs are in fact a mirror of the implementation of the structural reforms in higher education and it should be noted that the 10 countries that reported not having their NQFs in place also reported that they plan to develop and self-certify their national frameworks by 2016. </w:t>
      </w:r>
    </w:p>
    <w:p w14:paraId="54B54809" w14:textId="77777777" w:rsidR="000A5F0D" w:rsidRDefault="000A5F0D" w:rsidP="000A5F0D">
      <w:pPr>
        <w:pStyle w:val="Body"/>
        <w:jc w:val="both"/>
      </w:pPr>
    </w:p>
    <w:p w14:paraId="49996320" w14:textId="77777777" w:rsidR="00080625" w:rsidRDefault="00080625" w:rsidP="00080625">
      <w:pPr>
        <w:pStyle w:val="Body"/>
        <w:jc w:val="both"/>
      </w:pPr>
      <w:r>
        <w:t xml:space="preserve">The majority of the 15 countries that reported they had self-certified their national qualifications frameworks for higher education had translated this into legal terms. Countries with longer standing national frameworks (NQFs developed more than10 years ago) reported that the NQF is now an integrated part of study programs, especially through the use of learning outcomes. </w:t>
      </w:r>
    </w:p>
    <w:p w14:paraId="1C7CA502" w14:textId="77777777" w:rsidR="000A5F0D" w:rsidRDefault="000A5F0D" w:rsidP="00080625">
      <w:pPr>
        <w:pStyle w:val="Body"/>
        <w:jc w:val="both"/>
      </w:pPr>
    </w:p>
    <w:p w14:paraId="74D30428" w14:textId="77777777" w:rsidR="00080625" w:rsidRDefault="00080625" w:rsidP="000A5F0D">
      <w:pPr>
        <w:pStyle w:val="NoSpacing"/>
        <w:jc w:val="both"/>
      </w:pPr>
      <w:r>
        <w:t>Cooperation with and involvement of stakeholders is key to the successful implementation of NQFs even if difficulties remain. Higher education institutions accept and acknowledge the existence of their NQF even if many are not strongly committed to it and the business sector is not yet very familiar with it. From a stakeholder</w:t>
      </w:r>
      <w:r w:rsidRPr="00A31819">
        <w:t>’</w:t>
      </w:r>
      <w:r>
        <w:t xml:space="preserve">s perspective, the differences and specificities of the two overarching frameworks are not always clear. </w:t>
      </w:r>
    </w:p>
    <w:p w14:paraId="5E5368D7" w14:textId="77777777" w:rsidR="000A5F0D" w:rsidRDefault="000A5F0D" w:rsidP="000A5F0D">
      <w:pPr>
        <w:pStyle w:val="Body"/>
        <w:jc w:val="both"/>
      </w:pPr>
    </w:p>
    <w:p w14:paraId="40E9F91D" w14:textId="77777777" w:rsidR="00080625" w:rsidRDefault="00080625" w:rsidP="000A5F0D">
      <w:pPr>
        <w:pStyle w:val="NoSpacing"/>
        <w:jc w:val="both"/>
      </w:pPr>
      <w:r>
        <w:t xml:space="preserve">Most of the countries that report having an NQF declare that their framework is related to both overarching frameworks. Some express concerns that the EQF perspective can overshadow the specificity of higher education, including in terms of the role of stakeholders (especially higher education institutions) in their implementation. The extent to which national higher education frameworks are open to non-higher education qualifications in a lifelong learning perspective (levels 6, 7 and 8 of the EQF) varies considerably. For half of the responding countries, these levels are only for higher education qualifications; for the other half, they are open to VET qualification either directly within the higher education framework or via a double entry system. In a majority of countries still face challenges in including non-formal qualifications within national higher education frameworks self-certified against the QF-EHEA. </w:t>
      </w:r>
    </w:p>
    <w:p w14:paraId="6B06B4C9" w14:textId="77777777" w:rsidR="000A5F0D" w:rsidRDefault="000A5F0D" w:rsidP="000A5F0D">
      <w:pPr>
        <w:pStyle w:val="NoSpacing"/>
        <w:jc w:val="both"/>
      </w:pPr>
    </w:p>
    <w:p w14:paraId="7B526865" w14:textId="77777777" w:rsidR="00080625" w:rsidRDefault="00080625" w:rsidP="000A5F0D">
      <w:pPr>
        <w:pStyle w:val="NoSpacing"/>
        <w:jc w:val="both"/>
      </w:pPr>
      <w:r>
        <w:lastRenderedPageBreak/>
        <w:t>It should be noted that the number of responses to the survey – 25 – mirrors the relatively low participation in the Network. Whereas every member of the EHEA should appoint a national correspondent for qualifications frameworks, only slightly more than one half of EHEA members regularly participate in the work of the Network, in spite of the fact that the survey shows that there is a continued need for mutual support and exchange of experience in order to make the development and implementation of national frameworks a reality throughout the EHEA. There is little reason to assume that the 25 or so active members of the network are the least advanced among EHEA members in the implementation of their national frameworks. The Network needs to be strengthened if it is to play a strong role in the further development and implementation of qualifications frameworks within the EHEA.  All EHEA members must appoint their national correspondents and participate in the work.</w:t>
      </w:r>
    </w:p>
    <w:p w14:paraId="237BE1C1" w14:textId="77777777" w:rsidR="00080625" w:rsidRPr="00663018" w:rsidRDefault="00080625" w:rsidP="00080625">
      <w:pPr>
        <w:pStyle w:val="Body"/>
        <w:jc w:val="both"/>
      </w:pPr>
    </w:p>
    <w:p w14:paraId="629074B7" w14:textId="77777777" w:rsidR="00080625" w:rsidRDefault="00080625" w:rsidP="00080625">
      <w:pPr>
        <w:pStyle w:val="Body"/>
        <w:jc w:val="both"/>
        <w:rPr>
          <w:b/>
          <w:bCs/>
          <w:i/>
          <w:iCs/>
        </w:rPr>
      </w:pPr>
      <w:r w:rsidRPr="00663018">
        <w:rPr>
          <w:b/>
          <w:bCs/>
          <w:i/>
          <w:iCs/>
        </w:rPr>
        <w:t>Recommendations</w:t>
      </w:r>
    </w:p>
    <w:p w14:paraId="5ADA74E2" w14:textId="77777777" w:rsidR="00AC4686" w:rsidRPr="00663018" w:rsidRDefault="00AC4686" w:rsidP="00080625">
      <w:pPr>
        <w:pStyle w:val="Body"/>
        <w:jc w:val="both"/>
        <w:rPr>
          <w:b/>
          <w:bCs/>
          <w:i/>
          <w:iCs/>
        </w:rPr>
      </w:pPr>
    </w:p>
    <w:p w14:paraId="09C2EB3B" w14:textId="77777777" w:rsidR="00080625" w:rsidRDefault="00080625" w:rsidP="00B40521">
      <w:pPr>
        <w:pStyle w:val="ListParagraph"/>
        <w:numPr>
          <w:ilvl w:val="0"/>
          <w:numId w:val="73"/>
        </w:numPr>
        <w:ind w:left="709" w:hanging="709"/>
      </w:pPr>
      <w:r w:rsidRPr="00663018">
        <w:t>Public authorities should ensure and lead the development and implementation of national qualifications frameworks in a way that fully values and draws on the contribution of higher education institutions and other stakeholders and that furthers and promotes a learning outcomes approach.</w:t>
      </w:r>
    </w:p>
    <w:p w14:paraId="15C6E3D8" w14:textId="77777777" w:rsidR="00AC4686" w:rsidRDefault="00AC4686" w:rsidP="00AC4686">
      <w:pPr>
        <w:pStyle w:val="ListParagraph"/>
        <w:numPr>
          <w:ilvl w:val="0"/>
          <w:numId w:val="0"/>
        </w:numPr>
        <w:ind w:left="709"/>
      </w:pPr>
    </w:p>
    <w:p w14:paraId="0A1F8BCC" w14:textId="77777777" w:rsidR="00080625" w:rsidRDefault="00080625" w:rsidP="00B40521">
      <w:pPr>
        <w:pStyle w:val="ListParagraph"/>
        <w:numPr>
          <w:ilvl w:val="0"/>
          <w:numId w:val="73"/>
        </w:numPr>
        <w:ind w:left="709" w:hanging="709"/>
      </w:pPr>
      <w:r>
        <w:t>Public authorities should promote and raise awareness of their respective national qualifications frameworks. They should ensure publication of their self-certification reports and provide the BFUG Secretariat with the official information needed to publish the self-certification through the EHEA web site.</w:t>
      </w:r>
    </w:p>
    <w:p w14:paraId="7742B8AB" w14:textId="77777777" w:rsidR="00AC4686" w:rsidRPr="00663018" w:rsidRDefault="00AC4686" w:rsidP="00AC4686">
      <w:pPr>
        <w:pStyle w:val="ListParagraph"/>
        <w:numPr>
          <w:ilvl w:val="0"/>
          <w:numId w:val="0"/>
        </w:numPr>
      </w:pPr>
    </w:p>
    <w:p w14:paraId="55B374BA" w14:textId="77777777" w:rsidR="00080625" w:rsidRDefault="00080625" w:rsidP="00B40521">
      <w:pPr>
        <w:pStyle w:val="ListParagraph"/>
        <w:numPr>
          <w:ilvl w:val="0"/>
          <w:numId w:val="74"/>
        </w:numPr>
        <w:ind w:left="709" w:hanging="709"/>
      </w:pPr>
      <w:r w:rsidRPr="00663018">
        <w:t>Student participation in the development and implementation of qualifications frameworks is important to furthering student centered learning.</w:t>
      </w:r>
    </w:p>
    <w:p w14:paraId="6091E01B" w14:textId="77777777" w:rsidR="00AC4686" w:rsidRPr="00663018" w:rsidRDefault="00AC4686" w:rsidP="00AC4686">
      <w:pPr>
        <w:pStyle w:val="ListParagraph"/>
        <w:numPr>
          <w:ilvl w:val="0"/>
          <w:numId w:val="0"/>
        </w:numPr>
        <w:ind w:left="709"/>
      </w:pPr>
    </w:p>
    <w:p w14:paraId="574F5229" w14:textId="77777777" w:rsidR="00080625" w:rsidRDefault="00080625" w:rsidP="00B40521">
      <w:pPr>
        <w:pStyle w:val="ListParagraph"/>
        <w:numPr>
          <w:ilvl w:val="0"/>
          <w:numId w:val="75"/>
        </w:numPr>
        <w:ind w:left="709" w:hanging="709"/>
      </w:pPr>
      <w:r w:rsidRPr="00663018">
        <w:t>To further the comparability and compatibility of self-certified national higher education frameworks, pan-European peer learning activities, exchange of experience and advice, and comparative studies should be promoted.</w:t>
      </w:r>
    </w:p>
    <w:p w14:paraId="190FCD62" w14:textId="77777777" w:rsidR="00AC4686" w:rsidRPr="00663018" w:rsidRDefault="00AC4686" w:rsidP="00AC4686">
      <w:pPr>
        <w:pStyle w:val="ListParagraph"/>
        <w:numPr>
          <w:ilvl w:val="0"/>
          <w:numId w:val="0"/>
        </w:numPr>
        <w:ind w:left="709"/>
      </w:pPr>
    </w:p>
    <w:p w14:paraId="0E46DDF4" w14:textId="77777777" w:rsidR="00080625" w:rsidRDefault="00080625" w:rsidP="00B40521">
      <w:pPr>
        <w:pStyle w:val="ListParagraph"/>
        <w:numPr>
          <w:ilvl w:val="0"/>
          <w:numId w:val="76"/>
        </w:numPr>
        <w:ind w:left="709" w:hanging="709"/>
      </w:pPr>
      <w:r w:rsidRPr="00663018">
        <w:t>Cooperation between the competent authorities for quality assurance, qualification frameworks and recognition should be reinforced in order to ensure that qualifications frameworks as a tool for modernization of higher education systems.</w:t>
      </w:r>
      <w:r>
        <w:t xml:space="preserve"> </w:t>
      </w:r>
    </w:p>
    <w:p w14:paraId="4FBD99B4" w14:textId="77777777" w:rsidR="00080625" w:rsidRDefault="00080625" w:rsidP="00AC4686">
      <w:pPr>
        <w:pStyle w:val="ListParagraph"/>
        <w:numPr>
          <w:ilvl w:val="0"/>
          <w:numId w:val="0"/>
        </w:numPr>
      </w:pPr>
    </w:p>
    <w:p w14:paraId="37BE73D8" w14:textId="77777777" w:rsidR="00080625" w:rsidRPr="00663018" w:rsidRDefault="00080625" w:rsidP="00B40521">
      <w:pPr>
        <w:pStyle w:val="ListParagraph"/>
        <w:numPr>
          <w:ilvl w:val="0"/>
          <w:numId w:val="76"/>
        </w:numPr>
        <w:ind w:left="709" w:hanging="709"/>
      </w:pPr>
      <w:r>
        <w:t>All EHEA members should appoint their national correspondent for qualifications frameworks and ensure active participation in the network of national correspondents.</w:t>
      </w:r>
    </w:p>
    <w:p w14:paraId="206EFD10" w14:textId="77777777" w:rsidR="00080625" w:rsidRPr="00663018" w:rsidRDefault="00080625" w:rsidP="00080625">
      <w:pPr>
        <w:pStyle w:val="Body"/>
      </w:pPr>
      <w:r w:rsidRPr="00663018">
        <w:t xml:space="preserve">   </w:t>
      </w:r>
    </w:p>
    <w:p w14:paraId="5CEF0F40" w14:textId="77777777" w:rsidR="00080625" w:rsidRPr="004A4FAE" w:rsidRDefault="00080625" w:rsidP="00B40521">
      <w:pPr>
        <w:pStyle w:val="ListParagraph"/>
        <w:numPr>
          <w:ilvl w:val="0"/>
          <w:numId w:val="90"/>
        </w:numPr>
        <w:ind w:hanging="720"/>
      </w:pPr>
      <w:r>
        <w:t>All parties, including stakeholders, should further promote the use of qualifications frameworks based on learning outcomes.</w:t>
      </w:r>
    </w:p>
    <w:p w14:paraId="5A28EC2E" w14:textId="77777777" w:rsidR="00080625" w:rsidRDefault="00080625" w:rsidP="00080625">
      <w:pPr>
        <w:pStyle w:val="Body"/>
      </w:pPr>
    </w:p>
    <w:p w14:paraId="6EF98A0F" w14:textId="77777777" w:rsidR="00CD3987" w:rsidRDefault="00CD3987" w:rsidP="00080625">
      <w:pPr>
        <w:pStyle w:val="Body"/>
      </w:pPr>
    </w:p>
    <w:p w14:paraId="76324A1F" w14:textId="77777777" w:rsidR="00CD3987" w:rsidRDefault="00CD3987" w:rsidP="00080625">
      <w:pPr>
        <w:pStyle w:val="Body"/>
      </w:pPr>
    </w:p>
    <w:p w14:paraId="02527E07" w14:textId="77777777" w:rsidR="00CD3987" w:rsidRDefault="00CD3987" w:rsidP="00080625">
      <w:pPr>
        <w:pStyle w:val="Body"/>
      </w:pPr>
    </w:p>
    <w:p w14:paraId="31B98246" w14:textId="77777777" w:rsidR="00CD3987" w:rsidRPr="00663018" w:rsidRDefault="00CD3987" w:rsidP="00080625">
      <w:pPr>
        <w:pStyle w:val="Body"/>
      </w:pPr>
    </w:p>
    <w:p w14:paraId="34C785F5" w14:textId="77777777" w:rsidR="00080625" w:rsidRDefault="00080625" w:rsidP="00080625">
      <w:pPr>
        <w:pStyle w:val="Body"/>
        <w:rPr>
          <w:caps/>
        </w:rPr>
      </w:pPr>
      <w:r>
        <w:rPr>
          <w:rFonts w:ascii="Times New Roman Bold"/>
          <w:caps/>
          <w:lang w:val="it-IT"/>
        </w:rPr>
        <w:lastRenderedPageBreak/>
        <w:t>IV.3</w:t>
      </w:r>
      <w:r>
        <w:rPr>
          <w:rFonts w:ascii="Times New Roman Bold"/>
          <w:caps/>
          <w:lang w:val="it-IT"/>
        </w:rPr>
        <w:tab/>
        <w:t>Recognition</w:t>
      </w:r>
    </w:p>
    <w:p w14:paraId="656AE044" w14:textId="77777777" w:rsidR="009C78DE" w:rsidRDefault="009C78DE" w:rsidP="00080625">
      <w:pPr>
        <w:pStyle w:val="Body"/>
        <w:rPr>
          <w:rFonts w:ascii="Times New Roman Bold"/>
        </w:rPr>
      </w:pPr>
    </w:p>
    <w:p w14:paraId="502A8FDB" w14:textId="77777777" w:rsidR="00080625" w:rsidRPr="00995753" w:rsidRDefault="00080625" w:rsidP="00080625">
      <w:pPr>
        <w:pStyle w:val="Body"/>
        <w:rPr>
          <w:rFonts w:hAnsi="Times New Roman" w:cs="Times New Roman"/>
        </w:rPr>
      </w:pPr>
      <w:r>
        <w:rPr>
          <w:rFonts w:ascii="Times New Roman Bold"/>
        </w:rPr>
        <w:t>IV.3.1</w:t>
      </w:r>
      <w:r>
        <w:rPr>
          <w:rFonts w:ascii="Times New Roman Bold"/>
        </w:rPr>
        <w:tab/>
        <w:t>Review national legislation to fully comply with the Lisbon Recognition Convention and promote the use of the EAR manual to advance recognition practices</w:t>
      </w:r>
      <w:r>
        <w:t xml:space="preserve"> (ToR no. 1 and the </w:t>
      </w:r>
      <w:r w:rsidRPr="00995753">
        <w:rPr>
          <w:rFonts w:hAnsi="Times New Roman" w:cs="Times New Roman"/>
        </w:rPr>
        <w:t>Bucharest Communiqué)</w:t>
      </w:r>
    </w:p>
    <w:p w14:paraId="0BDDA7C4" w14:textId="77777777" w:rsidR="009C78DE" w:rsidRDefault="009C78DE" w:rsidP="00080625">
      <w:pPr>
        <w:pStyle w:val="Body"/>
      </w:pPr>
    </w:p>
    <w:p w14:paraId="5179D08F" w14:textId="77777777" w:rsidR="00080625" w:rsidRDefault="00080625" w:rsidP="009C78DE">
      <w:pPr>
        <w:pStyle w:val="NoSpacing"/>
        <w:jc w:val="both"/>
      </w:pPr>
      <w:r>
        <w:t>While every member of the EHEA except Greece has now ratified the Lisbon Recognition Convention, the implementation of the Convention leaves much to be desired. The analysis of the 2007 national action plans for recognition</w:t>
      </w:r>
      <w:r>
        <w:rPr>
          <w:rFonts w:eastAsia="Times New Roman"/>
          <w:vertAlign w:val="superscript"/>
        </w:rPr>
        <w:footnoteReference w:id="44"/>
      </w:r>
      <w:r>
        <w:t xml:space="preserve"> pointed to a wide range of challenges in providing fair recognition of qualifications, including the fact that many countries had not yet updated their legislation to incorporate the principles of the LRC.  Hence, in a number of countries, there was discrepancy between the obligations undertaken by a country through the LRC and the provisions of the same country</w:t>
      </w:r>
      <w:r w:rsidRPr="00910155">
        <w:rPr>
          <w:rFonts w:ascii="Arial Unicode MS"/>
        </w:rPr>
        <w:t>’</w:t>
      </w:r>
      <w:r>
        <w:t>s national legislation. The successive stock taking and implementation reports also indicate that this situation has not evolved significantly.  Since 2007, further developments in higher education – in particular as regards the role of and focus on learning outcomes and qualifications frameworks in recognition – also contribute to making a review of national legislation much needed.</w:t>
      </w:r>
    </w:p>
    <w:p w14:paraId="4942ED4B" w14:textId="77777777" w:rsidR="00080625" w:rsidRDefault="00080625" w:rsidP="00080625">
      <w:pPr>
        <w:pStyle w:val="Body"/>
      </w:pPr>
    </w:p>
    <w:p w14:paraId="27962CF1" w14:textId="77777777" w:rsidR="00080625" w:rsidRDefault="00080625" w:rsidP="009C78DE">
      <w:pPr>
        <w:pStyle w:val="Body"/>
        <w:jc w:val="both"/>
      </w:pPr>
      <w:r>
        <w:t xml:space="preserve">In most countries, higher education institutions play a key role in the recognition of qualifications for the purpose of further study. The European Area of Recognition (EAR) manual provides good guidance in this respect and institutions should encourage its use.  </w:t>
      </w:r>
    </w:p>
    <w:p w14:paraId="4746D318" w14:textId="77777777" w:rsidR="00080625" w:rsidRDefault="00080625" w:rsidP="009C78DE">
      <w:pPr>
        <w:pStyle w:val="Body"/>
        <w:jc w:val="both"/>
      </w:pPr>
    </w:p>
    <w:p w14:paraId="031D2CBE" w14:textId="77777777" w:rsidR="00080625" w:rsidRDefault="00080625" w:rsidP="009C78DE">
      <w:pPr>
        <w:pStyle w:val="Body"/>
        <w:jc w:val="both"/>
      </w:pPr>
      <w:r>
        <w:t>All applicants should have the possibility to appeal recognition decisions and should be duly informed about the procedures for doing so. Institutions should review their appeals procedures with a view to ensuring they afford applicants adequate opportunities</w:t>
      </w:r>
      <w:r w:rsidRPr="00BF2506">
        <w:t xml:space="preserve"> </w:t>
      </w:r>
      <w:r>
        <w:t>to appeal against recognition decisions made by the institution and include the principle of fair recognition in their codes of ethical behavior.</w:t>
      </w:r>
    </w:p>
    <w:p w14:paraId="114A3384" w14:textId="77777777" w:rsidR="00080625" w:rsidRDefault="00080625" w:rsidP="00080625">
      <w:pPr>
        <w:pStyle w:val="Body"/>
      </w:pPr>
    </w:p>
    <w:p w14:paraId="66A71529" w14:textId="77777777" w:rsidR="00080625" w:rsidRDefault="00080625" w:rsidP="00080625">
      <w:pPr>
        <w:pStyle w:val="Body"/>
        <w:rPr>
          <w:b/>
          <w:bCs/>
          <w:i/>
          <w:iCs/>
        </w:rPr>
      </w:pPr>
      <w:r w:rsidRPr="00910155">
        <w:rPr>
          <w:b/>
          <w:bCs/>
          <w:i/>
          <w:iCs/>
        </w:rPr>
        <w:t>Recommendation</w:t>
      </w:r>
      <w:r>
        <w:rPr>
          <w:b/>
          <w:bCs/>
          <w:i/>
          <w:iCs/>
        </w:rPr>
        <w:t>s</w:t>
      </w:r>
    </w:p>
    <w:p w14:paraId="32E3BE4E" w14:textId="77777777" w:rsidR="002C021F" w:rsidRDefault="002C021F" w:rsidP="00080625">
      <w:pPr>
        <w:pStyle w:val="Body"/>
        <w:rPr>
          <w:iCs/>
        </w:rPr>
      </w:pPr>
    </w:p>
    <w:p w14:paraId="66088C34" w14:textId="77777777" w:rsidR="00080625" w:rsidRPr="003B23C3" w:rsidRDefault="00080625" w:rsidP="002C021F">
      <w:pPr>
        <w:pStyle w:val="Body"/>
        <w:jc w:val="both"/>
        <w:rPr>
          <w:iCs/>
        </w:rPr>
      </w:pPr>
      <w:r w:rsidRPr="003B23C3">
        <w:rPr>
          <w:iCs/>
        </w:rPr>
        <w:t xml:space="preserve">At their 2015 meeting, </w:t>
      </w:r>
      <w:r w:rsidRPr="004E05AC">
        <w:rPr>
          <w:i/>
          <w:iCs/>
        </w:rPr>
        <w:t>Ministers</w:t>
      </w:r>
      <w:r w:rsidRPr="003B23C3">
        <w:rPr>
          <w:iCs/>
        </w:rPr>
        <w:t xml:space="preserve"> should commit to reviewing their national legislation with a view to fully complying with the Lisbon Recognition Convention and report to the Bologna Secretariat by the end of 2016. The ENIC and NARIC Networks could be asked to prepare an analysis of the reports by the end of 2017.</w:t>
      </w:r>
    </w:p>
    <w:p w14:paraId="70F786DF" w14:textId="77777777" w:rsidR="002C021F" w:rsidRDefault="002C021F" w:rsidP="002C021F">
      <w:pPr>
        <w:pStyle w:val="Body"/>
        <w:jc w:val="both"/>
        <w:rPr>
          <w:i/>
          <w:iCs/>
        </w:rPr>
      </w:pPr>
    </w:p>
    <w:p w14:paraId="62FE0D00" w14:textId="77777777" w:rsidR="00080625" w:rsidRDefault="00080625" w:rsidP="002C021F">
      <w:pPr>
        <w:pStyle w:val="Body"/>
        <w:jc w:val="both"/>
      </w:pPr>
      <w:r>
        <w:rPr>
          <w:i/>
          <w:iCs/>
        </w:rPr>
        <w:t xml:space="preserve">Higher education institutions </w:t>
      </w:r>
      <w:r w:rsidRPr="003B23C3">
        <w:rPr>
          <w:iCs/>
        </w:rPr>
        <w:t xml:space="preserve">should make adequate use of the </w:t>
      </w:r>
      <w:r w:rsidRPr="004E05AC">
        <w:t>European Area of Recognition (EAR) manual in their own work on recognition</w:t>
      </w:r>
      <w:r>
        <w:t>.  They should review their own institutional procedures with a view to affording applicants adequate opportunities to appeal against recognition decisions made by the institution</w:t>
      </w:r>
      <w:r w:rsidRPr="00BF2506">
        <w:t xml:space="preserve"> </w:t>
      </w:r>
      <w:r>
        <w:t>and include the principle of fair recognition in their codes of ethical behavior.</w:t>
      </w:r>
    </w:p>
    <w:p w14:paraId="474599BB" w14:textId="77777777" w:rsidR="00080625" w:rsidRDefault="00080625" w:rsidP="00080625">
      <w:pPr>
        <w:pStyle w:val="Body"/>
        <w:rPr>
          <w:i/>
          <w:iCs/>
        </w:rPr>
      </w:pPr>
    </w:p>
    <w:p w14:paraId="542787E1" w14:textId="77777777" w:rsidR="00CD3987" w:rsidRDefault="00CD3987" w:rsidP="00080625">
      <w:pPr>
        <w:pStyle w:val="Body"/>
        <w:rPr>
          <w:i/>
          <w:iCs/>
        </w:rPr>
      </w:pPr>
    </w:p>
    <w:p w14:paraId="0B94A0A1" w14:textId="77777777" w:rsidR="00CD3987" w:rsidRDefault="00CD3987" w:rsidP="00080625">
      <w:pPr>
        <w:pStyle w:val="Body"/>
        <w:rPr>
          <w:i/>
          <w:iCs/>
        </w:rPr>
      </w:pPr>
    </w:p>
    <w:p w14:paraId="5FE2E474" w14:textId="77777777" w:rsidR="00080625" w:rsidRDefault="00080625" w:rsidP="00080625">
      <w:pPr>
        <w:pStyle w:val="Body"/>
      </w:pPr>
      <w:r>
        <w:rPr>
          <w:rFonts w:ascii="Times New Roman Bold"/>
        </w:rPr>
        <w:lastRenderedPageBreak/>
        <w:t>IV.3.2</w:t>
      </w:r>
      <w:r>
        <w:rPr>
          <w:rFonts w:ascii="Times New Roman Bold"/>
        </w:rPr>
        <w:tab/>
        <w:t>Recognition of prior learning</w:t>
      </w:r>
      <w:r>
        <w:t xml:space="preserve"> (ToR no. 8)</w:t>
      </w:r>
    </w:p>
    <w:p w14:paraId="1E63172D" w14:textId="77777777" w:rsidR="006B3DBE" w:rsidRDefault="006B3DBE" w:rsidP="00080625">
      <w:pPr>
        <w:pStyle w:val="Body"/>
        <w:rPr>
          <w:i/>
          <w:color w:val="auto"/>
          <w:u w:color="FF0000"/>
        </w:rPr>
      </w:pPr>
    </w:p>
    <w:p w14:paraId="5A7CD570" w14:textId="77777777" w:rsidR="00080625" w:rsidRPr="00897D3F" w:rsidRDefault="00080625" w:rsidP="006B3DBE">
      <w:pPr>
        <w:pStyle w:val="Body"/>
        <w:jc w:val="both"/>
        <w:rPr>
          <w:i/>
          <w:color w:val="auto"/>
          <w:u w:color="FF0000"/>
        </w:rPr>
      </w:pPr>
      <w:r w:rsidRPr="00897D3F">
        <w:rPr>
          <w:i/>
          <w:color w:val="auto"/>
          <w:u w:color="FF0000"/>
        </w:rPr>
        <w:t>The Structural Reforms Working Group regrets that, in spite of repeated requests, it has received no substantial input from the network for the recognition of prior learning. The following paragraphs have therefore been developed without the support of and input from the sub-structure established to cover this policy area.</w:t>
      </w:r>
    </w:p>
    <w:p w14:paraId="02151D75" w14:textId="77777777" w:rsidR="006B3DBE" w:rsidRDefault="006B3DBE" w:rsidP="006B3DBE">
      <w:pPr>
        <w:jc w:val="both"/>
      </w:pPr>
    </w:p>
    <w:p w14:paraId="7F17B6F7" w14:textId="77777777" w:rsidR="00080625" w:rsidRDefault="00080625" w:rsidP="006B3DBE">
      <w:pPr>
        <w:jc w:val="both"/>
      </w:pPr>
      <w:r>
        <w:t xml:space="preserve">While in principle the term “prior learning” could perhaps be applied to all learning (which by definition is prior to the present moment, otherwise it would not have been achieved), whether formal, non-formal or informal, it is most often used to designate learning other than that achieved through recognized formal education programs.  This is the sense in which the term is used here, and – without aiming to provide a complete list of examples – the term includes learning through work experience, life experience, activities in voluntary associations such as youth organizations, arts activities, political work, sports activities, </w:t>
      </w:r>
      <w:r w:rsidR="00EF1896">
        <w:t>non-recognized formal education programs</w:t>
      </w:r>
      <w:r w:rsidR="00EF1896" w:rsidRPr="00EF1896">
        <w:rPr>
          <w:rStyle w:val="CommentReference"/>
          <w:rFonts w:eastAsia="Times New Roman"/>
          <w:sz w:val="24"/>
          <w:szCs w:val="24"/>
          <w:u w:color="000000"/>
        </w:rPr>
        <w:t>, e</w:t>
      </w:r>
      <w:r w:rsidRPr="00EF1896">
        <w:t>tc</w:t>
      </w:r>
      <w:r>
        <w:t>.</w:t>
      </w:r>
    </w:p>
    <w:p w14:paraId="4BD31B0B" w14:textId="77777777" w:rsidR="00080625" w:rsidRDefault="00080625" w:rsidP="00080625"/>
    <w:p w14:paraId="7CC14265" w14:textId="77777777" w:rsidR="00080625" w:rsidRDefault="00080625" w:rsidP="006B3DBE">
      <w:pPr>
        <w:tabs>
          <w:tab w:val="left" w:pos="-720"/>
          <w:tab w:val="left" w:pos="0"/>
          <w:tab w:val="left" w:pos="432"/>
          <w:tab w:val="left" w:pos="1296"/>
          <w:tab w:val="left" w:pos="1728"/>
          <w:tab w:val="left" w:pos="1980"/>
          <w:tab w:val="left" w:pos="2160"/>
        </w:tabs>
        <w:suppressAutoHyphens/>
        <w:ind w:hanging="13"/>
        <w:jc w:val="both"/>
        <w:rPr>
          <w:spacing w:val="-2"/>
        </w:rPr>
      </w:pPr>
      <w:r>
        <w:t>“Recognition of prior learning” may refer to two related but distinct processes. On the one hand, recognition may be provided through a feedback process the main aim of which is to provide guidance to the individual learner for his or her further learning development. On the other hand, it may denote the formal assessment of learning outcomes achieved through non-formal or informal learning for the purpose of access to a study program or the award of a given qualification. It is in the latter sense that the term will be used here. This sense is akin to the definition of “recognition” in the Council of Europe/UNESCO Lisbon Recognition Convention as “</w:t>
      </w:r>
      <w:r w:rsidRPr="001B65D9">
        <w:rPr>
          <w:spacing w:val="-2"/>
        </w:rPr>
        <w:t>A formal acknowledgement by a competent authority of the value of a foreign educational qualification with a view to access to educational and/or employment activities</w:t>
      </w:r>
      <w:r>
        <w:rPr>
          <w:spacing w:val="-2"/>
        </w:rPr>
        <w:t>”</w:t>
      </w:r>
      <w:r w:rsidRPr="001B65D9">
        <w:rPr>
          <w:spacing w:val="-2"/>
        </w:rPr>
        <w:t>.</w:t>
      </w:r>
    </w:p>
    <w:p w14:paraId="1D1D0EE2" w14:textId="77777777" w:rsidR="00080625" w:rsidRPr="001B65D9" w:rsidRDefault="00080625" w:rsidP="006B3DBE">
      <w:pPr>
        <w:tabs>
          <w:tab w:val="left" w:pos="-720"/>
          <w:tab w:val="left" w:pos="0"/>
          <w:tab w:val="left" w:pos="432"/>
          <w:tab w:val="left" w:pos="1296"/>
          <w:tab w:val="left" w:pos="1728"/>
          <w:tab w:val="left" w:pos="1980"/>
          <w:tab w:val="left" w:pos="2160"/>
        </w:tabs>
        <w:suppressAutoHyphens/>
        <w:ind w:hanging="13"/>
        <w:jc w:val="both"/>
        <w:rPr>
          <w:spacing w:val="-2"/>
        </w:rPr>
      </w:pPr>
    </w:p>
    <w:p w14:paraId="7ED0C70B" w14:textId="77777777" w:rsidR="00080625" w:rsidRDefault="00080625" w:rsidP="006B3DBE">
      <w:pPr>
        <w:jc w:val="both"/>
      </w:pPr>
      <w:r>
        <w:t xml:space="preserve">In the context of this report, then, “recognition of prior learning” will denote the formal assessment of learning outcomes achieved through non-formal or informal education for the purpose of granting access to a study program or </w:t>
      </w:r>
      <w:r w:rsidR="007D3BFC">
        <w:t xml:space="preserve">facilitating </w:t>
      </w:r>
      <w:r>
        <w:t>the award of a qualification. Many EHEA members and their higher education institutions have well established practice for the recognition of prior learning, whereas in other countries and institutions, the recognition of prior learning is a new approach.  Whether practices and policies for the recognition of prior learning have yet to be established or have been in operation for some time, they should constantly be (re)assessed with a view to further improvement. To a greater or lesser degree, the recognition of prior learning maybe met with incomprehension by academic staff, employers and other whose conception of qualifications are strongly traditional. The network on the Recognition of Prior Learning was established with a view to improving and developing policy and practice throughout the EHEA but the Network has provided insufficient evidence of success in this endeavor.  When developing its work program for the 2015 – 18 period, the BFUG should assess whether the Network is (still) an appropriate instrument for furthering the recognition of prior learning within the EHEA.</w:t>
      </w:r>
    </w:p>
    <w:p w14:paraId="2A70F41F" w14:textId="77777777" w:rsidR="00080625" w:rsidRDefault="00080625" w:rsidP="00080625"/>
    <w:p w14:paraId="4A521E4E" w14:textId="77777777" w:rsidR="00080625" w:rsidRDefault="00080625" w:rsidP="00D11C78">
      <w:pPr>
        <w:jc w:val="both"/>
      </w:pPr>
      <w:r>
        <w:t>The recognition of prior learning is an area in which there are not only considerable differences still between the policy and practice of different institutions and countries, but also an area that has seen relatively rapid developments over the past decade or two. This is illustrated by the fact that the provisions of the Lisbon Recognition Convention are relatively general (Article IV.8):</w:t>
      </w:r>
    </w:p>
    <w:p w14:paraId="4B617665" w14:textId="77777777" w:rsidR="00080625" w:rsidRDefault="00080625" w:rsidP="00080625"/>
    <w:p w14:paraId="7507D548" w14:textId="77777777" w:rsidR="00080625" w:rsidRPr="001B65D9" w:rsidRDefault="00080625" w:rsidP="00D11C78">
      <w:pPr>
        <w:tabs>
          <w:tab w:val="left" w:pos="-1440"/>
          <w:tab w:val="left" w:pos="-864"/>
          <w:tab w:val="left" w:pos="-432"/>
          <w:tab w:val="left" w:pos="0"/>
          <w:tab w:val="left" w:pos="432"/>
          <w:tab w:val="left" w:pos="567"/>
          <w:tab w:val="left" w:pos="1417"/>
          <w:tab w:val="left" w:pos="2160"/>
        </w:tabs>
        <w:suppressAutoHyphens/>
        <w:ind w:left="567" w:right="571"/>
        <w:rPr>
          <w:spacing w:val="-2"/>
          <w:sz w:val="22"/>
          <w:szCs w:val="22"/>
        </w:rPr>
      </w:pPr>
      <w:r w:rsidRPr="001B65D9">
        <w:rPr>
          <w:spacing w:val="-2"/>
          <w:sz w:val="22"/>
          <w:szCs w:val="22"/>
        </w:rPr>
        <w:t>In the Parties in which access to higher education may be obtained on the basis of non-traditional qualifications, similar qualifications obtained in other Parties shall be assessed in a similar manner as non-traditional qualifications earned in the Party in which recognition is sought.</w:t>
      </w:r>
    </w:p>
    <w:p w14:paraId="488E2E21" w14:textId="77777777" w:rsidR="00080625" w:rsidRDefault="00080625" w:rsidP="00080625"/>
    <w:p w14:paraId="118C9550" w14:textId="77777777" w:rsidR="00080625" w:rsidRDefault="00080625" w:rsidP="00D11C78">
      <w:pPr>
        <w:jc w:val="both"/>
      </w:pPr>
      <w:r>
        <w:t>This text reflects the fact that at the time the Lisbon Recognition Convention was adopted (1997), the very idea of the recognition of prior learning was unevenly accepted throughout the European Region.</w:t>
      </w:r>
    </w:p>
    <w:p w14:paraId="5948D210" w14:textId="77777777" w:rsidR="00080625" w:rsidRDefault="00080625" w:rsidP="00080625">
      <w:r>
        <w:t xml:space="preserve"> </w:t>
      </w:r>
    </w:p>
    <w:p w14:paraId="59AF8BE6" w14:textId="77777777" w:rsidR="00080625" w:rsidRDefault="00080625" w:rsidP="00D11C78">
      <w:pPr>
        <w:jc w:val="both"/>
      </w:pPr>
      <w:r>
        <w:t>In the view of the SRWG, EHEA members and their institutions should continue to develop policy and practice to facilitate the recognition of prior learning. This is important from the point of view of individual justice – learners should get due recognition of their qualifications without having to repeat learning or exams that they have already undertaken – as well as of societal efficiency – as societies we cannot afford not to make full use of the qualifications of all citizens.  The recommendations set out below aim to encourage and enable public authorities, higher education institutions and employers to facilitate the recognition of prior learning in their respective contexts.</w:t>
      </w:r>
    </w:p>
    <w:p w14:paraId="3E96D976" w14:textId="77777777" w:rsidR="00080625" w:rsidRDefault="00080625" w:rsidP="00080625"/>
    <w:p w14:paraId="3C2154B7" w14:textId="77777777" w:rsidR="00080625" w:rsidRPr="00061E43" w:rsidRDefault="00080625" w:rsidP="00080625">
      <w:pPr>
        <w:rPr>
          <w:b/>
          <w:i/>
        </w:rPr>
      </w:pPr>
      <w:r w:rsidRPr="00061E43">
        <w:rPr>
          <w:b/>
          <w:i/>
        </w:rPr>
        <w:t>Recommendations</w:t>
      </w:r>
    </w:p>
    <w:p w14:paraId="65BBC9F1" w14:textId="77777777" w:rsidR="00080625" w:rsidRDefault="00080625" w:rsidP="00080625"/>
    <w:p w14:paraId="703F1E1B" w14:textId="77777777" w:rsidR="00080625" w:rsidRDefault="00080625" w:rsidP="00080625">
      <w:r w:rsidRPr="00A62D1B">
        <w:rPr>
          <w:i/>
        </w:rPr>
        <w:t>Public authorities</w:t>
      </w:r>
      <w:r>
        <w:t xml:space="preserve"> should</w:t>
      </w:r>
    </w:p>
    <w:p w14:paraId="4072DFCE" w14:textId="77777777" w:rsidR="00080625" w:rsidRDefault="00080625" w:rsidP="00080625"/>
    <w:p w14:paraId="1200AE31" w14:textId="77777777" w:rsidR="00080625" w:rsidRDefault="00080625" w:rsidP="00B40521">
      <w:pPr>
        <w:pStyle w:val="ListParagraph"/>
        <w:numPr>
          <w:ilvl w:val="0"/>
          <w:numId w:val="86"/>
        </w:numPr>
        <w:ind w:hanging="720"/>
      </w:pPr>
      <w:r>
        <w:t>Review current legislation with a view to removing any remaining obstacles to the recognition of prior learning for the purposes of providing access to higher education programs and</w:t>
      </w:r>
      <w:r w:rsidR="00E34338" w:rsidRPr="00E34338">
        <w:t xml:space="preserve"> </w:t>
      </w:r>
      <w:r w:rsidR="00E34338">
        <w:t>facilitating the award of qualifications</w:t>
      </w:r>
      <w:r>
        <w:t xml:space="preserve"> on the basis of prior learning;</w:t>
      </w:r>
    </w:p>
    <w:p w14:paraId="3F2744CC" w14:textId="77777777" w:rsidR="00080625" w:rsidRDefault="00080625" w:rsidP="00B40521">
      <w:pPr>
        <w:pStyle w:val="ListParagraph"/>
        <w:numPr>
          <w:ilvl w:val="0"/>
          <w:numId w:val="86"/>
        </w:numPr>
        <w:ind w:hanging="720"/>
      </w:pPr>
      <w:r>
        <w:t xml:space="preserve">Review their national qualifications frameworks with a view to ensuring that learning paths within the framework provide adequately for the recognition of prior learning; </w:t>
      </w:r>
    </w:p>
    <w:p w14:paraId="60872C63" w14:textId="77777777" w:rsidR="00080625" w:rsidRDefault="00080625" w:rsidP="00926A45">
      <w:pPr>
        <w:ind w:hanging="720"/>
      </w:pPr>
    </w:p>
    <w:p w14:paraId="3CBEA97B" w14:textId="77777777" w:rsidR="00080625" w:rsidRDefault="00080625" w:rsidP="00926A45">
      <w:r w:rsidRPr="00A62D1B">
        <w:rPr>
          <w:i/>
        </w:rPr>
        <w:t>Higher education institutions</w:t>
      </w:r>
      <w:r>
        <w:t xml:space="preserve"> should:</w:t>
      </w:r>
    </w:p>
    <w:p w14:paraId="7978B384" w14:textId="77777777" w:rsidR="00080625" w:rsidRDefault="00080625" w:rsidP="00926A45">
      <w:pPr>
        <w:ind w:hanging="720"/>
      </w:pPr>
    </w:p>
    <w:p w14:paraId="268BB502" w14:textId="77777777" w:rsidR="00080625" w:rsidRDefault="00080625" w:rsidP="00B40521">
      <w:pPr>
        <w:pStyle w:val="ListParagraph"/>
        <w:numPr>
          <w:ilvl w:val="0"/>
          <w:numId w:val="87"/>
        </w:numPr>
        <w:ind w:hanging="720"/>
      </w:pPr>
      <w:r>
        <w:t>Develop a coordinated institutional approach to the recognition of higher learning, if and where such an approach has not yet been adopted;</w:t>
      </w:r>
    </w:p>
    <w:p w14:paraId="58ABD07D" w14:textId="77777777" w:rsidR="00080625" w:rsidRDefault="00080625" w:rsidP="00B40521">
      <w:pPr>
        <w:pStyle w:val="ListParagraph"/>
        <w:numPr>
          <w:ilvl w:val="0"/>
          <w:numId w:val="87"/>
        </w:numPr>
        <w:ind w:hanging="720"/>
      </w:pPr>
      <w:r>
        <w:t>Commit to the recognition of prior learning by developing institutional policies and guidelines;</w:t>
      </w:r>
    </w:p>
    <w:p w14:paraId="526A1F2E" w14:textId="77777777" w:rsidR="00080625" w:rsidRDefault="00080625" w:rsidP="00B40521">
      <w:pPr>
        <w:pStyle w:val="ListParagraph"/>
        <w:numPr>
          <w:ilvl w:val="0"/>
          <w:numId w:val="87"/>
        </w:numPr>
        <w:ind w:hanging="720"/>
      </w:pPr>
      <w:r>
        <w:t xml:space="preserve">Develop and design flexible curricula that provide and take account of opportunities for the recognition of prior learning and that include flexible modes of entry, progression and delivery; </w:t>
      </w:r>
    </w:p>
    <w:p w14:paraId="4C3B0466" w14:textId="77777777" w:rsidR="00080625" w:rsidRDefault="00080625" w:rsidP="00B40521">
      <w:pPr>
        <w:pStyle w:val="ListParagraph"/>
        <w:numPr>
          <w:ilvl w:val="0"/>
          <w:numId w:val="87"/>
        </w:numPr>
        <w:ind w:hanging="720"/>
      </w:pPr>
      <w:r>
        <w:t>Ensure that possibilities for the recognition of prior learning are included in the development and design of curricula and study programs.</w:t>
      </w:r>
    </w:p>
    <w:p w14:paraId="0F248AFC" w14:textId="77777777" w:rsidR="00080625" w:rsidRDefault="00080625" w:rsidP="00080625">
      <w:r>
        <w:t xml:space="preserve"> </w:t>
      </w:r>
    </w:p>
    <w:p w14:paraId="07F4956E" w14:textId="77777777" w:rsidR="00080625" w:rsidRDefault="00080625" w:rsidP="00B059E2">
      <w:pPr>
        <w:jc w:val="both"/>
      </w:pPr>
      <w:r w:rsidRPr="00273809">
        <w:rPr>
          <w:i/>
        </w:rPr>
        <w:t>Employers</w:t>
      </w:r>
      <w:r>
        <w:t xml:space="preserve"> </w:t>
      </w:r>
      <w:r w:rsidRPr="00273809">
        <w:rPr>
          <w:i/>
        </w:rPr>
        <w:t>and higher education institutions, with the support of public authorities</w:t>
      </w:r>
      <w:r>
        <w:t xml:space="preserve"> as appropriate, should develop policies and practice for work based learning that provide sufficient grounds, </w:t>
      </w:r>
      <w:r w:rsidRPr="00273809">
        <w:rPr>
          <w:i/>
        </w:rPr>
        <w:t>inter alia</w:t>
      </w:r>
      <w:r>
        <w:t xml:space="preserve"> through the clear definition and attestation of learning outcomes, for the recognition of work based learning not a part of formal education for the purposes of providing access to higher education programs and awarding qualifications.</w:t>
      </w:r>
    </w:p>
    <w:p w14:paraId="4D15530F" w14:textId="77777777" w:rsidR="00080625" w:rsidRDefault="00080625" w:rsidP="00B059E2">
      <w:pPr>
        <w:jc w:val="both"/>
      </w:pPr>
    </w:p>
    <w:p w14:paraId="462045D5" w14:textId="77777777" w:rsidR="00080625" w:rsidRPr="00722AE6" w:rsidRDefault="00080625" w:rsidP="00B059E2">
      <w:pPr>
        <w:jc w:val="both"/>
      </w:pPr>
      <w:r>
        <w:lastRenderedPageBreak/>
        <w:t xml:space="preserve">The </w:t>
      </w:r>
      <w:r w:rsidRPr="00722AE6">
        <w:rPr>
          <w:i/>
        </w:rPr>
        <w:t>ENIC and NARIC Networks and the Lisbon Recognition Convention Committee</w:t>
      </w:r>
      <w:r>
        <w:t xml:space="preserve"> should develop proposals for coherent policy and practice for the recognition of prior learning throughout the EHEA. </w:t>
      </w:r>
      <w:r w:rsidRPr="00722AE6">
        <w:t>The</w:t>
      </w:r>
      <w:r w:rsidRPr="00722AE6">
        <w:rPr>
          <w:i/>
        </w:rPr>
        <w:t xml:space="preserve"> Lisbon Recognition Convention Committee</w:t>
      </w:r>
      <w:r>
        <w:t xml:space="preserve"> should consider whether a subsidiary text to the Lisbon Recognition Convention might be developed and, as appropriate, submit a draft text for adoption by 2018.</w:t>
      </w:r>
    </w:p>
    <w:p w14:paraId="5F23DEFC" w14:textId="77777777" w:rsidR="00080625" w:rsidRDefault="00080625" w:rsidP="00B059E2">
      <w:pPr>
        <w:jc w:val="both"/>
      </w:pPr>
    </w:p>
    <w:p w14:paraId="7E2E44E2" w14:textId="77777777" w:rsidR="00080625" w:rsidRDefault="00080625" w:rsidP="00B059E2">
      <w:pPr>
        <w:jc w:val="both"/>
      </w:pPr>
      <w:r>
        <w:t xml:space="preserve">When developing its work program for the 2015 – 18 period, the </w:t>
      </w:r>
      <w:r w:rsidRPr="00061E43">
        <w:rPr>
          <w:i/>
        </w:rPr>
        <w:t>BFUG should</w:t>
      </w:r>
      <w:r>
        <w:t xml:space="preserve"> assess whether the RPL Network is (still) an appropriate instrument for furthering the recognition of prior learning within the EHEA.</w:t>
      </w:r>
    </w:p>
    <w:p w14:paraId="50157C0D" w14:textId="77777777" w:rsidR="00080625" w:rsidRDefault="00080625" w:rsidP="00080625">
      <w:pPr>
        <w:pStyle w:val="Body"/>
        <w:rPr>
          <w:color w:val="FF0000"/>
          <w:u w:color="FF0000"/>
        </w:rPr>
      </w:pPr>
    </w:p>
    <w:p w14:paraId="6344D291" w14:textId="77777777" w:rsidR="00080625" w:rsidRDefault="00080625" w:rsidP="00080625">
      <w:pPr>
        <w:pStyle w:val="Body"/>
        <w:rPr>
          <w:color w:val="FF0000"/>
          <w:u w:color="FF0000"/>
        </w:rPr>
      </w:pPr>
    </w:p>
    <w:p w14:paraId="624EE854" w14:textId="77777777" w:rsidR="00080625" w:rsidRDefault="00080625" w:rsidP="00080625">
      <w:pPr>
        <w:pStyle w:val="Body"/>
        <w:rPr>
          <w:color w:val="FF0000"/>
          <w:u w:color="FF0000"/>
        </w:rPr>
      </w:pPr>
    </w:p>
    <w:p w14:paraId="0833CEB0" w14:textId="77777777" w:rsidR="00080625" w:rsidRDefault="00080625" w:rsidP="00080625">
      <w:pPr>
        <w:pStyle w:val="Body"/>
        <w:rPr>
          <w:rFonts w:ascii="Times New Roman Bold" w:eastAsia="Times New Roman Bold" w:hAnsi="Times New Roman Bold" w:cs="Times New Roman Bold"/>
          <w:caps/>
        </w:rPr>
      </w:pPr>
      <w:r>
        <w:rPr>
          <w:rFonts w:ascii="Times New Roman Bold"/>
        </w:rPr>
        <w:t>IV.4</w:t>
      </w:r>
      <w:r>
        <w:rPr>
          <w:rFonts w:ascii="Times New Roman Bold"/>
        </w:rPr>
        <w:tab/>
      </w:r>
      <w:r>
        <w:rPr>
          <w:rFonts w:ascii="Times New Roman Bold"/>
          <w:caps/>
        </w:rPr>
        <w:t>Transparency</w:t>
      </w:r>
    </w:p>
    <w:p w14:paraId="468CE631" w14:textId="77777777" w:rsidR="00080625" w:rsidRDefault="00080625" w:rsidP="00080625">
      <w:pPr>
        <w:pStyle w:val="Body"/>
        <w:rPr>
          <w:rFonts w:ascii="Times New Roman Bold" w:eastAsia="Times New Roman Bold" w:hAnsi="Times New Roman Bold" w:cs="Times New Roman Bold"/>
        </w:rPr>
      </w:pPr>
    </w:p>
    <w:p w14:paraId="2667BEBE" w14:textId="77777777" w:rsidR="00080625" w:rsidRDefault="00080625" w:rsidP="00080625">
      <w:pPr>
        <w:pStyle w:val="Body"/>
      </w:pPr>
      <w:r w:rsidRPr="002B3A7F">
        <w:rPr>
          <w:rFonts w:ascii="Times New Roman Bold"/>
        </w:rPr>
        <w:t>IV.4.1</w:t>
      </w:r>
      <w:r w:rsidRPr="002B3A7F">
        <w:rPr>
          <w:rFonts w:ascii="Times New Roman Bold"/>
        </w:rPr>
        <w:tab/>
        <w:t>Diploma Supplement</w:t>
      </w:r>
      <w:r>
        <w:t xml:space="preserve"> (ToR no. 1)</w:t>
      </w:r>
    </w:p>
    <w:p w14:paraId="750D49CD" w14:textId="77777777" w:rsidR="00B059E2" w:rsidRDefault="00B059E2" w:rsidP="00080625">
      <w:pPr>
        <w:pStyle w:val="Body"/>
      </w:pPr>
    </w:p>
    <w:p w14:paraId="19D521F4" w14:textId="77777777" w:rsidR="00080625" w:rsidRDefault="00080625" w:rsidP="00B059E2">
      <w:pPr>
        <w:pStyle w:val="Body"/>
        <w:jc w:val="both"/>
      </w:pPr>
      <w:r>
        <w:t xml:space="preserve">The Diploma Supplement is a transparency instrument under the Lisbon Recognition Convention as well as a part of Europass.  It was developed jointly by the European Commission, the Council of Europe and UNESCO and belongs to the two separate frameworks for decision making just outlined. </w:t>
      </w:r>
    </w:p>
    <w:p w14:paraId="20845772" w14:textId="77777777" w:rsidR="00B059E2" w:rsidRDefault="00B059E2" w:rsidP="00080625">
      <w:pPr>
        <w:pStyle w:val="Body"/>
      </w:pPr>
    </w:p>
    <w:p w14:paraId="101B8709" w14:textId="77777777" w:rsidR="00080625" w:rsidRDefault="00080625" w:rsidP="00B059E2">
      <w:pPr>
        <w:pStyle w:val="NoSpacing"/>
        <w:jc w:val="both"/>
      </w:pPr>
      <w:r>
        <w:t xml:space="preserve">There are at least two issues linked to the Diploma Supplement.  The first is that in spite of ministers having committed to issuing the Diploma Supplement automatically, free of charge and in a widely spoken language by 2005, 9 years later this is still far from being a reality in the EHEA </w:t>
      </w:r>
      <w:r>
        <w:rPr>
          <w:rFonts w:ascii="Arial Unicode MS"/>
        </w:rPr>
        <w:t>–</w:t>
      </w:r>
      <w:r>
        <w:rPr>
          <w:rFonts w:ascii="Arial Unicode MS"/>
        </w:rPr>
        <w:t xml:space="preserve"> </w:t>
      </w:r>
      <w:r>
        <w:t xml:space="preserve">and it seems likely this will also be the case in 2015, 10 years after this commitment should have been honored.  </w:t>
      </w:r>
    </w:p>
    <w:p w14:paraId="0B1816DA" w14:textId="77777777" w:rsidR="00B059E2" w:rsidRDefault="00B059E2" w:rsidP="00080625">
      <w:pPr>
        <w:pStyle w:val="Body"/>
      </w:pPr>
    </w:p>
    <w:p w14:paraId="36314D9D" w14:textId="77777777" w:rsidR="00080625" w:rsidRDefault="00080625" w:rsidP="00B059E2">
      <w:pPr>
        <w:pStyle w:val="Body"/>
        <w:jc w:val="both"/>
      </w:pPr>
      <w:r>
        <w:t>The other issue is whether the Diploma Supplement should be reconsidered in the light of developments in European higher education since it was adopted in the late 1990s.  These developments include a stronger emphasis on learning outcomes, the development of national qualifications frameworks compatible with the QF-EHEA and/or the EQF, a much stronger emphasis on external quality assurance, including the development (and soon the revision) of the ESG and the establishment of EQAR, the development of on line information, and responsibility for ensuring the quality of Diploma Supplements. The SRWG is aware that the Pathfinder Group on automatic recognition will most likely recommend that the Diploma Supplement be reviewed.</w:t>
      </w:r>
    </w:p>
    <w:p w14:paraId="1C7B3E27" w14:textId="77777777" w:rsidR="00B059E2" w:rsidRDefault="00B059E2" w:rsidP="00080625">
      <w:pPr>
        <w:pStyle w:val="Body"/>
        <w:rPr>
          <w:color w:val="auto"/>
          <w:u w:color="FF0000"/>
        </w:rPr>
      </w:pPr>
    </w:p>
    <w:p w14:paraId="3F0C27E6" w14:textId="77777777" w:rsidR="00080625" w:rsidRPr="002B3A7F" w:rsidRDefault="00080625" w:rsidP="00B059E2">
      <w:pPr>
        <w:pStyle w:val="Body"/>
        <w:jc w:val="both"/>
        <w:rPr>
          <w:color w:val="auto"/>
          <w:u w:color="FF0000"/>
        </w:rPr>
      </w:pPr>
      <w:r>
        <w:rPr>
          <w:color w:val="auto"/>
          <w:u w:color="FF0000"/>
        </w:rPr>
        <w:t>T</w:t>
      </w:r>
      <w:r w:rsidRPr="002B3A7F">
        <w:rPr>
          <w:color w:val="auto"/>
          <w:u w:color="FF0000"/>
        </w:rPr>
        <w:t>he Diploma Supplement was developed jointly by three international institutions in two different formal settings, and modifying it will be an elaborate process in which, as far as the Lisbon Recognition Convention is concerned, the next opportunity w</w:t>
      </w:r>
      <w:r>
        <w:rPr>
          <w:color w:val="auto"/>
          <w:u w:color="FF0000"/>
        </w:rPr>
        <w:t>ill</w:t>
      </w:r>
      <w:r w:rsidRPr="002B3A7F">
        <w:rPr>
          <w:color w:val="auto"/>
          <w:u w:color="FF0000"/>
        </w:rPr>
        <w:t xml:space="preserve"> be the meeting of the Convention Committee in 2016.  </w:t>
      </w:r>
      <w:r>
        <w:rPr>
          <w:color w:val="auto"/>
          <w:u w:color="FF0000"/>
        </w:rPr>
        <w:t>N</w:t>
      </w:r>
      <w:r w:rsidRPr="002B3A7F">
        <w:rPr>
          <w:color w:val="auto"/>
          <w:u w:color="FF0000"/>
        </w:rPr>
        <w:t xml:space="preserve">either </w:t>
      </w:r>
      <w:r>
        <w:rPr>
          <w:color w:val="auto"/>
          <w:u w:color="FF0000"/>
        </w:rPr>
        <w:t>the appropriate body of the European Union n</w:t>
      </w:r>
      <w:r w:rsidRPr="002B3A7F">
        <w:rPr>
          <w:color w:val="auto"/>
          <w:u w:color="FF0000"/>
        </w:rPr>
        <w:t>or the Lisbon Recognition Convention Committee) can adopt a revised Diploma Supplement without the consent of the other</w:t>
      </w:r>
      <w:r>
        <w:rPr>
          <w:color w:val="auto"/>
          <w:u w:color="FF0000"/>
        </w:rPr>
        <w:t xml:space="preserve"> and it is important to ensure that both frameworks adopt an identical version of a revised Diploma Supplement.</w:t>
      </w:r>
      <w:r w:rsidRPr="002B3A7F">
        <w:rPr>
          <w:color w:val="auto"/>
          <w:u w:color="FF0000"/>
        </w:rPr>
        <w:t>.</w:t>
      </w:r>
    </w:p>
    <w:p w14:paraId="50637234" w14:textId="77777777" w:rsidR="00080625" w:rsidRDefault="00080625" w:rsidP="00080625">
      <w:pPr>
        <w:pStyle w:val="Body"/>
        <w:rPr>
          <w:color w:val="FF0000"/>
          <w:u w:color="FF0000"/>
        </w:rPr>
      </w:pPr>
    </w:p>
    <w:p w14:paraId="122111F4" w14:textId="77777777" w:rsidR="00080625" w:rsidRDefault="00080625" w:rsidP="00080625">
      <w:pPr>
        <w:pStyle w:val="Body"/>
        <w:rPr>
          <w:b/>
          <w:bCs/>
          <w:i/>
          <w:iCs/>
        </w:rPr>
      </w:pPr>
      <w:r w:rsidRPr="002B3A7F">
        <w:rPr>
          <w:b/>
          <w:bCs/>
          <w:i/>
          <w:iCs/>
        </w:rPr>
        <w:t>Recommendations</w:t>
      </w:r>
    </w:p>
    <w:p w14:paraId="19BA880C" w14:textId="77777777" w:rsidR="00B059E2" w:rsidRDefault="00B059E2" w:rsidP="00080625">
      <w:pPr>
        <w:pStyle w:val="Body"/>
        <w:rPr>
          <w:i/>
          <w:iCs/>
        </w:rPr>
      </w:pPr>
    </w:p>
    <w:p w14:paraId="2401F600" w14:textId="77777777" w:rsidR="00080625" w:rsidRPr="002B3A7F" w:rsidRDefault="00080625" w:rsidP="00080625">
      <w:pPr>
        <w:pStyle w:val="Body"/>
        <w:rPr>
          <w:iCs/>
        </w:rPr>
      </w:pPr>
      <w:r w:rsidRPr="00B30CB6">
        <w:rPr>
          <w:i/>
          <w:iCs/>
        </w:rPr>
        <w:lastRenderedPageBreak/>
        <w:t>At their 2015 meeting, Ministers should</w:t>
      </w:r>
      <w:r w:rsidRPr="002B3A7F">
        <w:rPr>
          <w:iCs/>
        </w:rPr>
        <w:t xml:space="preserve"> commit to fulfilling their previous commitment to issue the Diploma Supplement automatically, free of charge and in a widely spoken language in time for this commitment to be verified in the 2018 Implementation report.</w:t>
      </w:r>
    </w:p>
    <w:p w14:paraId="7A4715F8" w14:textId="77777777" w:rsidR="00080625" w:rsidRPr="002B3A7F" w:rsidRDefault="00080625" w:rsidP="00080625">
      <w:pPr>
        <w:pStyle w:val="Body"/>
        <w:rPr>
          <w:iCs/>
        </w:rPr>
      </w:pPr>
      <w:r>
        <w:rPr>
          <w:iCs/>
        </w:rPr>
        <w:t xml:space="preserve"> </w:t>
      </w:r>
    </w:p>
    <w:p w14:paraId="1422BF3C" w14:textId="77777777" w:rsidR="00080625" w:rsidRPr="002B3A7F" w:rsidRDefault="00080625" w:rsidP="00080625">
      <w:pPr>
        <w:pStyle w:val="Body"/>
      </w:pPr>
      <w:r w:rsidRPr="00B30CB6">
        <w:rPr>
          <w:i/>
        </w:rPr>
        <w:t>T</w:t>
      </w:r>
      <w:r w:rsidRPr="00B30CB6">
        <w:rPr>
          <w:i/>
          <w:iCs/>
        </w:rPr>
        <w:t>he Council of Europe, the European Commission and UNESCO</w:t>
      </w:r>
      <w:r w:rsidRPr="00B30CB6">
        <w:rPr>
          <w:i/>
        </w:rPr>
        <w:t xml:space="preserve"> should</w:t>
      </w:r>
      <w:r w:rsidRPr="002B3A7F">
        <w:t>:</w:t>
      </w:r>
      <w:r w:rsidRPr="002B3A7F">
        <w:br/>
      </w:r>
    </w:p>
    <w:p w14:paraId="140F2941" w14:textId="77777777" w:rsidR="00080625" w:rsidRDefault="00080625" w:rsidP="00B40521">
      <w:pPr>
        <w:pStyle w:val="NoSpacing"/>
        <w:numPr>
          <w:ilvl w:val="0"/>
          <w:numId w:val="109"/>
        </w:numPr>
        <w:ind w:hanging="720"/>
      </w:pPr>
      <w:r>
        <w:t>review the Diploma Supplement with a view to ensuring it reflects recent developments in higher education, including the development of learning outcomes and qualifications frameworks, is relevant and up to date for the purposes of mobility and the recognition of qualifications as well as promoting employability and that it takes into account the possibilities for providing up to date information offered by modern information technology, including the digitalization of the Diploma Supplement itself;</w:t>
      </w:r>
      <w:r w:rsidR="004911C7">
        <w:br/>
      </w:r>
    </w:p>
    <w:p w14:paraId="24AE6EE4" w14:textId="77777777" w:rsidR="00080625" w:rsidRPr="004A4FAE" w:rsidRDefault="00080625" w:rsidP="00B40521">
      <w:pPr>
        <w:pStyle w:val="NoSpacing"/>
        <w:numPr>
          <w:ilvl w:val="0"/>
          <w:numId w:val="109"/>
        </w:numPr>
        <w:ind w:hanging="720"/>
      </w:pPr>
      <w:r>
        <w:t>include in the revision the specificities of doctoral education, in terms of program</w:t>
      </w:r>
      <w:r w:rsidRPr="00465C19">
        <w:t xml:space="preserve"> description, specific learning activities, thesis title and assessment, as well as mobility experiences, transferable skills, international cooperation activities that the student has been involved in and research projects </w:t>
      </w:r>
      <w:r>
        <w:t xml:space="preserve">of which </w:t>
      </w:r>
      <w:r w:rsidRPr="00465C19">
        <w:t>the student has been a part</w:t>
      </w:r>
      <w:r>
        <w:t>;</w:t>
      </w:r>
    </w:p>
    <w:p w14:paraId="52E0F738" w14:textId="77777777" w:rsidR="00080625" w:rsidRDefault="00080625" w:rsidP="00926A45">
      <w:pPr>
        <w:pStyle w:val="NoSpacing"/>
        <w:ind w:hanging="720"/>
      </w:pPr>
    </w:p>
    <w:p w14:paraId="1B7909BF" w14:textId="77777777" w:rsidR="00080625" w:rsidRDefault="00080625" w:rsidP="00B40521">
      <w:pPr>
        <w:pStyle w:val="NoSpacing"/>
        <w:numPr>
          <w:ilvl w:val="0"/>
          <w:numId w:val="109"/>
        </w:numPr>
        <w:ind w:hanging="720"/>
      </w:pPr>
      <w:r>
        <w:t>ensure the adoption of any revised version of the Diploma Supplement, in identical versions, within the framework of the Lisbon Recognition Convention as well as that of the European Union;</w:t>
      </w:r>
      <w:r w:rsidR="004911C7">
        <w:br/>
      </w:r>
    </w:p>
    <w:p w14:paraId="0D77952B" w14:textId="77777777" w:rsidR="00080625" w:rsidRDefault="00080625" w:rsidP="00B40521">
      <w:pPr>
        <w:pStyle w:val="NoSpacing"/>
        <w:numPr>
          <w:ilvl w:val="0"/>
          <w:numId w:val="109"/>
        </w:numPr>
        <w:ind w:hanging="720"/>
      </w:pPr>
      <w:r>
        <w:t>ensure coherence between a review of the Diploma Supplement and the possible development of a “Doctoral Supplement” within the European Research Area.</w:t>
      </w:r>
    </w:p>
    <w:p w14:paraId="3FA24F9D" w14:textId="77777777" w:rsidR="00080625" w:rsidRPr="00061E43" w:rsidRDefault="00080625" w:rsidP="00080625">
      <w:pPr>
        <w:pStyle w:val="Body"/>
        <w:rPr>
          <w:iCs/>
          <w:color w:val="FF0000"/>
          <w:u w:color="FF0000"/>
        </w:rPr>
      </w:pPr>
    </w:p>
    <w:p w14:paraId="50D50E54" w14:textId="77777777" w:rsidR="00080625" w:rsidRDefault="00080625" w:rsidP="00080625">
      <w:pPr>
        <w:pStyle w:val="Body"/>
        <w:rPr>
          <w:i/>
          <w:iCs/>
          <w:color w:val="FF0000"/>
          <w:u w:color="FF0000"/>
        </w:rPr>
      </w:pPr>
    </w:p>
    <w:p w14:paraId="1893939F" w14:textId="77777777" w:rsidR="00080625" w:rsidRPr="002849C6" w:rsidRDefault="00080625" w:rsidP="00080625">
      <w:pPr>
        <w:pStyle w:val="Body"/>
      </w:pPr>
      <w:r>
        <w:rPr>
          <w:rFonts w:ascii="Times New Roman Bold"/>
        </w:rPr>
        <w:t>IV.4.2</w:t>
      </w:r>
      <w:r>
        <w:rPr>
          <w:rFonts w:ascii="Times New Roman Bold"/>
        </w:rPr>
        <w:tab/>
        <w:t>Review of the ECTS Users</w:t>
      </w:r>
      <w:r w:rsidRPr="003B23C3">
        <w:t>’</w:t>
      </w:r>
      <w:r w:rsidRPr="003B23C3">
        <w:t xml:space="preserve"> </w:t>
      </w:r>
      <w:r w:rsidRPr="003B23C3">
        <w:rPr>
          <w:rFonts w:ascii="Times New Roman Bold"/>
        </w:rPr>
        <w:t>Guide</w:t>
      </w:r>
      <w:r>
        <w:t xml:space="preserve"> (ToR no. 8)</w:t>
      </w:r>
    </w:p>
    <w:p w14:paraId="7092EBD6" w14:textId="77777777" w:rsidR="00080625" w:rsidRPr="00D67703" w:rsidRDefault="00080625" w:rsidP="00080625">
      <w:pPr>
        <w:jc w:val="both"/>
        <w:outlineLvl w:val="0"/>
        <w:rPr>
          <w:b/>
        </w:rPr>
      </w:pPr>
      <w:commentRangeStart w:id="11"/>
      <w:r w:rsidRPr="00D67703">
        <w:rPr>
          <w:b/>
        </w:rPr>
        <w:t>Context</w:t>
      </w:r>
      <w:commentRangeEnd w:id="11"/>
      <w:r>
        <w:rPr>
          <w:rStyle w:val="CommentReference"/>
          <w:rFonts w:eastAsia="Times New Roman"/>
          <w:color w:val="000000"/>
          <w:u w:color="000000"/>
        </w:rPr>
        <w:commentReference w:id="11"/>
      </w:r>
    </w:p>
    <w:p w14:paraId="4F6E6FF8" w14:textId="77777777" w:rsidR="00080625" w:rsidRPr="00D67703" w:rsidRDefault="00080625" w:rsidP="00080625">
      <w:pPr>
        <w:pStyle w:val="Default"/>
        <w:jc w:val="both"/>
        <w:rPr>
          <w:rFonts w:ascii="Times New Roman" w:hAnsi="Times New Roman" w:cs="Times New Roman"/>
          <w:color w:val="auto"/>
        </w:rPr>
      </w:pPr>
    </w:p>
    <w:p w14:paraId="5ACA676A" w14:textId="77777777" w:rsidR="00080625" w:rsidRPr="00D67703" w:rsidRDefault="00080625" w:rsidP="00080625">
      <w:pPr>
        <w:pStyle w:val="Default"/>
        <w:jc w:val="both"/>
        <w:rPr>
          <w:rFonts w:ascii="Times New Roman" w:hAnsi="Times New Roman" w:cs="Times New Roman"/>
          <w:color w:val="auto"/>
        </w:rPr>
      </w:pPr>
      <w:r>
        <w:rPr>
          <w:rFonts w:ascii="Times New Roman" w:hAnsi="Times New Roman" w:cs="Times New Roman"/>
          <w:color w:val="auto"/>
        </w:rPr>
        <w:t>The Bologna P</w:t>
      </w:r>
      <w:r w:rsidRPr="00D67703">
        <w:rPr>
          <w:rFonts w:ascii="Times New Roman" w:hAnsi="Times New Roman" w:cs="Times New Roman"/>
          <w:color w:val="auto"/>
        </w:rPr>
        <w:t xml:space="preserve">rocess recognized from the outset the central importance of a credit system – ECTS - for recognition, transfer and accumulation. The Bucharest Communiqué </w:t>
      </w:r>
      <w:r>
        <w:rPr>
          <w:rFonts w:ascii="Times New Roman" w:hAnsi="Times New Roman" w:cs="Times New Roman"/>
          <w:color w:val="auto"/>
        </w:rPr>
        <w:t>includes</w:t>
      </w:r>
      <w:r w:rsidRPr="00D67703">
        <w:rPr>
          <w:rFonts w:ascii="Times New Roman" w:hAnsi="Times New Roman" w:cs="Times New Roman"/>
          <w:color w:val="auto"/>
        </w:rPr>
        <w:t xml:space="preserve"> a commitment to ensur</w:t>
      </w:r>
      <w:r>
        <w:rPr>
          <w:rFonts w:ascii="Times New Roman" w:hAnsi="Times New Roman" w:cs="Times New Roman"/>
          <w:color w:val="auto"/>
        </w:rPr>
        <w:t>ing</w:t>
      </w:r>
      <w:r w:rsidRPr="00D67703">
        <w:rPr>
          <w:rFonts w:ascii="Times New Roman" w:hAnsi="Times New Roman" w:cs="Times New Roman"/>
          <w:color w:val="auto"/>
        </w:rPr>
        <w:t xml:space="preserve"> the ‘meaningful implementation of learning outcomes’ and that the ‘</w:t>
      </w:r>
      <w:r w:rsidRPr="00B6485E">
        <w:rPr>
          <w:rFonts w:ascii="Times New Roman" w:hAnsi="Times New Roman" w:cs="Times New Roman"/>
          <w:color w:val="auto"/>
        </w:rPr>
        <w:t>ECTS Users’ Guide fully reflects the state of on-going work on learning outcomes and recognition of prior learning’</w:t>
      </w:r>
      <w:r w:rsidRPr="00D67703">
        <w:rPr>
          <w:rFonts w:ascii="Times New Roman" w:hAnsi="Times New Roman" w:cs="Times New Roman"/>
          <w:color w:val="auto"/>
        </w:rPr>
        <w:t xml:space="preserve">. </w:t>
      </w:r>
      <w:r>
        <w:rPr>
          <w:rFonts w:ascii="Times New Roman" w:hAnsi="Times New Roman" w:cs="Times New Roman"/>
          <w:color w:val="auto"/>
        </w:rPr>
        <w:t xml:space="preserve">The </w:t>
      </w:r>
      <w:r w:rsidRPr="00061E43">
        <w:rPr>
          <w:rFonts w:ascii="Times New Roman" w:hAnsi="Times New Roman" w:cs="Times New Roman"/>
          <w:i/>
          <w:color w:val="auto"/>
        </w:rPr>
        <w:t>ad hoc</w:t>
      </w:r>
      <w:r w:rsidRPr="00D67703">
        <w:rPr>
          <w:rFonts w:ascii="Times New Roman" w:hAnsi="Times New Roman" w:cs="Times New Roman"/>
          <w:color w:val="auto"/>
        </w:rPr>
        <w:t xml:space="preserve"> Working Group on the revision of the ECTS Users' Guide was set up to achieve this task. </w:t>
      </w:r>
    </w:p>
    <w:p w14:paraId="21EE440C" w14:textId="77777777" w:rsidR="00080625" w:rsidRPr="00D67703" w:rsidRDefault="00080625" w:rsidP="00080625">
      <w:pPr>
        <w:spacing w:before="240" w:after="240"/>
        <w:jc w:val="both"/>
        <w:outlineLvl w:val="0"/>
      </w:pPr>
      <w:r w:rsidRPr="00D67703">
        <w:t xml:space="preserve">The European Commission has facilitated the work of the group, composed of representatives </w:t>
      </w:r>
      <w:r>
        <w:t>of</w:t>
      </w:r>
      <w:r w:rsidRPr="00D67703">
        <w:t xml:space="preserve"> </w:t>
      </w:r>
      <w:r w:rsidRPr="00B6485E">
        <w:t>14 countries as well as from 4 organizations</w:t>
      </w:r>
      <w:r w:rsidRPr="00B6485E">
        <w:rPr>
          <w:rStyle w:val="FootnoteReference"/>
        </w:rPr>
        <w:footnoteReference w:id="45"/>
      </w:r>
      <w:r w:rsidRPr="00B6485E">
        <w:t>. A stakeholders’ consultation</w:t>
      </w:r>
      <w:r w:rsidRPr="00D67703">
        <w:t xml:space="preserve"> with 110 participants from 32 countries was organi</w:t>
      </w:r>
      <w:r>
        <w:t>z</w:t>
      </w:r>
      <w:r w:rsidRPr="00D67703">
        <w:t xml:space="preserve">ed in January 2014. The WG submitted regular reports to the Structural Reforms WG (SRWG) and presented the draft of the revised Guide </w:t>
      </w:r>
      <w:r>
        <w:t>to the SRWG o</w:t>
      </w:r>
      <w:r w:rsidRPr="00D67703">
        <w:t>n May 27</w:t>
      </w:r>
      <w:r>
        <w:t>,</w:t>
      </w:r>
      <w:r w:rsidRPr="00D67703">
        <w:t xml:space="preserve"> 2014. After accommodating the comments of the SRWG, the new draft was submitted </w:t>
      </w:r>
      <w:r>
        <w:t xml:space="preserve">to </w:t>
      </w:r>
      <w:r w:rsidRPr="00D67703">
        <w:t xml:space="preserve">the meeting of the SRWG </w:t>
      </w:r>
      <w:r>
        <w:t>on</w:t>
      </w:r>
      <w:r w:rsidRPr="00D67703">
        <w:t xml:space="preserve"> September </w:t>
      </w:r>
      <w:r>
        <w:t xml:space="preserve">16 – 17, </w:t>
      </w:r>
      <w:r w:rsidRPr="00D67703">
        <w:t>2014.</w:t>
      </w:r>
    </w:p>
    <w:p w14:paraId="4CB54179" w14:textId="77777777" w:rsidR="00080625" w:rsidRDefault="00080625" w:rsidP="00080625">
      <w:pPr>
        <w:jc w:val="both"/>
        <w:outlineLvl w:val="0"/>
        <w:rPr>
          <w:b/>
        </w:rPr>
      </w:pPr>
      <w:r w:rsidRPr="00D67703">
        <w:rPr>
          <w:b/>
        </w:rPr>
        <w:t>General considerations - Scope of the work</w:t>
      </w:r>
    </w:p>
    <w:p w14:paraId="609D92E0" w14:textId="77777777" w:rsidR="00080625" w:rsidRPr="00D67703" w:rsidRDefault="00080625" w:rsidP="00080625">
      <w:pPr>
        <w:jc w:val="both"/>
        <w:outlineLvl w:val="0"/>
        <w:rPr>
          <w:b/>
        </w:rPr>
      </w:pPr>
    </w:p>
    <w:p w14:paraId="18188600" w14:textId="77777777" w:rsidR="00080625" w:rsidRPr="00D67703" w:rsidRDefault="00080625" w:rsidP="00080625">
      <w:pPr>
        <w:spacing w:after="240"/>
        <w:jc w:val="both"/>
        <w:outlineLvl w:val="0"/>
      </w:pPr>
      <w:r w:rsidRPr="00D67703">
        <w:t>While ECTS is adopted as the national credit system in most countries of the European Higher Education Area (EHEA) and is increasingly used in other regions of the world, some difference</w:t>
      </w:r>
      <w:r>
        <w:t>s</w:t>
      </w:r>
      <w:r w:rsidRPr="00D67703">
        <w:t xml:space="preserve"> can still be found in the implementation of the system.</w:t>
      </w:r>
    </w:p>
    <w:p w14:paraId="7FD973AE" w14:textId="77777777" w:rsidR="00080625" w:rsidRPr="00D67703" w:rsidRDefault="00080625" w:rsidP="00080625">
      <w:pPr>
        <w:spacing w:after="240"/>
        <w:jc w:val="both"/>
        <w:outlineLvl w:val="0"/>
      </w:pPr>
      <w:r w:rsidRPr="00D67703">
        <w:t xml:space="preserve">The benefits of ECTS are </w:t>
      </w:r>
      <w:r>
        <w:t>clear</w:t>
      </w:r>
      <w:r w:rsidRPr="00D67703">
        <w:t xml:space="preserve"> </w:t>
      </w:r>
      <w:r>
        <w:t>to</w:t>
      </w:r>
      <w:r w:rsidRPr="00D67703">
        <w:t xml:space="preserve"> those who </w:t>
      </w:r>
      <w:r>
        <w:t>are closely involved with the system</w:t>
      </w:r>
      <w:r w:rsidRPr="00D67703">
        <w:t xml:space="preserve">, but need to be explained and promoted to a broader range of stakeholders. Within the EHEA there continue to be </w:t>
      </w:r>
      <w:r w:rsidRPr="00061E43">
        <w:t>misconceptions and misunderstandings</w:t>
      </w:r>
      <w:r w:rsidRPr="00D67703">
        <w:t xml:space="preserve"> that stem more from (national) reforms in higher education than ECTS </w:t>
      </w:r>
      <w:r w:rsidRPr="00B6485E">
        <w:rPr>
          <w:i/>
        </w:rPr>
        <w:t>per se</w:t>
      </w:r>
      <w:r w:rsidRPr="00D67703">
        <w:t xml:space="preserve">. The </w:t>
      </w:r>
      <w:r>
        <w:t xml:space="preserve">Users’ </w:t>
      </w:r>
      <w:r w:rsidRPr="00D67703">
        <w:t xml:space="preserve">Guide seeks to give a </w:t>
      </w:r>
      <w:r w:rsidRPr="00061E43">
        <w:t>clear description of ECTS</w:t>
      </w:r>
      <w:r w:rsidRPr="00D67703">
        <w:t xml:space="preserve"> and set it in the context of reforms, qualifications frameworks, quality assurance and enhancement developments, curriculum planning and development and other changes in </w:t>
      </w:r>
      <w:r>
        <w:t>h</w:t>
      </w:r>
      <w:r w:rsidRPr="00D67703">
        <w:t>igher</w:t>
      </w:r>
      <w:r>
        <w:t xml:space="preserve"> e</w:t>
      </w:r>
      <w:r w:rsidRPr="00D67703">
        <w:t>ducation</w:t>
      </w:r>
      <w:r>
        <w:t xml:space="preserve">. </w:t>
      </w:r>
      <w:r w:rsidRPr="00D67703">
        <w:t xml:space="preserve"> </w:t>
      </w:r>
      <w:r>
        <w:t>T</w:t>
      </w:r>
      <w:r w:rsidRPr="00D67703">
        <w:t xml:space="preserve">he new ECTS Guide </w:t>
      </w:r>
      <w:r>
        <w:t>is intended to</w:t>
      </w:r>
      <w:r w:rsidRPr="00D67703">
        <w:t xml:space="preserve"> provide a coherent explanation and guide to implementation which will ensure that it is an instrument for good practice which will support consistent and correct implementation of ECTS throughout the EHEA. As ECTS was designed as a </w:t>
      </w:r>
      <w:r w:rsidRPr="00061E43">
        <w:t>credit system</w:t>
      </w:r>
      <w:r>
        <w:t>,</w:t>
      </w:r>
      <w:r w:rsidRPr="00D67703">
        <w:t xml:space="preserve"> this function should be reinforced by the revised Guide.</w:t>
      </w:r>
    </w:p>
    <w:p w14:paraId="5437D791" w14:textId="77777777" w:rsidR="00080625" w:rsidRPr="00D67703" w:rsidRDefault="00080625" w:rsidP="00080625">
      <w:pPr>
        <w:spacing w:after="240"/>
        <w:jc w:val="both"/>
        <w:outlineLvl w:val="0"/>
      </w:pPr>
      <w:r w:rsidRPr="00D67703">
        <w:t xml:space="preserve">The Group endorsed the value and critical role of </w:t>
      </w:r>
      <w:r w:rsidRPr="00061E43">
        <w:t>learning outcomes</w:t>
      </w:r>
      <w:r w:rsidRPr="00D67703">
        <w:t xml:space="preserve"> in </w:t>
      </w:r>
      <w:r>
        <w:t>h</w:t>
      </w:r>
      <w:r w:rsidRPr="00D67703">
        <w:t xml:space="preserve">igher </w:t>
      </w:r>
      <w:r>
        <w:t>e</w:t>
      </w:r>
      <w:r w:rsidRPr="00D67703">
        <w:t>ducation and has sought to reflect this in the new ECTS Guide. However, the Group wishes to stress the other wide ranging benefits which the correct implementation of ECTS as a full-fledged credit system entails.</w:t>
      </w:r>
      <w:r>
        <w:t xml:space="preserve"> </w:t>
      </w:r>
      <w:r w:rsidRPr="00D67703">
        <w:t>ECTS</w:t>
      </w:r>
      <w:r>
        <w:t>:</w:t>
      </w:r>
      <w:r w:rsidRPr="00D67703">
        <w:t xml:space="preserve"> </w:t>
      </w:r>
    </w:p>
    <w:p w14:paraId="7D55AB2A" w14:textId="77777777" w:rsidR="00080625" w:rsidRPr="00D67703" w:rsidRDefault="00080625" w:rsidP="00B40521">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pPr>
      <w:r w:rsidRPr="00D67703">
        <w:t>Ensures transparency of programs and the related workload and protects students from overloaded programs;</w:t>
      </w:r>
    </w:p>
    <w:p w14:paraId="5A947420" w14:textId="77777777" w:rsidR="00080625" w:rsidRPr="00D67703" w:rsidRDefault="00080625" w:rsidP="00B40521">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pPr>
      <w:r w:rsidRPr="00D67703">
        <w:t>Enables students to move freely for study and work;</w:t>
      </w:r>
    </w:p>
    <w:p w14:paraId="0C37D1DC" w14:textId="77777777" w:rsidR="00080625" w:rsidRPr="00D67703" w:rsidRDefault="00080625" w:rsidP="00B40521">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pPr>
      <w:r w:rsidRPr="00D67703">
        <w:t xml:space="preserve">Helps to build trust, transparency and cooperation between </w:t>
      </w:r>
      <w:r>
        <w:t>higher education</w:t>
      </w:r>
      <w:r w:rsidRPr="00D67703">
        <w:t xml:space="preserve"> systems;</w:t>
      </w:r>
    </w:p>
    <w:p w14:paraId="547A9D6B" w14:textId="77777777" w:rsidR="00080625" w:rsidRPr="00D67703" w:rsidRDefault="00080625" w:rsidP="00B40521">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pPr>
      <w:r w:rsidRPr="00D67703">
        <w:t>Emphasi</w:t>
      </w:r>
      <w:r>
        <w:t>z</w:t>
      </w:r>
      <w:r w:rsidRPr="00D67703">
        <w:t>es learning outcomes and related assessment;</w:t>
      </w:r>
    </w:p>
    <w:p w14:paraId="7EF5EA0F" w14:textId="77777777" w:rsidR="00080625" w:rsidRPr="00D67703" w:rsidRDefault="00080625" w:rsidP="00B40521">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pPr>
      <w:r w:rsidRPr="00D67703">
        <w:t>Facilitates flexible learning pathways, lifelong learning and the use of new methods of learning, teaching and assessment;</w:t>
      </w:r>
    </w:p>
    <w:p w14:paraId="3B2139A3" w14:textId="77777777" w:rsidR="00080625" w:rsidRPr="00D67703" w:rsidRDefault="00080625" w:rsidP="00B40521">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pacing w:after="240" w:line="276" w:lineRule="auto"/>
        <w:jc w:val="both"/>
        <w:outlineLvl w:val="0"/>
      </w:pPr>
      <w:r w:rsidRPr="00D67703">
        <w:t>Underpins the shift to programs developing skills and competences relevant to the needs of society.</w:t>
      </w:r>
      <w:r w:rsidRPr="00D67703">
        <w:rPr>
          <w:rFonts w:eastAsia="Times New Roman"/>
          <w:color w:val="000000"/>
          <w:kern w:val="24"/>
        </w:rPr>
        <w:t xml:space="preserve"> </w:t>
      </w:r>
    </w:p>
    <w:p w14:paraId="04ACE32E" w14:textId="77777777" w:rsidR="00080625" w:rsidRPr="00D67703" w:rsidRDefault="00080625" w:rsidP="00080625">
      <w:pPr>
        <w:spacing w:after="240"/>
        <w:jc w:val="both"/>
        <w:outlineLvl w:val="0"/>
      </w:pPr>
      <w:r w:rsidRPr="00D67703">
        <w:t>The Guide</w:t>
      </w:r>
      <w:r>
        <w:t xml:space="preserve"> is a </w:t>
      </w:r>
      <w:r w:rsidRPr="00D67703">
        <w:t>user</w:t>
      </w:r>
      <w:r>
        <w:t>s’</w:t>
      </w:r>
      <w:r w:rsidRPr="00D67703">
        <w:t xml:space="preserve"> guide intended for all </w:t>
      </w:r>
      <w:r>
        <w:t>higher education</w:t>
      </w:r>
      <w:r w:rsidRPr="00D67703">
        <w:t xml:space="preserve"> stakeholders</w:t>
      </w:r>
      <w:r>
        <w:t xml:space="preserve">. </w:t>
      </w:r>
      <w:r w:rsidRPr="00D67703">
        <w:t xml:space="preserve"> </w:t>
      </w:r>
      <w:r>
        <w:t>I</w:t>
      </w:r>
      <w:r w:rsidRPr="00D67703">
        <w:t xml:space="preserve">t should set ECTS in the context of </w:t>
      </w:r>
      <w:r>
        <w:t>h</w:t>
      </w:r>
      <w:r w:rsidRPr="00D67703">
        <w:t xml:space="preserve">igher </w:t>
      </w:r>
      <w:r>
        <w:t>e</w:t>
      </w:r>
      <w:r w:rsidRPr="00D67703">
        <w:t xml:space="preserve">ducation developments, reform and change. It should give a clear, unequivocal description of ECTS credits; it should show how credits help in the design, description and delivery of programs; it should make it possible to recognize and integrate different modes of learning in a lifelong learning perspective; </w:t>
      </w:r>
      <w:r>
        <w:t xml:space="preserve">and </w:t>
      </w:r>
      <w:r w:rsidRPr="00D67703">
        <w:t>it should facilitate the mobility of learners by providing a simple and transparent mechanism for recogni</w:t>
      </w:r>
      <w:r>
        <w:t>z</w:t>
      </w:r>
      <w:r w:rsidRPr="00D67703">
        <w:t>ing qualifications and periods of study.</w:t>
      </w:r>
    </w:p>
    <w:p w14:paraId="779421B1" w14:textId="77777777" w:rsidR="00080625" w:rsidRPr="00D67703" w:rsidRDefault="00080625" w:rsidP="00080625">
      <w:pPr>
        <w:spacing w:after="240"/>
        <w:jc w:val="both"/>
        <w:outlineLvl w:val="0"/>
      </w:pPr>
      <w:r w:rsidRPr="00D67703">
        <w:t>ECTS can be applied to all programs, whatever the mode of delivery  or the status of the learners and to all kinds of learning contexts. National authorities should determine which institutions may award ECTS credits. All institutions awarding ECTS credits should be subject to the same quality assurance requirements.</w:t>
      </w:r>
    </w:p>
    <w:p w14:paraId="08DD762B" w14:textId="77777777" w:rsidR="00080625" w:rsidRPr="00D67703" w:rsidRDefault="00080625" w:rsidP="00080625">
      <w:pPr>
        <w:spacing w:after="240"/>
        <w:jc w:val="both"/>
        <w:outlineLvl w:val="0"/>
      </w:pPr>
      <w:r w:rsidRPr="00D67703">
        <w:t xml:space="preserve">The new Guide is designed for a broad range of </w:t>
      </w:r>
      <w:r w:rsidRPr="00061E43">
        <w:t>stakeholders</w:t>
      </w:r>
      <w:r w:rsidRPr="00A811A7">
        <w:t xml:space="preserve"> </w:t>
      </w:r>
      <w:r w:rsidRPr="00D67703">
        <w:t xml:space="preserve">- students and other learners, academic and administrative staff in higher education institutions, employers, education </w:t>
      </w:r>
      <w:r w:rsidRPr="00D67703">
        <w:lastRenderedPageBreak/>
        <w:t>providers and other interested stakeholders. It provides practical guidance for the implementation of ECTS and links to supporting materials.</w:t>
      </w:r>
    </w:p>
    <w:p w14:paraId="330B14A2" w14:textId="77777777" w:rsidR="00080625" w:rsidRPr="00D67703" w:rsidRDefault="00080625" w:rsidP="00080625">
      <w:pPr>
        <w:spacing w:after="240"/>
        <w:jc w:val="both"/>
        <w:outlineLvl w:val="0"/>
      </w:pPr>
      <w:r w:rsidRPr="00D67703">
        <w:t xml:space="preserve">The WG </w:t>
      </w:r>
      <w:r>
        <w:t>used</w:t>
      </w:r>
      <w:r w:rsidRPr="00D67703">
        <w:t xml:space="preserve"> the </w:t>
      </w:r>
      <w:r>
        <w:t xml:space="preserve">understanding of learning outcomes </w:t>
      </w:r>
      <w:r w:rsidRPr="00D67703">
        <w:t>in the QF</w:t>
      </w:r>
      <w:r>
        <w:t>-</w:t>
      </w:r>
      <w:r w:rsidRPr="00D67703">
        <w:t>EHEA</w:t>
      </w:r>
      <w:r>
        <w:t>,</w:t>
      </w:r>
      <w:r w:rsidRPr="00D67703">
        <w:t xml:space="preserve"> i.e. that learning outcomes and the associated workload are intimately linked and that assessment and assessment criteria are also integral to the correct application of a credit system.</w:t>
      </w:r>
      <w:r w:rsidR="002849C6">
        <w:t xml:space="preserve"> </w:t>
      </w:r>
      <w:r w:rsidRPr="00D67703">
        <w:t>The WG noted that the shift to a learner-cent</w:t>
      </w:r>
      <w:r>
        <w:t>e</w:t>
      </w:r>
      <w:r w:rsidRPr="00D67703">
        <w:t>red approach based on learning outcomes is difficult to achieve if the attainment of learning outcomes, and of the ECTS credits associated with them, is not assessed in a consistent and transparent way.</w:t>
      </w:r>
    </w:p>
    <w:p w14:paraId="4B23497E" w14:textId="77777777" w:rsidR="00080625" w:rsidRPr="00D67703" w:rsidRDefault="00080625" w:rsidP="00080625">
      <w:pPr>
        <w:spacing w:after="240"/>
        <w:jc w:val="both"/>
        <w:outlineLvl w:val="0"/>
      </w:pPr>
      <w:r>
        <w:t>T</w:t>
      </w:r>
      <w:r w:rsidRPr="00D67703">
        <w:t xml:space="preserve">he WG focused on relevant developments since the </w:t>
      </w:r>
      <w:r>
        <w:t xml:space="preserve">previous </w:t>
      </w:r>
      <w:r w:rsidRPr="00D67703">
        <w:t xml:space="preserve">revision </w:t>
      </w:r>
      <w:r>
        <w:t xml:space="preserve">of the Users’ Guide </w:t>
      </w:r>
      <w:r w:rsidRPr="00D67703">
        <w:t>in 2009, taking as a starting point the use of ECTS for accumulation within a study program, which is the basis for the transfer and recognition in both national and cross-border mobility.</w:t>
      </w:r>
    </w:p>
    <w:p w14:paraId="23C73AEC" w14:textId="77777777" w:rsidR="00080625" w:rsidRPr="00D67703" w:rsidRDefault="00080625" w:rsidP="00080625">
      <w:pPr>
        <w:spacing w:after="240"/>
        <w:jc w:val="both"/>
        <w:outlineLvl w:val="0"/>
        <w:rPr>
          <w:b/>
        </w:rPr>
      </w:pPr>
      <w:r w:rsidRPr="00D67703">
        <w:rPr>
          <w:b/>
        </w:rPr>
        <w:t>What is new in the Guide?</w:t>
      </w:r>
    </w:p>
    <w:p w14:paraId="2D2C228A"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 </w:t>
      </w:r>
      <w:r w:rsidRPr="00B6485E">
        <w:t>structure</w:t>
      </w:r>
      <w:r w:rsidRPr="00D67703">
        <w:t xml:space="preserve"> has been revised, by adding chapter</w:t>
      </w:r>
      <w:r>
        <w:t>s</w:t>
      </w:r>
      <w:r w:rsidRPr="00D67703">
        <w:t xml:space="preserve"> on Program Design, Delivery and Monitoring and on Lifelong Learning. </w:t>
      </w:r>
    </w:p>
    <w:p w14:paraId="1135C175"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Mobility and recognition are in a separate chapter. </w:t>
      </w:r>
    </w:p>
    <w:p w14:paraId="564B5741"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 Guide does not provide templates for the supporting documents but it includes recommended elements for the documents to be used in the application of credits. </w:t>
      </w:r>
    </w:p>
    <w:p w14:paraId="235F49D5"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The a</w:t>
      </w:r>
      <w:r>
        <w:t>ppendix</w:t>
      </w:r>
      <w:r w:rsidRPr="00D67703">
        <w:t xml:space="preserve"> contains a glossary, examples </w:t>
      </w:r>
      <w:r>
        <w:t>of</w:t>
      </w:r>
      <w:r w:rsidRPr="00D67703">
        <w:t xml:space="preserve"> grade conversion and a recommended reading list on learning outcomes.</w:t>
      </w:r>
    </w:p>
    <w:p w14:paraId="19A03577"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061E43">
        <w:t>Key definitions</w:t>
      </w:r>
      <w:r w:rsidRPr="00D67703">
        <w:t xml:space="preserve"> have been revised, without changing the associated rules.</w:t>
      </w:r>
    </w:p>
    <w:p w14:paraId="322FDBD7"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There is guidance on using credits for</w:t>
      </w:r>
      <w:r w:rsidRPr="00D67703">
        <w:rPr>
          <w:b/>
        </w:rPr>
        <w:t xml:space="preserve"> </w:t>
      </w:r>
      <w:r w:rsidRPr="00061E43">
        <w:t>program design</w:t>
      </w:r>
      <w:r w:rsidRPr="00D67703">
        <w:t xml:space="preserve">; on formulating </w:t>
      </w:r>
      <w:r w:rsidRPr="00061E43">
        <w:t>learning outcomes</w:t>
      </w:r>
      <w:r w:rsidRPr="00D67703">
        <w:t xml:space="preserve">; on monitoring </w:t>
      </w:r>
      <w:r w:rsidRPr="00061E43">
        <w:t>credit allocation</w:t>
      </w:r>
      <w:r w:rsidRPr="00D67703">
        <w:t>.</w:t>
      </w:r>
    </w:p>
    <w:p w14:paraId="71119720"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 </w:t>
      </w:r>
      <w:r w:rsidRPr="00061E43">
        <w:t>integral relationship</w:t>
      </w:r>
      <w:r w:rsidRPr="00D67703">
        <w:t xml:space="preserve"> of learning outcomes, the associated workload and assessment is explained.</w:t>
      </w:r>
    </w:p>
    <w:p w14:paraId="4ADFA687"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There is a clear reference to </w:t>
      </w:r>
      <w:r w:rsidRPr="00061E43">
        <w:t>qualifications frameworks</w:t>
      </w:r>
      <w:r w:rsidRPr="00D67703">
        <w:t>.</w:t>
      </w:r>
    </w:p>
    <w:p w14:paraId="01046549"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Principles of </w:t>
      </w:r>
      <w:r w:rsidRPr="00061E43">
        <w:t xml:space="preserve">learning, teaching </w:t>
      </w:r>
      <w:r w:rsidRPr="00637F0F">
        <w:t>and</w:t>
      </w:r>
      <w:r w:rsidRPr="00061E43">
        <w:t xml:space="preserve"> assessment</w:t>
      </w:r>
      <w:r w:rsidRPr="00D67703">
        <w:t xml:space="preserve"> are formulated.</w:t>
      </w:r>
    </w:p>
    <w:p w14:paraId="20AE45A3"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 link between ECTS and </w:t>
      </w:r>
      <w:r w:rsidRPr="00061E43">
        <w:t>doctoral education</w:t>
      </w:r>
      <w:r w:rsidRPr="00D67703">
        <w:t xml:space="preserve"> is touched upon, based on the input from the </w:t>
      </w:r>
      <w:r w:rsidRPr="00061E43">
        <w:rPr>
          <w:i/>
        </w:rPr>
        <w:t>ad hoc</w:t>
      </w:r>
      <w:r w:rsidRPr="00D67703">
        <w:t xml:space="preserve"> WG on the Third Cycle.</w:t>
      </w:r>
    </w:p>
    <w:p w14:paraId="58B246D2"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061E43">
        <w:t>Flexibility</w:t>
      </w:r>
      <w:r w:rsidRPr="00D67703">
        <w:t xml:space="preserve"> has been incorporated to accommodate all types of learning and mobility.</w:t>
      </w:r>
    </w:p>
    <w:p w14:paraId="4A53CC01"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 importance </w:t>
      </w:r>
      <w:r w:rsidRPr="00B6485E">
        <w:t>of embedding mobility</w:t>
      </w:r>
      <w:r w:rsidRPr="00D67703">
        <w:t xml:space="preserve"> in study programs from the outset has been highlighted.</w:t>
      </w:r>
    </w:p>
    <w:p w14:paraId="0BC61F21"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A method of </w:t>
      </w:r>
      <w:r w:rsidRPr="00061E43">
        <w:t>transparent grade transfer</w:t>
      </w:r>
      <w:r w:rsidRPr="00D67703">
        <w:t xml:space="preserve"> has been proposed, based on a European project on grade conversions.</w:t>
      </w:r>
    </w:p>
    <w:p w14:paraId="4AA4E385"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lastRenderedPageBreak/>
        <w:t xml:space="preserve">The relevance of credits for </w:t>
      </w:r>
      <w:r w:rsidRPr="00061E43">
        <w:t>lifelong learning</w:t>
      </w:r>
      <w:r w:rsidRPr="00D67703">
        <w:t xml:space="preserve"> is emphasi</w:t>
      </w:r>
      <w:r>
        <w:t>z</w:t>
      </w:r>
      <w:r w:rsidRPr="00D67703">
        <w:t>ed.</w:t>
      </w:r>
    </w:p>
    <w:p w14:paraId="32B93770"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It shows how credits can apply to informal and non-formal learning and it calls for an </w:t>
      </w:r>
      <w:r w:rsidRPr="00061E43">
        <w:t>open and flexible approach to recognize credits</w:t>
      </w:r>
      <w:r w:rsidRPr="00D67703">
        <w:t xml:space="preserve"> obtained in another context.</w:t>
      </w:r>
    </w:p>
    <w:p w14:paraId="0690A087" w14:textId="77777777" w:rsidR="00080625" w:rsidRPr="00B6485E"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00"/>
        <w:jc w:val="both"/>
        <w:outlineLvl w:val="0"/>
      </w:pPr>
      <w:r w:rsidRPr="00D67703">
        <w:t xml:space="preserve">The importance of </w:t>
      </w:r>
      <w:r>
        <w:t>v</w:t>
      </w:r>
      <w:r w:rsidRPr="00D67703">
        <w:t xml:space="preserve">ocational </w:t>
      </w:r>
      <w:r>
        <w:t>e</w:t>
      </w:r>
      <w:r w:rsidRPr="00D67703">
        <w:t xml:space="preserve">ducation and </w:t>
      </w:r>
      <w:r>
        <w:t>t</w:t>
      </w:r>
      <w:r w:rsidRPr="00D67703">
        <w:t>raining is recogni</w:t>
      </w:r>
      <w:r>
        <w:t>z</w:t>
      </w:r>
      <w:r w:rsidRPr="00D67703">
        <w:t xml:space="preserve">ed and a reference </w:t>
      </w:r>
      <w:r w:rsidRPr="00B6485E">
        <w:t>to ECVET included.</w:t>
      </w:r>
    </w:p>
    <w:p w14:paraId="756B108A" w14:textId="77777777" w:rsidR="00080625" w:rsidRPr="00D67703" w:rsidRDefault="00080625" w:rsidP="00B40521">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pacing w:after="240"/>
        <w:jc w:val="both"/>
        <w:outlineLvl w:val="0"/>
      </w:pPr>
      <w:r w:rsidRPr="00D67703">
        <w:t xml:space="preserve">The </w:t>
      </w:r>
      <w:r>
        <w:t xml:space="preserve">reference to the </w:t>
      </w:r>
      <w:r w:rsidRPr="00D67703">
        <w:t xml:space="preserve">importance of the role of </w:t>
      </w:r>
      <w:r w:rsidRPr="00061E43">
        <w:t>quality assurance and quality enhancement</w:t>
      </w:r>
      <w:r w:rsidRPr="00D67703">
        <w:t xml:space="preserve"> in ECTS and related areas has been reinforced.</w:t>
      </w:r>
    </w:p>
    <w:p w14:paraId="27667280" w14:textId="77777777" w:rsidR="00080625" w:rsidRPr="00D67703" w:rsidRDefault="00080625" w:rsidP="00080625">
      <w:pPr>
        <w:spacing w:after="240"/>
        <w:jc w:val="both"/>
        <w:outlineLvl w:val="0"/>
        <w:rPr>
          <w:b/>
        </w:rPr>
      </w:pPr>
      <w:r w:rsidRPr="00D67703">
        <w:rPr>
          <w:b/>
        </w:rPr>
        <w:t>Status of the Guide</w:t>
      </w:r>
    </w:p>
    <w:p w14:paraId="20434F6D" w14:textId="77777777" w:rsidR="00080625" w:rsidRPr="00D67703" w:rsidRDefault="00080625" w:rsidP="00080625">
      <w:pPr>
        <w:spacing w:after="240"/>
        <w:jc w:val="both"/>
        <w:outlineLvl w:val="0"/>
      </w:pPr>
      <w:r w:rsidRPr="00D67703">
        <w:t xml:space="preserve">The </w:t>
      </w:r>
      <w:r>
        <w:t>Users’ Guide</w:t>
      </w:r>
      <w:r w:rsidRPr="00D67703">
        <w:t xml:space="preserve"> is a </w:t>
      </w:r>
      <w:r w:rsidRPr="00061E43">
        <w:t>guidance tool</w:t>
      </w:r>
      <w:r w:rsidRPr="00D67703">
        <w:t xml:space="preserve">, as shown by its title. The key definitions included should be shared in the European Higher Education Area as cornerstones of ECTS, and these should be the basis for further national </w:t>
      </w:r>
      <w:r>
        <w:t>regulations</w:t>
      </w:r>
      <w:r w:rsidRPr="00D67703">
        <w:t>. The Guide refer</w:t>
      </w:r>
      <w:r>
        <w:t>s</w:t>
      </w:r>
      <w:r w:rsidRPr="00D67703">
        <w:t xml:space="preserve"> to examples which should support implementation without necessarily suggesting a uniform approach</w:t>
      </w:r>
      <w:r>
        <w:t>.</w:t>
      </w:r>
      <w:r w:rsidRPr="00D67703">
        <w:t xml:space="preserve"> </w:t>
      </w:r>
    </w:p>
    <w:p w14:paraId="514AC18B" w14:textId="77777777" w:rsidR="00080625" w:rsidRDefault="00080625" w:rsidP="00080625">
      <w:pPr>
        <w:jc w:val="both"/>
        <w:outlineLvl w:val="0"/>
      </w:pPr>
      <w:r w:rsidRPr="00D67703">
        <w:t>As the original proposal for a system of transferable European study credits arose from the Erasmus program the Guide has been considered to be a document of the European Union and specifically of the European Commission. Given the importance of ECTS for the EHEA across a much wider geographical area</w:t>
      </w:r>
      <w:r>
        <w:t xml:space="preserve">, </w:t>
      </w:r>
      <w:r w:rsidRPr="00D67703">
        <w:t>for the transfer of credits not only between but within countries; and</w:t>
      </w:r>
      <w:r>
        <w:t xml:space="preserve"> </w:t>
      </w:r>
      <w:r w:rsidRPr="00D67703">
        <w:t>for the accumulation of credits within single study programs, even where there is no mobility</w:t>
      </w:r>
      <w:r>
        <w:t>, t</w:t>
      </w:r>
      <w:r w:rsidRPr="00D67703">
        <w:t xml:space="preserve">he Group proposes that the guide become an official document of the EHEA and that it be </w:t>
      </w:r>
      <w:r w:rsidRPr="00061E43">
        <w:t>adopted by Ministers at the Ministerial meeting in Yerevan</w:t>
      </w:r>
      <w:r w:rsidRPr="00B6485E">
        <w:t xml:space="preserve">. </w:t>
      </w:r>
      <w:r>
        <w:t xml:space="preserve"> </w:t>
      </w:r>
      <w:r w:rsidRPr="00B6485E">
        <w:t>It also</w:t>
      </w:r>
      <w:r w:rsidRPr="00D67703">
        <w:t xml:space="preserve"> proposes that the Guide be reviewed on a regular basis to ensure that it continues to be up to date, relevant, meet the needs of stakeholders, responsive to change and generally fit for purpose.</w:t>
      </w:r>
    </w:p>
    <w:p w14:paraId="3BEFCD22" w14:textId="77777777" w:rsidR="00080625" w:rsidRPr="00D67703" w:rsidRDefault="00080625" w:rsidP="00080625">
      <w:pPr>
        <w:jc w:val="both"/>
        <w:outlineLvl w:val="0"/>
        <w:rPr>
          <w:u w:val="single"/>
        </w:rPr>
      </w:pPr>
    </w:p>
    <w:p w14:paraId="799D70CF" w14:textId="77777777" w:rsidR="00080625" w:rsidRPr="00D67703" w:rsidRDefault="00080625" w:rsidP="00080625">
      <w:pPr>
        <w:spacing w:after="240"/>
        <w:jc w:val="both"/>
        <w:outlineLvl w:val="0"/>
        <w:rPr>
          <w:b/>
        </w:rPr>
      </w:pPr>
      <w:r w:rsidRPr="00D67703">
        <w:rPr>
          <w:b/>
        </w:rPr>
        <w:t>Recommendation</w:t>
      </w:r>
    </w:p>
    <w:p w14:paraId="27FD9EC6" w14:textId="77777777" w:rsidR="00080625" w:rsidRPr="00D67703" w:rsidRDefault="00080625" w:rsidP="00080625">
      <w:pPr>
        <w:spacing w:after="240"/>
        <w:jc w:val="both"/>
        <w:outlineLvl w:val="0"/>
      </w:pPr>
      <w:r>
        <w:t>T</w:t>
      </w:r>
      <w:r w:rsidRPr="00061E43">
        <w:t>he ministers</w:t>
      </w:r>
      <w:r>
        <w:t xml:space="preserve"> of the European Higher E</w:t>
      </w:r>
      <w:r w:rsidRPr="00D67703">
        <w:t xml:space="preserve">ducation Area </w:t>
      </w:r>
      <w:r>
        <w:t>should adopt the ECTS Users’</w:t>
      </w:r>
      <w:r w:rsidRPr="00D67703">
        <w:t xml:space="preserve"> Guide </w:t>
      </w:r>
      <w:r>
        <w:t>and make it</w:t>
      </w:r>
      <w:r w:rsidRPr="00D67703">
        <w:t xml:space="preserve"> an </w:t>
      </w:r>
      <w:r w:rsidRPr="00061E43">
        <w:t>official EHEA document</w:t>
      </w:r>
      <w:r w:rsidRPr="00D67703">
        <w:t>.</w:t>
      </w:r>
    </w:p>
    <w:p w14:paraId="47C0E939" w14:textId="77777777" w:rsidR="00080625" w:rsidRDefault="00080625" w:rsidP="00080625">
      <w:pPr>
        <w:pStyle w:val="Body"/>
        <w:rPr>
          <w:color w:val="FF0000"/>
          <w:u w:color="FF0000"/>
        </w:rPr>
      </w:pPr>
    </w:p>
    <w:p w14:paraId="4EBFFAA2" w14:textId="77777777" w:rsidR="00080625" w:rsidRDefault="00080625" w:rsidP="00723074">
      <w:pPr>
        <w:pStyle w:val="Body"/>
        <w:jc w:val="both"/>
      </w:pPr>
      <w:r>
        <w:rPr>
          <w:rFonts w:ascii="Times New Roman Bold"/>
        </w:rPr>
        <w:t>Help identify and set priorities for peer learning activities</w:t>
      </w:r>
      <w:r>
        <w:t xml:space="preserve"> (ToR no. 11) </w:t>
      </w:r>
      <w:r>
        <w:rPr>
          <w:rFonts w:ascii="Times New Roman Bold"/>
        </w:rPr>
        <w:t>and organize, or stimulate the organization of, Bologna conferences, mini-seminars, peer learning activities and events on issues related to structural reforms</w:t>
      </w:r>
      <w:r>
        <w:t xml:space="preserve"> (ToR no. 12)</w:t>
      </w:r>
    </w:p>
    <w:p w14:paraId="35FF0B45" w14:textId="77777777" w:rsidR="00723074" w:rsidRDefault="00723074" w:rsidP="00080625">
      <w:pPr>
        <w:pStyle w:val="Body"/>
      </w:pPr>
    </w:p>
    <w:p w14:paraId="1460178F" w14:textId="77777777" w:rsidR="00080625" w:rsidRDefault="00080625" w:rsidP="00723074">
      <w:pPr>
        <w:pStyle w:val="NoSpacing"/>
        <w:jc w:val="both"/>
      </w:pPr>
      <w:r>
        <w:t xml:space="preserve">As the further development of the EHEA will increasingly require that adopted policies be implemented at national and institutional level, the exchange of good practice will be crucial.  As noted  elsewhere in the report, uneven implementation of common structures may well lead to a situation in which the education structures of the 47 EHEA members are no longer sufficiently coherent to constitute a European Higher Education Area. </w:t>
      </w:r>
    </w:p>
    <w:p w14:paraId="457472FC" w14:textId="77777777" w:rsidR="00723074" w:rsidRDefault="00723074" w:rsidP="00723074">
      <w:pPr>
        <w:pStyle w:val="NoSpacing"/>
        <w:jc w:val="both"/>
      </w:pPr>
    </w:p>
    <w:p w14:paraId="1F6C0391" w14:textId="77777777" w:rsidR="00080625" w:rsidRDefault="00080625" w:rsidP="00723074">
      <w:pPr>
        <w:pStyle w:val="NoSpacing"/>
        <w:jc w:val="both"/>
      </w:pPr>
      <w:r>
        <w:t>Following the discussion of peer learning activities in the BFUG, the SRWG encouraged its members to put forward suggestions for peer learning activities on issues of structural reform. As of Ju</w:t>
      </w:r>
      <w:r w:rsidR="008400E7">
        <w:t>ly</w:t>
      </w:r>
      <w:r>
        <w:t xml:space="preserve"> 2014, the following activities had been accepted by the BFUG:</w:t>
      </w:r>
    </w:p>
    <w:p w14:paraId="0DD1993C" w14:textId="77777777" w:rsidR="00723074" w:rsidRDefault="00723074" w:rsidP="00723074">
      <w:pPr>
        <w:pStyle w:val="NoSpacing"/>
        <w:jc w:val="both"/>
      </w:pPr>
    </w:p>
    <w:p w14:paraId="3CF0582E" w14:textId="77777777" w:rsidR="008C33EB" w:rsidRPr="008C33EB" w:rsidRDefault="008C33EB" w:rsidP="008C33EB">
      <w:pPr>
        <w:pStyle w:val="Body"/>
        <w:rPr>
          <w:rFonts w:hAnsi="Times New Roman" w:cs="Times New Roman"/>
          <w:b/>
          <w:i/>
          <w:lang w:val="en-GB"/>
        </w:rPr>
      </w:pPr>
      <w:r w:rsidRPr="008C33EB">
        <w:rPr>
          <w:rFonts w:hAnsi="Times New Roman" w:cs="Times New Roman"/>
          <w:b/>
          <w:i/>
          <w:lang w:val="en-GB"/>
        </w:rPr>
        <w:lastRenderedPageBreak/>
        <w:t>PLAs already planned/organized</w:t>
      </w:r>
    </w:p>
    <w:tbl>
      <w:tblPr>
        <w:tblpPr w:leftFromText="180" w:rightFromText="180" w:vertAnchor="text" w:horzAnchor="page" w:tblpX="1521" w:tblpY="658"/>
        <w:tblOverlap w:val="never"/>
        <w:tblW w:w="4867"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5A0" w:firstRow="1" w:lastRow="0" w:firstColumn="1" w:lastColumn="1" w:noHBand="0" w:noVBand="1"/>
      </w:tblPr>
      <w:tblGrid>
        <w:gridCol w:w="1430"/>
        <w:gridCol w:w="1844"/>
        <w:gridCol w:w="3001"/>
        <w:gridCol w:w="1674"/>
        <w:gridCol w:w="1372"/>
      </w:tblGrid>
      <w:tr w:rsidR="008C33EB" w:rsidRPr="004B3B04" w14:paraId="0B202A00" w14:textId="77777777" w:rsidTr="00E2609B">
        <w:trPr>
          <w:cantSplit/>
          <w:trHeight w:val="984"/>
          <w:tblHeader/>
        </w:trPr>
        <w:tc>
          <w:tcPr>
            <w:tcW w:w="767" w:type="pct"/>
            <w:tcBorders>
              <w:top w:val="single" w:sz="6" w:space="0" w:color="000000"/>
              <w:left w:val="single" w:sz="6" w:space="0" w:color="000000"/>
              <w:bottom w:val="single" w:sz="6" w:space="0" w:color="000000"/>
            </w:tcBorders>
            <w:shd w:val="clear" w:color="auto" w:fill="CCCCCC"/>
          </w:tcPr>
          <w:p w14:paraId="6B73BE31" w14:textId="77777777" w:rsidR="008C33EB" w:rsidRPr="009422BB" w:rsidRDefault="008C33EB" w:rsidP="00E2609B">
            <w:pPr>
              <w:spacing w:after="120" w:line="288" w:lineRule="auto"/>
              <w:jc w:val="both"/>
              <w:rPr>
                <w:b/>
                <w:lang w:val="en-GB"/>
              </w:rPr>
            </w:pPr>
            <w:r>
              <w:rPr>
                <w:b/>
                <w:lang w:val="en-GB"/>
              </w:rPr>
              <w:t>Organiz</w:t>
            </w:r>
            <w:r w:rsidRPr="009422BB">
              <w:rPr>
                <w:b/>
                <w:lang w:val="en-GB"/>
              </w:rPr>
              <w:t>ers</w:t>
            </w:r>
          </w:p>
        </w:tc>
        <w:tc>
          <w:tcPr>
            <w:tcW w:w="989" w:type="pct"/>
            <w:tcBorders>
              <w:top w:val="single" w:sz="6" w:space="0" w:color="000000"/>
              <w:bottom w:val="single" w:sz="6" w:space="0" w:color="000000"/>
            </w:tcBorders>
            <w:shd w:val="clear" w:color="auto" w:fill="CCCCCC"/>
          </w:tcPr>
          <w:p w14:paraId="525443B4" w14:textId="77777777" w:rsidR="008C33EB" w:rsidRPr="009422BB" w:rsidRDefault="008C33EB" w:rsidP="00E2609B">
            <w:pPr>
              <w:spacing w:after="120" w:line="288" w:lineRule="auto"/>
              <w:jc w:val="both"/>
              <w:rPr>
                <w:b/>
                <w:lang w:val="en-GB"/>
              </w:rPr>
            </w:pPr>
            <w:r w:rsidRPr="009422BB">
              <w:rPr>
                <w:b/>
                <w:lang w:val="en-GB"/>
              </w:rPr>
              <w:t>Topic</w:t>
            </w:r>
          </w:p>
        </w:tc>
        <w:tc>
          <w:tcPr>
            <w:tcW w:w="1610" w:type="pct"/>
            <w:tcBorders>
              <w:top w:val="single" w:sz="6" w:space="0" w:color="000000"/>
              <w:bottom w:val="single" w:sz="6" w:space="0" w:color="000000"/>
            </w:tcBorders>
            <w:shd w:val="clear" w:color="auto" w:fill="BFBFBF"/>
          </w:tcPr>
          <w:p w14:paraId="05B62B6F" w14:textId="77777777" w:rsidR="008C33EB" w:rsidRPr="009422BB" w:rsidRDefault="008C33EB" w:rsidP="00E2609B">
            <w:pPr>
              <w:spacing w:after="120" w:line="288" w:lineRule="auto"/>
              <w:rPr>
                <w:b/>
                <w:lang w:val="en-GB"/>
              </w:rPr>
            </w:pPr>
            <w:r w:rsidRPr="009422BB">
              <w:rPr>
                <w:b/>
                <w:lang w:val="en-GB"/>
              </w:rPr>
              <w:t>Objectives</w:t>
            </w:r>
          </w:p>
        </w:tc>
        <w:tc>
          <w:tcPr>
            <w:tcW w:w="898" w:type="pct"/>
            <w:tcBorders>
              <w:top w:val="single" w:sz="6" w:space="0" w:color="000000"/>
              <w:bottom w:val="single" w:sz="6" w:space="0" w:color="000000"/>
            </w:tcBorders>
            <w:shd w:val="clear" w:color="auto" w:fill="CCCCCC"/>
          </w:tcPr>
          <w:p w14:paraId="38ACE909" w14:textId="77777777" w:rsidR="008C33EB" w:rsidRPr="009422BB" w:rsidRDefault="008C33EB" w:rsidP="00E2609B">
            <w:pPr>
              <w:spacing w:after="120" w:line="288" w:lineRule="auto"/>
              <w:jc w:val="both"/>
              <w:rPr>
                <w:b/>
                <w:lang w:val="en-GB"/>
              </w:rPr>
            </w:pPr>
            <w:r w:rsidRPr="009422BB">
              <w:rPr>
                <w:b/>
                <w:lang w:val="en-GB"/>
              </w:rPr>
              <w:t xml:space="preserve">Proposed dates/period and venue </w:t>
            </w:r>
          </w:p>
        </w:tc>
        <w:tc>
          <w:tcPr>
            <w:tcW w:w="736" w:type="pct"/>
            <w:tcBorders>
              <w:top w:val="single" w:sz="6" w:space="0" w:color="000000"/>
              <w:bottom w:val="single" w:sz="6" w:space="0" w:color="000000"/>
            </w:tcBorders>
            <w:shd w:val="clear" w:color="auto" w:fill="CCCCCC"/>
          </w:tcPr>
          <w:p w14:paraId="5C74E272" w14:textId="77777777" w:rsidR="008C33EB" w:rsidRPr="009422BB" w:rsidRDefault="008C33EB" w:rsidP="00E2609B">
            <w:pPr>
              <w:spacing w:after="120" w:line="288" w:lineRule="auto"/>
              <w:jc w:val="both"/>
              <w:rPr>
                <w:b/>
                <w:lang w:val="en-GB"/>
              </w:rPr>
            </w:pPr>
            <w:r w:rsidRPr="009422BB">
              <w:rPr>
                <w:b/>
                <w:lang w:val="en-GB"/>
              </w:rPr>
              <w:t>Comments</w:t>
            </w:r>
          </w:p>
        </w:tc>
      </w:tr>
      <w:tr w:rsidR="008C33EB" w14:paraId="4BEE1307" w14:textId="77777777" w:rsidTr="00E2609B">
        <w:tc>
          <w:tcPr>
            <w:tcW w:w="767" w:type="pct"/>
            <w:tcBorders>
              <w:top w:val="single" w:sz="6" w:space="0" w:color="000000"/>
              <w:bottom w:val="single" w:sz="6" w:space="0" w:color="000000"/>
            </w:tcBorders>
            <w:shd w:val="clear" w:color="auto" w:fill="auto"/>
          </w:tcPr>
          <w:p w14:paraId="6BF7FBC4" w14:textId="77777777" w:rsidR="008C33EB" w:rsidRPr="009422BB" w:rsidRDefault="008C33EB" w:rsidP="00E2609B">
            <w:pPr>
              <w:spacing w:after="120" w:line="288" w:lineRule="auto"/>
              <w:jc w:val="both"/>
              <w:rPr>
                <w:lang w:val="en-GB"/>
              </w:rPr>
            </w:pPr>
            <w:r w:rsidRPr="009422BB">
              <w:rPr>
                <w:lang w:val="en-GB"/>
              </w:rPr>
              <w:t xml:space="preserve">Croatian Ministry of Science, Education and Sports, EQAR </w:t>
            </w:r>
          </w:p>
        </w:tc>
        <w:tc>
          <w:tcPr>
            <w:tcW w:w="989" w:type="pct"/>
            <w:tcBorders>
              <w:top w:val="single" w:sz="6" w:space="0" w:color="000000"/>
              <w:bottom w:val="single" w:sz="6" w:space="0" w:color="000000"/>
            </w:tcBorders>
            <w:shd w:val="clear" w:color="auto" w:fill="auto"/>
          </w:tcPr>
          <w:p w14:paraId="23829021" w14:textId="77777777" w:rsidR="008C33EB" w:rsidRPr="009422BB" w:rsidRDefault="008C33EB" w:rsidP="00E2609B">
            <w:pPr>
              <w:spacing w:after="120" w:line="288" w:lineRule="auto"/>
              <w:jc w:val="both"/>
              <w:rPr>
                <w:i/>
                <w:lang w:val="en-GB"/>
              </w:rPr>
            </w:pPr>
            <w:r w:rsidRPr="009422BB">
              <w:rPr>
                <w:i/>
                <w:lang w:val="en-GB"/>
              </w:rPr>
              <w:t xml:space="preserve">The Role of NQFs and QA in Recognition </w:t>
            </w:r>
          </w:p>
        </w:tc>
        <w:tc>
          <w:tcPr>
            <w:tcW w:w="1610" w:type="pct"/>
            <w:tcBorders>
              <w:top w:val="single" w:sz="6" w:space="0" w:color="000000"/>
              <w:bottom w:val="single" w:sz="6" w:space="0" w:color="000000"/>
            </w:tcBorders>
            <w:shd w:val="clear" w:color="auto" w:fill="FFFFFF"/>
          </w:tcPr>
          <w:p w14:paraId="62E01AA0" w14:textId="77777777" w:rsidR="008C33EB" w:rsidRPr="009422BB" w:rsidRDefault="008C33EB" w:rsidP="00E2609B">
            <w:pPr>
              <w:spacing w:after="120" w:line="288" w:lineRule="auto"/>
              <w:ind w:left="106"/>
              <w:rPr>
                <w:lang w:val="en-GB"/>
              </w:rPr>
            </w:pPr>
            <w:r w:rsidRPr="009422BB">
              <w:rPr>
                <w:lang w:val="en-GB"/>
              </w:rPr>
              <w:t>To disseminate practical country examples/case studies related to the topics</w:t>
            </w:r>
          </w:p>
          <w:p w14:paraId="4A6A67C2" w14:textId="77777777" w:rsidR="008C33EB" w:rsidRPr="009422BB" w:rsidRDefault="008C33EB" w:rsidP="00E2609B">
            <w:pPr>
              <w:spacing w:after="120" w:line="288" w:lineRule="auto"/>
              <w:ind w:left="106"/>
              <w:rPr>
                <w:lang w:val="en-GB"/>
              </w:rPr>
            </w:pPr>
            <w:r w:rsidRPr="009422BB">
              <w:rPr>
                <w:lang w:val="en-GB"/>
              </w:rPr>
              <w:t>To discuss opportunities and challenges observed in different contexts</w:t>
            </w:r>
          </w:p>
          <w:p w14:paraId="6F1B4C13" w14:textId="77777777" w:rsidR="008C33EB" w:rsidRPr="009422BB" w:rsidRDefault="008C33EB" w:rsidP="00E2609B">
            <w:pPr>
              <w:pStyle w:val="BodyText"/>
              <w:suppressAutoHyphens/>
              <w:spacing w:line="288" w:lineRule="auto"/>
              <w:ind w:left="66"/>
              <w:rPr>
                <w:rFonts w:ascii="Times New Roman" w:hAnsi="Times New Roman" w:cs="Times New Roman"/>
                <w:sz w:val="24"/>
                <w:szCs w:val="24"/>
                <w:lang w:val="en-GB"/>
              </w:rPr>
            </w:pPr>
            <w:r w:rsidRPr="009422BB">
              <w:rPr>
                <w:rFonts w:ascii="Times New Roman" w:hAnsi="Times New Roman" w:cs="Times New Roman"/>
                <w:sz w:val="24"/>
                <w:szCs w:val="24"/>
                <w:lang w:val="en-GB"/>
              </w:rPr>
              <w:t>To identify good practice in relation to the two topics that might help to guide other countries</w:t>
            </w:r>
          </w:p>
        </w:tc>
        <w:tc>
          <w:tcPr>
            <w:tcW w:w="898" w:type="pct"/>
            <w:tcBorders>
              <w:top w:val="single" w:sz="6" w:space="0" w:color="000000"/>
              <w:bottom w:val="single" w:sz="6" w:space="0" w:color="000000"/>
            </w:tcBorders>
            <w:shd w:val="clear" w:color="auto" w:fill="auto"/>
          </w:tcPr>
          <w:p w14:paraId="05426380" w14:textId="77777777" w:rsidR="008C33EB" w:rsidRPr="009422BB" w:rsidRDefault="008C33EB" w:rsidP="00E2609B">
            <w:pPr>
              <w:pStyle w:val="BodyText"/>
              <w:suppressAutoHyphens/>
              <w:spacing w:line="288" w:lineRule="auto"/>
              <w:rPr>
                <w:rFonts w:ascii="Times New Roman" w:hAnsi="Times New Roman" w:cs="Times New Roman"/>
                <w:sz w:val="24"/>
                <w:szCs w:val="24"/>
                <w:lang w:val="en-GB"/>
              </w:rPr>
            </w:pPr>
            <w:r w:rsidRPr="009422BB">
              <w:rPr>
                <w:rFonts w:ascii="Times New Roman" w:hAnsi="Times New Roman" w:cs="Times New Roman"/>
                <w:sz w:val="24"/>
                <w:szCs w:val="24"/>
                <w:lang w:val="en-GB"/>
              </w:rPr>
              <w:t>11 December 2013</w:t>
            </w:r>
          </w:p>
          <w:p w14:paraId="5EEFDCDF" w14:textId="77777777" w:rsidR="008C33EB" w:rsidRPr="009422BB" w:rsidRDefault="008C33EB" w:rsidP="00E2609B">
            <w:pPr>
              <w:widowControl w:val="0"/>
              <w:autoSpaceDE w:val="0"/>
              <w:autoSpaceDN w:val="0"/>
              <w:adjustRightInd w:val="0"/>
              <w:rPr>
                <w:color w:val="000000"/>
              </w:rPr>
            </w:pPr>
            <w:r w:rsidRPr="009422BB">
              <w:rPr>
                <w:color w:val="000000"/>
              </w:rPr>
              <w:t xml:space="preserve">Trakošćan, </w:t>
            </w:r>
            <w:r w:rsidRPr="009422BB">
              <w:rPr>
                <w:lang w:val="en-GB"/>
              </w:rPr>
              <w:t>Croatia</w:t>
            </w:r>
          </w:p>
          <w:p w14:paraId="32F939C5" w14:textId="77777777" w:rsidR="008C33EB" w:rsidRPr="009422BB" w:rsidRDefault="008C33EB" w:rsidP="00E2609B">
            <w:pPr>
              <w:pStyle w:val="BodyText"/>
              <w:suppressAutoHyphens/>
              <w:spacing w:line="288" w:lineRule="auto"/>
              <w:rPr>
                <w:rFonts w:ascii="Times New Roman" w:hAnsi="Times New Roman" w:cs="Times New Roman"/>
                <w:sz w:val="24"/>
                <w:szCs w:val="24"/>
                <w:lang w:val="en-GB"/>
              </w:rPr>
            </w:pPr>
          </w:p>
        </w:tc>
        <w:tc>
          <w:tcPr>
            <w:tcW w:w="736" w:type="pct"/>
            <w:tcBorders>
              <w:top w:val="single" w:sz="6" w:space="0" w:color="000000"/>
              <w:bottom w:val="single" w:sz="6" w:space="0" w:color="000000"/>
            </w:tcBorders>
          </w:tcPr>
          <w:p w14:paraId="1E29FD7B" w14:textId="77777777" w:rsidR="008C33EB" w:rsidRPr="009422BB" w:rsidRDefault="008C33EB" w:rsidP="00E2609B">
            <w:pPr>
              <w:pStyle w:val="BodyText"/>
              <w:suppressAutoHyphens/>
              <w:spacing w:line="288" w:lineRule="auto"/>
              <w:rPr>
                <w:rFonts w:ascii="Times New Roman" w:hAnsi="Times New Roman" w:cs="Times New Roman"/>
                <w:sz w:val="24"/>
                <w:szCs w:val="24"/>
                <w:lang w:val="en-GB"/>
              </w:rPr>
            </w:pPr>
            <w:r w:rsidRPr="009422BB">
              <w:rPr>
                <w:rFonts w:ascii="Times New Roman" w:hAnsi="Times New Roman" w:cs="Times New Roman"/>
                <w:sz w:val="24"/>
                <w:szCs w:val="24"/>
                <w:lang w:val="en-GB"/>
              </w:rPr>
              <w:t>completed</w:t>
            </w:r>
          </w:p>
        </w:tc>
      </w:tr>
      <w:tr w:rsidR="008C33EB" w14:paraId="72F33F8A" w14:textId="77777777" w:rsidTr="00E2609B">
        <w:tc>
          <w:tcPr>
            <w:tcW w:w="767" w:type="pct"/>
            <w:tcBorders>
              <w:top w:val="single" w:sz="6" w:space="0" w:color="000000"/>
            </w:tcBorders>
            <w:shd w:val="clear" w:color="auto" w:fill="auto"/>
          </w:tcPr>
          <w:p w14:paraId="075CC7FE" w14:textId="77777777" w:rsidR="008C33EB" w:rsidRPr="009422BB" w:rsidRDefault="008C33EB" w:rsidP="00E2609B">
            <w:pPr>
              <w:spacing w:after="120" w:line="288" w:lineRule="auto"/>
              <w:jc w:val="both"/>
              <w:rPr>
                <w:lang w:val="en-GB"/>
              </w:rPr>
            </w:pPr>
            <w:r w:rsidRPr="009422BB">
              <w:rPr>
                <w:lang w:val="en-GB"/>
              </w:rPr>
              <w:t xml:space="preserve">EQF Advisory Board </w:t>
            </w:r>
          </w:p>
        </w:tc>
        <w:tc>
          <w:tcPr>
            <w:tcW w:w="989" w:type="pct"/>
            <w:tcBorders>
              <w:top w:val="single" w:sz="6" w:space="0" w:color="000000"/>
            </w:tcBorders>
            <w:shd w:val="clear" w:color="auto" w:fill="auto"/>
          </w:tcPr>
          <w:p w14:paraId="0D710397" w14:textId="77777777" w:rsidR="008C33EB" w:rsidRPr="009422BB" w:rsidRDefault="008C33EB" w:rsidP="00E2609B">
            <w:pPr>
              <w:spacing w:after="120" w:line="288" w:lineRule="auto"/>
              <w:jc w:val="both"/>
              <w:rPr>
                <w:i/>
                <w:lang w:val="en-GB"/>
              </w:rPr>
            </w:pPr>
            <w:r w:rsidRPr="009422BB">
              <w:rPr>
                <w:i/>
                <w:lang w:val="en-GB"/>
              </w:rPr>
              <w:t>The use of QFs and Learning Outcomes in the recognition of foreign qualifications</w:t>
            </w:r>
          </w:p>
        </w:tc>
        <w:tc>
          <w:tcPr>
            <w:tcW w:w="1610" w:type="pct"/>
            <w:tcBorders>
              <w:top w:val="single" w:sz="6" w:space="0" w:color="000000"/>
            </w:tcBorders>
            <w:shd w:val="clear" w:color="auto" w:fill="FFFFFF"/>
          </w:tcPr>
          <w:p w14:paraId="43A360B1" w14:textId="77777777" w:rsidR="008C33EB" w:rsidRPr="009422BB" w:rsidRDefault="008C33EB" w:rsidP="00E2609B">
            <w:pPr>
              <w:spacing w:after="120" w:line="288" w:lineRule="auto"/>
              <w:rPr>
                <w:lang w:val="en-GB"/>
              </w:rPr>
            </w:pPr>
          </w:p>
        </w:tc>
        <w:tc>
          <w:tcPr>
            <w:tcW w:w="898" w:type="pct"/>
            <w:tcBorders>
              <w:top w:val="single" w:sz="6" w:space="0" w:color="000000"/>
            </w:tcBorders>
            <w:shd w:val="clear" w:color="auto" w:fill="auto"/>
          </w:tcPr>
          <w:p w14:paraId="6DC13FEA" w14:textId="77777777" w:rsidR="008C33EB" w:rsidRPr="009422BB" w:rsidRDefault="008C33EB" w:rsidP="00E2609B">
            <w:pPr>
              <w:spacing w:after="120" w:line="288" w:lineRule="auto"/>
              <w:ind w:left="68"/>
              <w:jc w:val="both"/>
              <w:rPr>
                <w:lang w:val="en-GB"/>
              </w:rPr>
            </w:pPr>
            <w:r>
              <w:rPr>
                <w:lang w:val="en-GB"/>
              </w:rPr>
              <w:t>First</w:t>
            </w:r>
            <w:r w:rsidRPr="009422BB">
              <w:rPr>
                <w:lang w:val="en-GB"/>
              </w:rPr>
              <w:t xml:space="preserve"> semester  of 2014, Brussels</w:t>
            </w:r>
          </w:p>
        </w:tc>
        <w:tc>
          <w:tcPr>
            <w:tcW w:w="736" w:type="pct"/>
            <w:tcBorders>
              <w:top w:val="single" w:sz="6" w:space="0" w:color="000000"/>
            </w:tcBorders>
          </w:tcPr>
          <w:p w14:paraId="29BDD724" w14:textId="77777777" w:rsidR="008C33EB" w:rsidRPr="009422BB" w:rsidRDefault="008C33EB" w:rsidP="00E2609B">
            <w:pPr>
              <w:pStyle w:val="BodyText"/>
              <w:suppressAutoHyphens/>
              <w:spacing w:line="288" w:lineRule="auto"/>
              <w:rPr>
                <w:rFonts w:ascii="Times New Roman" w:hAnsi="Times New Roman" w:cs="Times New Roman"/>
                <w:sz w:val="24"/>
                <w:szCs w:val="24"/>
                <w:lang w:val="en-GB"/>
              </w:rPr>
            </w:pPr>
          </w:p>
        </w:tc>
      </w:tr>
    </w:tbl>
    <w:p w14:paraId="78D98B90" w14:textId="77777777" w:rsidR="008C33EB" w:rsidRPr="009422BB" w:rsidRDefault="008C33EB" w:rsidP="008C33EB">
      <w:pPr>
        <w:pStyle w:val="Body"/>
        <w:ind w:left="-567"/>
        <w:rPr>
          <w:rFonts w:hAnsi="Times New Roman" w:cs="Times New Roman"/>
          <w:b/>
          <w:lang w:val="en-GB"/>
        </w:rPr>
      </w:pPr>
    </w:p>
    <w:p w14:paraId="4CCC0C06" w14:textId="77777777" w:rsidR="008C33EB" w:rsidRDefault="008C33EB" w:rsidP="008C33EB">
      <w:pPr>
        <w:pStyle w:val="NoSpacing"/>
        <w:jc w:val="both"/>
      </w:pPr>
    </w:p>
    <w:p w14:paraId="4AF60DA2" w14:textId="77777777" w:rsidR="008C33EB" w:rsidRDefault="008C33EB" w:rsidP="008C33EB">
      <w:pPr>
        <w:pStyle w:val="NoSpacing"/>
        <w:jc w:val="both"/>
      </w:pPr>
    </w:p>
    <w:p w14:paraId="5C75D651" w14:textId="77777777" w:rsidR="008C33EB" w:rsidRPr="009422BB" w:rsidRDefault="008C33EB" w:rsidP="008C33EB">
      <w:pPr>
        <w:pStyle w:val="Body"/>
        <w:ind w:left="-567"/>
        <w:rPr>
          <w:rFonts w:hAnsi="Times New Roman" w:cs="Times New Roman"/>
          <w:b/>
          <w:lang w:val="en-GB"/>
        </w:rPr>
      </w:pPr>
      <w:r>
        <w:rPr>
          <w:rFonts w:hAnsi="Times New Roman" w:cs="Times New Roman"/>
          <w:b/>
          <w:lang w:val="en-GB"/>
        </w:rPr>
        <w:t xml:space="preserve">        </w:t>
      </w:r>
      <w:r w:rsidRPr="009422BB">
        <w:rPr>
          <w:rFonts w:hAnsi="Times New Roman" w:cs="Times New Roman"/>
          <w:b/>
          <w:lang w:val="en-GB"/>
        </w:rPr>
        <w:t>PLA proposals consistent with aims of potential funding under Erasmus+</w:t>
      </w:r>
    </w:p>
    <w:tbl>
      <w:tblPr>
        <w:tblpPr w:leftFromText="180" w:rightFromText="180" w:vertAnchor="text" w:horzAnchor="page" w:tblpX="1474" w:tblpY="174"/>
        <w:tblOverlap w:val="never"/>
        <w:tblW w:w="4842"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5A0" w:firstRow="1" w:lastRow="0" w:firstColumn="1" w:lastColumn="1" w:noHBand="0" w:noVBand="1"/>
      </w:tblPr>
      <w:tblGrid>
        <w:gridCol w:w="1768"/>
        <w:gridCol w:w="2083"/>
        <w:gridCol w:w="3490"/>
        <w:gridCol w:w="1932"/>
      </w:tblGrid>
      <w:tr w:rsidR="008C33EB" w:rsidRPr="009422BB" w14:paraId="2FAB96F3" w14:textId="77777777" w:rsidTr="00E2609B">
        <w:trPr>
          <w:trHeight w:val="836"/>
        </w:trPr>
        <w:tc>
          <w:tcPr>
            <w:tcW w:w="953" w:type="pct"/>
            <w:shd w:val="clear" w:color="auto" w:fill="7F7F7F"/>
          </w:tcPr>
          <w:p w14:paraId="2FABD2CB" w14:textId="77777777" w:rsidR="008C33EB" w:rsidRPr="009422BB" w:rsidRDefault="008C33EB" w:rsidP="00E2609B">
            <w:pPr>
              <w:spacing w:after="120" w:line="288" w:lineRule="auto"/>
              <w:jc w:val="both"/>
              <w:rPr>
                <w:b/>
                <w:lang w:val="en-GB"/>
              </w:rPr>
            </w:pPr>
            <w:r w:rsidRPr="009422BB">
              <w:rPr>
                <w:b/>
                <w:lang w:val="en-GB"/>
              </w:rPr>
              <w:t>Organisers</w:t>
            </w:r>
          </w:p>
        </w:tc>
        <w:tc>
          <w:tcPr>
            <w:tcW w:w="1123" w:type="pct"/>
            <w:shd w:val="clear" w:color="auto" w:fill="7F7F7F"/>
          </w:tcPr>
          <w:p w14:paraId="6DC288C4" w14:textId="77777777" w:rsidR="008C33EB" w:rsidRPr="009422BB" w:rsidRDefault="008C33EB" w:rsidP="00E2609B">
            <w:pPr>
              <w:spacing w:after="120" w:line="288" w:lineRule="auto"/>
              <w:jc w:val="both"/>
              <w:rPr>
                <w:b/>
                <w:lang w:val="en-GB"/>
              </w:rPr>
            </w:pPr>
            <w:r w:rsidRPr="009422BB">
              <w:rPr>
                <w:b/>
                <w:lang w:val="en-GB"/>
              </w:rPr>
              <w:t>Topic</w:t>
            </w:r>
          </w:p>
        </w:tc>
        <w:tc>
          <w:tcPr>
            <w:tcW w:w="1882" w:type="pct"/>
            <w:shd w:val="clear" w:color="auto" w:fill="7F7F7F"/>
          </w:tcPr>
          <w:p w14:paraId="5B05AAEE" w14:textId="77777777" w:rsidR="008C33EB" w:rsidRPr="009422BB" w:rsidRDefault="008C33EB" w:rsidP="00E2609B">
            <w:pPr>
              <w:spacing w:after="120" w:line="288" w:lineRule="auto"/>
              <w:rPr>
                <w:b/>
                <w:lang w:val="en-GB"/>
              </w:rPr>
            </w:pPr>
            <w:r w:rsidRPr="009422BB">
              <w:rPr>
                <w:b/>
                <w:lang w:val="en-GB"/>
              </w:rPr>
              <w:t>Objectives</w:t>
            </w:r>
          </w:p>
        </w:tc>
        <w:tc>
          <w:tcPr>
            <w:tcW w:w="1042" w:type="pct"/>
            <w:shd w:val="clear" w:color="auto" w:fill="7F7F7F"/>
          </w:tcPr>
          <w:p w14:paraId="037B63AD" w14:textId="77777777" w:rsidR="008C33EB" w:rsidRPr="009422BB" w:rsidRDefault="008C33EB" w:rsidP="00E2609B">
            <w:pPr>
              <w:spacing w:after="120" w:line="288" w:lineRule="auto"/>
              <w:jc w:val="both"/>
              <w:rPr>
                <w:b/>
                <w:lang w:val="en-GB"/>
              </w:rPr>
            </w:pPr>
            <w:r w:rsidRPr="009422BB">
              <w:rPr>
                <w:b/>
                <w:lang w:val="en-GB"/>
              </w:rPr>
              <w:t xml:space="preserve">Proposed dates/period and venue </w:t>
            </w:r>
          </w:p>
        </w:tc>
      </w:tr>
      <w:tr w:rsidR="008C33EB" w:rsidRPr="009422BB" w14:paraId="5FAD7AA2" w14:textId="77777777" w:rsidTr="00E2609B">
        <w:tc>
          <w:tcPr>
            <w:tcW w:w="953" w:type="pct"/>
            <w:shd w:val="clear" w:color="auto" w:fill="auto"/>
          </w:tcPr>
          <w:p w14:paraId="64CABD78" w14:textId="77777777" w:rsidR="008C33EB" w:rsidRPr="009422BB" w:rsidRDefault="008C33EB" w:rsidP="00E2609B">
            <w:pPr>
              <w:spacing w:after="120" w:line="288" w:lineRule="auto"/>
              <w:jc w:val="both"/>
            </w:pPr>
            <w:r w:rsidRPr="009422BB">
              <w:t>Dutch Ministry of Education, Culture and Science and</w:t>
            </w:r>
            <w:r>
              <w:t xml:space="preserve"> Accreditation Organisation of t</w:t>
            </w:r>
            <w:r w:rsidRPr="009422BB">
              <w:t xml:space="preserve">he Netherlands and Flanders (NVAO) </w:t>
            </w:r>
            <w:r w:rsidRPr="009422BB">
              <w:rPr>
                <w:lang w:val="en-GB"/>
              </w:rPr>
              <w:t xml:space="preserve">(for </w:t>
            </w:r>
            <w:r w:rsidRPr="009422BB">
              <w:rPr>
                <w:lang w:val="en-GB"/>
              </w:rPr>
              <w:lastRenderedPageBreak/>
              <w:t>programme, see Annex2)</w:t>
            </w:r>
          </w:p>
        </w:tc>
        <w:tc>
          <w:tcPr>
            <w:tcW w:w="1123" w:type="pct"/>
            <w:shd w:val="clear" w:color="auto" w:fill="auto"/>
          </w:tcPr>
          <w:p w14:paraId="50D39296" w14:textId="77777777" w:rsidR="008C33EB" w:rsidRPr="009422BB" w:rsidRDefault="008C33EB" w:rsidP="00E2609B">
            <w:pPr>
              <w:spacing w:after="120" w:line="288" w:lineRule="auto"/>
              <w:jc w:val="both"/>
              <w:rPr>
                <w:i/>
                <w:lang w:val="en-GB"/>
              </w:rPr>
            </w:pPr>
            <w:r w:rsidRPr="009422BB">
              <w:rPr>
                <w:i/>
                <w:lang w:val="en-GB"/>
              </w:rPr>
              <w:lastRenderedPageBreak/>
              <w:t>The Achievement of Intended Learning Outcomes (LOs)</w:t>
            </w:r>
          </w:p>
          <w:p w14:paraId="5FAB7735" w14:textId="77777777" w:rsidR="008C33EB" w:rsidRPr="009422BB" w:rsidRDefault="008C33EB" w:rsidP="00E2609B">
            <w:pPr>
              <w:spacing w:after="120" w:line="288" w:lineRule="auto"/>
              <w:jc w:val="both"/>
              <w:rPr>
                <w:i/>
                <w:lang w:val="en-GB"/>
              </w:rPr>
            </w:pPr>
            <w:r w:rsidRPr="009422BB">
              <w:rPr>
                <w:i/>
                <w:lang w:val="en-GB"/>
              </w:rPr>
              <w:t xml:space="preserve">Guidelines for Demonstrating the Achievement of intended LOs in HEIs and external </w:t>
            </w:r>
            <w:r w:rsidRPr="009422BB">
              <w:rPr>
                <w:i/>
                <w:lang w:val="en-GB"/>
              </w:rPr>
              <w:lastRenderedPageBreak/>
              <w:t xml:space="preserve">QAs </w:t>
            </w:r>
          </w:p>
        </w:tc>
        <w:tc>
          <w:tcPr>
            <w:tcW w:w="1882" w:type="pct"/>
            <w:shd w:val="clear" w:color="auto" w:fill="FFFFFF"/>
          </w:tcPr>
          <w:p w14:paraId="5009099D" w14:textId="77777777" w:rsidR="008C33EB" w:rsidRPr="008C33EB" w:rsidRDefault="008C33EB" w:rsidP="00E2609B">
            <w:pPr>
              <w:spacing w:after="200" w:line="276" w:lineRule="auto"/>
            </w:pPr>
            <w:r w:rsidRPr="009422BB">
              <w:lastRenderedPageBreak/>
              <w:t xml:space="preserve">To discuss </w:t>
            </w:r>
            <w:r w:rsidRPr="008C33EB">
              <w:t>guidelines that can help to guide HEIs and QA agencies with demonstrating that intended learning outcomes have been achieved, based on practical examples</w:t>
            </w:r>
          </w:p>
          <w:p w14:paraId="05C2B251" w14:textId="77777777" w:rsidR="008C33EB" w:rsidRPr="009422BB" w:rsidRDefault="008C33EB" w:rsidP="00E2609B">
            <w:pPr>
              <w:spacing w:after="120" w:line="288" w:lineRule="auto"/>
              <w:rPr>
                <w:lang w:val="en-GB"/>
              </w:rPr>
            </w:pPr>
          </w:p>
        </w:tc>
        <w:tc>
          <w:tcPr>
            <w:tcW w:w="1042" w:type="pct"/>
            <w:shd w:val="clear" w:color="auto" w:fill="auto"/>
          </w:tcPr>
          <w:p w14:paraId="193F7E95" w14:textId="77777777" w:rsidR="008C33EB" w:rsidRPr="009422BB" w:rsidRDefault="008C33EB" w:rsidP="00E2609B">
            <w:pPr>
              <w:spacing w:after="120" w:line="288" w:lineRule="auto"/>
              <w:jc w:val="both"/>
              <w:rPr>
                <w:lang w:val="en-GB"/>
              </w:rPr>
            </w:pPr>
            <w:r w:rsidRPr="009422BB">
              <w:rPr>
                <w:lang w:val="en-GB"/>
              </w:rPr>
              <w:t>Second semester 2014</w:t>
            </w:r>
          </w:p>
          <w:p w14:paraId="33E7D39A" w14:textId="77777777" w:rsidR="008C33EB" w:rsidRPr="009422BB" w:rsidRDefault="008C33EB" w:rsidP="00E2609B">
            <w:pPr>
              <w:spacing w:after="120" w:line="288" w:lineRule="auto"/>
              <w:jc w:val="both"/>
              <w:rPr>
                <w:lang w:val="en-GB"/>
              </w:rPr>
            </w:pPr>
            <w:r w:rsidRPr="009422BB">
              <w:rPr>
                <w:lang w:val="en-GB"/>
              </w:rPr>
              <w:t>The Hague, the Netherlands</w:t>
            </w:r>
          </w:p>
        </w:tc>
      </w:tr>
      <w:tr w:rsidR="008C33EB" w:rsidRPr="009422BB" w14:paraId="69FAA764" w14:textId="77777777" w:rsidTr="00E2609B">
        <w:tc>
          <w:tcPr>
            <w:tcW w:w="953" w:type="pct"/>
            <w:shd w:val="clear" w:color="auto" w:fill="auto"/>
          </w:tcPr>
          <w:p w14:paraId="1D4681D4" w14:textId="77777777" w:rsidR="008C33EB" w:rsidRPr="009422BB" w:rsidRDefault="008C33EB" w:rsidP="00E2609B">
            <w:pPr>
              <w:spacing w:after="120" w:line="288" w:lineRule="auto"/>
              <w:jc w:val="both"/>
              <w:rPr>
                <w:lang w:val="en-GB"/>
              </w:rPr>
            </w:pPr>
            <w:r w:rsidRPr="009422BB">
              <w:rPr>
                <w:lang w:val="en-GB"/>
              </w:rPr>
              <w:lastRenderedPageBreak/>
              <w:t>ENQA</w:t>
            </w:r>
          </w:p>
        </w:tc>
        <w:tc>
          <w:tcPr>
            <w:tcW w:w="1123" w:type="pct"/>
            <w:shd w:val="clear" w:color="auto" w:fill="auto"/>
          </w:tcPr>
          <w:p w14:paraId="34EF67DA" w14:textId="77777777" w:rsidR="008C33EB" w:rsidRPr="009422BB" w:rsidRDefault="008C33EB" w:rsidP="00E2609B">
            <w:pPr>
              <w:spacing w:after="120" w:line="288" w:lineRule="auto"/>
              <w:jc w:val="both"/>
              <w:rPr>
                <w:lang w:val="en-GB"/>
              </w:rPr>
            </w:pPr>
            <w:r w:rsidRPr="009422BB">
              <w:rPr>
                <w:lang w:val="en-GB"/>
              </w:rPr>
              <w:t xml:space="preserve">Accreditation of Joint Degrees </w:t>
            </w:r>
          </w:p>
        </w:tc>
        <w:tc>
          <w:tcPr>
            <w:tcW w:w="1882" w:type="pct"/>
            <w:shd w:val="clear" w:color="auto" w:fill="auto"/>
          </w:tcPr>
          <w:p w14:paraId="5F6FD4C2" w14:textId="77777777" w:rsidR="008C33EB" w:rsidRPr="009422BB" w:rsidRDefault="008C33EB" w:rsidP="00E2609B">
            <w:pPr>
              <w:tabs>
                <w:tab w:val="left" w:pos="9356"/>
              </w:tabs>
              <w:spacing w:after="120" w:line="288" w:lineRule="auto"/>
              <w:jc w:val="both"/>
              <w:rPr>
                <w:lang w:val="en-GB"/>
              </w:rPr>
            </w:pPr>
            <w:r w:rsidRPr="009422BB">
              <w:rPr>
                <w:lang w:val="en-GB"/>
              </w:rPr>
              <w:t>To present country examples related to the topic</w:t>
            </w:r>
          </w:p>
          <w:p w14:paraId="60420A04" w14:textId="77777777" w:rsidR="008C33EB" w:rsidRPr="009422BB" w:rsidRDefault="008C33EB" w:rsidP="00E2609B">
            <w:pPr>
              <w:widowControl w:val="0"/>
              <w:autoSpaceDE w:val="0"/>
              <w:autoSpaceDN w:val="0"/>
              <w:adjustRightInd w:val="0"/>
              <w:spacing w:after="120" w:line="288" w:lineRule="auto"/>
              <w:rPr>
                <w:lang w:val="en-GB"/>
              </w:rPr>
            </w:pPr>
            <w:r w:rsidRPr="009422BB">
              <w:rPr>
                <w:lang w:val="en-GB"/>
              </w:rPr>
              <w:t xml:space="preserve">To examine national legislation and practices relating to joint </w:t>
            </w:r>
            <w:r>
              <w:rPr>
                <w:lang w:val="en-GB"/>
              </w:rPr>
              <w:t>program</w:t>
            </w:r>
            <w:r w:rsidRPr="009422BB">
              <w:rPr>
                <w:lang w:val="en-GB"/>
              </w:rPr>
              <w:t>s</w:t>
            </w:r>
          </w:p>
          <w:p w14:paraId="608718BD" w14:textId="77777777" w:rsidR="008C33EB" w:rsidRPr="009422BB" w:rsidRDefault="008C33EB" w:rsidP="00E2609B">
            <w:pPr>
              <w:tabs>
                <w:tab w:val="left" w:pos="9356"/>
              </w:tabs>
              <w:spacing w:after="120" w:line="288" w:lineRule="auto"/>
              <w:jc w:val="both"/>
              <w:rPr>
                <w:lang w:val="en-GB"/>
              </w:rPr>
            </w:pPr>
            <w:r w:rsidRPr="009422BB">
              <w:rPr>
                <w:lang w:val="en-GB"/>
              </w:rPr>
              <w:t xml:space="preserve">To analyse obstacles for implementing Joint degrees and </w:t>
            </w:r>
            <w:r w:rsidRPr="009422BB">
              <w:rPr>
                <w:i/>
                <w:lang w:val="en-GB"/>
              </w:rPr>
              <w:t>identify good practices/possible solutions</w:t>
            </w:r>
            <w:r w:rsidRPr="009422BB">
              <w:rPr>
                <w:lang w:val="en-GB"/>
              </w:rPr>
              <w:t xml:space="preserve"> </w:t>
            </w:r>
          </w:p>
        </w:tc>
        <w:tc>
          <w:tcPr>
            <w:tcW w:w="1042" w:type="pct"/>
            <w:shd w:val="clear" w:color="auto" w:fill="auto"/>
          </w:tcPr>
          <w:p w14:paraId="39CCE9F8" w14:textId="77777777" w:rsidR="008C33EB" w:rsidRPr="009422BB" w:rsidRDefault="008C33EB" w:rsidP="00E2609B">
            <w:pPr>
              <w:spacing w:after="120" w:line="288" w:lineRule="auto"/>
              <w:jc w:val="both"/>
              <w:rPr>
                <w:lang w:val="en-GB"/>
              </w:rPr>
            </w:pPr>
            <w:r w:rsidRPr="009422BB">
              <w:rPr>
                <w:lang w:val="en-GB"/>
              </w:rPr>
              <w:t xml:space="preserve">First Semester of 2015 (after the Yerevan Ministerial Events) </w:t>
            </w:r>
          </w:p>
          <w:p w14:paraId="0538AABC" w14:textId="77777777" w:rsidR="008C33EB" w:rsidRPr="009422BB" w:rsidRDefault="008C33EB" w:rsidP="00E2609B">
            <w:pPr>
              <w:spacing w:after="120" w:line="288" w:lineRule="auto"/>
              <w:jc w:val="both"/>
              <w:rPr>
                <w:lang w:val="en-GB"/>
              </w:rPr>
            </w:pPr>
          </w:p>
        </w:tc>
      </w:tr>
    </w:tbl>
    <w:p w14:paraId="4FF490E7" w14:textId="77777777" w:rsidR="008C33EB" w:rsidRPr="009422BB" w:rsidRDefault="008C33EB" w:rsidP="008C33EB">
      <w:pPr>
        <w:pStyle w:val="Body"/>
        <w:rPr>
          <w:rFonts w:hAnsi="Times New Roman" w:cs="Times New Roman"/>
          <w:b/>
          <w:lang w:val="en-GB"/>
        </w:rPr>
      </w:pPr>
      <w:r>
        <w:rPr>
          <w:rFonts w:hAnsi="Times New Roman" w:cs="Times New Roman"/>
          <w:b/>
          <w:lang w:val="en-GB"/>
        </w:rPr>
        <w:t xml:space="preserve">  </w:t>
      </w:r>
    </w:p>
    <w:p w14:paraId="7467C522" w14:textId="77777777" w:rsidR="008C33EB" w:rsidRPr="009422BB" w:rsidRDefault="008C33EB" w:rsidP="008C33EB">
      <w:pPr>
        <w:pStyle w:val="Body"/>
        <w:ind w:left="-567"/>
        <w:rPr>
          <w:ins w:id="12" w:author="Bologna 2" w:date="2014-07-29T12:12:00Z"/>
          <w:rFonts w:hAnsi="Times New Roman" w:cs="Times New Roman"/>
        </w:rPr>
      </w:pPr>
    </w:p>
    <w:p w14:paraId="4C0293AD" w14:textId="77777777" w:rsidR="008C33EB" w:rsidRPr="008C33EB" w:rsidRDefault="008C33EB" w:rsidP="008C33EB">
      <w:pPr>
        <w:pStyle w:val="Body"/>
        <w:ind w:left="-567"/>
        <w:rPr>
          <w:rFonts w:hAnsi="Times New Roman" w:cs="Times New Roman"/>
          <w:b/>
          <w:i/>
          <w:lang w:val="en-GB"/>
        </w:rPr>
      </w:pPr>
      <w:r>
        <w:rPr>
          <w:rFonts w:hAnsi="Times New Roman" w:cs="Times New Roman"/>
          <w:b/>
          <w:lang w:val="en-GB"/>
        </w:rPr>
        <w:t xml:space="preserve">       </w:t>
      </w:r>
      <w:r w:rsidRPr="008C33EB">
        <w:rPr>
          <w:rFonts w:hAnsi="Times New Roman" w:cs="Times New Roman"/>
          <w:b/>
          <w:i/>
          <w:lang w:val="en-GB"/>
        </w:rPr>
        <w:t>PLA proposals with the need to clarify the subject and/or decide if a PLA is the right format</w:t>
      </w:r>
    </w:p>
    <w:tbl>
      <w:tblPr>
        <w:tblpPr w:leftFromText="180" w:rightFromText="180" w:vertAnchor="text" w:horzAnchor="page" w:tblpX="1439" w:tblpY="174"/>
        <w:tblOverlap w:val="never"/>
        <w:tblW w:w="4864"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5A0" w:firstRow="1" w:lastRow="0" w:firstColumn="1" w:lastColumn="1" w:noHBand="0" w:noVBand="1"/>
        <w:tblPrChange w:id="13" w:author="Bologna 2" w:date="2014-08-20T11:39:00Z">
          <w:tblPr>
            <w:tblpPr w:leftFromText="180" w:rightFromText="180" w:vertAnchor="text" w:horzAnchor="page" w:tblpX="1439" w:tblpY="174"/>
            <w:tblOverlap w:val="never"/>
            <w:tblW w:w="4864"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5A0" w:firstRow="1" w:lastRow="0" w:firstColumn="1" w:lastColumn="1" w:noHBand="0" w:noVBand="1"/>
          </w:tblPr>
        </w:tblPrChange>
      </w:tblPr>
      <w:tblGrid>
        <w:gridCol w:w="1459"/>
        <w:gridCol w:w="1638"/>
        <w:gridCol w:w="2802"/>
        <w:gridCol w:w="1578"/>
        <w:gridCol w:w="1839"/>
        <w:tblGridChange w:id="14">
          <w:tblGrid>
            <w:gridCol w:w="108"/>
            <w:gridCol w:w="1351"/>
            <w:gridCol w:w="108"/>
            <w:gridCol w:w="1530"/>
            <w:gridCol w:w="108"/>
            <w:gridCol w:w="2694"/>
            <w:gridCol w:w="108"/>
            <w:gridCol w:w="1470"/>
            <w:gridCol w:w="108"/>
            <w:gridCol w:w="1731"/>
            <w:gridCol w:w="108"/>
          </w:tblGrid>
        </w:tblGridChange>
      </w:tblGrid>
      <w:tr w:rsidR="004C7832" w:rsidRPr="009422BB" w14:paraId="53A356C1" w14:textId="77777777" w:rsidTr="004C7832">
        <w:trPr>
          <w:trHeight w:val="836"/>
          <w:trPrChange w:id="15" w:author="Bologna 2" w:date="2014-08-20T11:39:00Z">
            <w:trPr>
              <w:gridAfter w:val="0"/>
              <w:trHeight w:val="836"/>
            </w:trPr>
          </w:trPrChange>
        </w:trPr>
        <w:tc>
          <w:tcPr>
            <w:tcW w:w="783" w:type="pct"/>
            <w:shd w:val="clear" w:color="auto" w:fill="7F7F7F"/>
            <w:tcPrChange w:id="16" w:author="Bologna 2" w:date="2014-08-20T11:39:00Z">
              <w:tcPr>
                <w:tcW w:w="783" w:type="pct"/>
                <w:gridSpan w:val="2"/>
                <w:shd w:val="clear" w:color="auto" w:fill="7F7F7F"/>
              </w:tcPr>
            </w:tcPrChange>
          </w:tcPr>
          <w:p w14:paraId="19E82419" w14:textId="77777777" w:rsidR="008C33EB" w:rsidRPr="009422BB" w:rsidRDefault="008C33EB" w:rsidP="004C7832">
            <w:pPr>
              <w:spacing w:after="120" w:line="288" w:lineRule="auto"/>
              <w:jc w:val="both"/>
              <w:rPr>
                <w:b/>
                <w:lang w:val="en-GB"/>
              </w:rPr>
            </w:pPr>
            <w:r w:rsidRPr="009422BB">
              <w:rPr>
                <w:b/>
                <w:lang w:val="en-GB"/>
              </w:rPr>
              <w:t>Organisers</w:t>
            </w:r>
          </w:p>
        </w:tc>
        <w:tc>
          <w:tcPr>
            <w:tcW w:w="879" w:type="pct"/>
            <w:shd w:val="clear" w:color="auto" w:fill="7F7F7F"/>
            <w:tcPrChange w:id="17" w:author="Bologna 2" w:date="2014-08-20T11:39:00Z">
              <w:tcPr>
                <w:tcW w:w="879" w:type="pct"/>
                <w:gridSpan w:val="2"/>
                <w:shd w:val="clear" w:color="auto" w:fill="7F7F7F"/>
              </w:tcPr>
            </w:tcPrChange>
          </w:tcPr>
          <w:p w14:paraId="79BD9B29" w14:textId="77777777" w:rsidR="008C33EB" w:rsidRPr="009422BB" w:rsidRDefault="008C33EB" w:rsidP="004C7832">
            <w:pPr>
              <w:spacing w:after="120" w:line="288" w:lineRule="auto"/>
              <w:jc w:val="both"/>
              <w:rPr>
                <w:b/>
                <w:lang w:val="en-GB"/>
              </w:rPr>
            </w:pPr>
            <w:r w:rsidRPr="009422BB">
              <w:rPr>
                <w:b/>
                <w:lang w:val="en-GB"/>
              </w:rPr>
              <w:t>Topic</w:t>
            </w:r>
          </w:p>
        </w:tc>
        <w:tc>
          <w:tcPr>
            <w:tcW w:w="1504" w:type="pct"/>
            <w:shd w:val="clear" w:color="auto" w:fill="7F7F7F"/>
            <w:tcPrChange w:id="18" w:author="Bologna 2" w:date="2014-08-20T11:39:00Z">
              <w:tcPr>
                <w:tcW w:w="1504" w:type="pct"/>
                <w:gridSpan w:val="2"/>
                <w:shd w:val="clear" w:color="auto" w:fill="7F7F7F"/>
              </w:tcPr>
            </w:tcPrChange>
          </w:tcPr>
          <w:p w14:paraId="79F66A0E" w14:textId="77777777" w:rsidR="008C33EB" w:rsidRPr="009422BB" w:rsidRDefault="008C33EB" w:rsidP="004C7832">
            <w:pPr>
              <w:spacing w:after="120" w:line="288" w:lineRule="auto"/>
              <w:rPr>
                <w:b/>
                <w:lang w:val="en-GB"/>
              </w:rPr>
            </w:pPr>
            <w:r w:rsidRPr="009422BB">
              <w:rPr>
                <w:b/>
                <w:lang w:val="en-GB"/>
              </w:rPr>
              <w:t>Objectives</w:t>
            </w:r>
          </w:p>
        </w:tc>
        <w:tc>
          <w:tcPr>
            <w:tcW w:w="847" w:type="pct"/>
            <w:shd w:val="clear" w:color="auto" w:fill="7F7F7F"/>
            <w:tcPrChange w:id="19" w:author="Bologna 2" w:date="2014-08-20T11:39:00Z">
              <w:tcPr>
                <w:tcW w:w="847" w:type="pct"/>
                <w:gridSpan w:val="2"/>
                <w:shd w:val="clear" w:color="auto" w:fill="7F7F7F"/>
              </w:tcPr>
            </w:tcPrChange>
          </w:tcPr>
          <w:p w14:paraId="7D4F8628" w14:textId="77777777" w:rsidR="008C33EB" w:rsidRPr="009422BB" w:rsidRDefault="008C33EB" w:rsidP="004C7832">
            <w:pPr>
              <w:spacing w:after="120" w:line="288" w:lineRule="auto"/>
              <w:jc w:val="both"/>
              <w:rPr>
                <w:b/>
                <w:lang w:val="en-GB"/>
              </w:rPr>
            </w:pPr>
            <w:r w:rsidRPr="009422BB">
              <w:rPr>
                <w:b/>
                <w:lang w:val="en-GB"/>
              </w:rPr>
              <w:t xml:space="preserve">Proposed dates/period and venue </w:t>
            </w:r>
          </w:p>
        </w:tc>
        <w:tc>
          <w:tcPr>
            <w:tcW w:w="987" w:type="pct"/>
            <w:shd w:val="clear" w:color="auto" w:fill="7F7F7F"/>
            <w:tcPrChange w:id="20" w:author="Bologna 2" w:date="2014-08-20T11:39:00Z">
              <w:tcPr>
                <w:tcW w:w="987" w:type="pct"/>
                <w:gridSpan w:val="2"/>
                <w:shd w:val="clear" w:color="auto" w:fill="7F7F7F"/>
              </w:tcPr>
            </w:tcPrChange>
          </w:tcPr>
          <w:p w14:paraId="6EDA9C19" w14:textId="77777777" w:rsidR="008C33EB" w:rsidRPr="009422BB" w:rsidRDefault="008C33EB" w:rsidP="004C7832">
            <w:pPr>
              <w:spacing w:after="120" w:line="288" w:lineRule="auto"/>
              <w:jc w:val="both"/>
              <w:rPr>
                <w:b/>
                <w:lang w:val="en-GB"/>
              </w:rPr>
            </w:pPr>
          </w:p>
        </w:tc>
      </w:tr>
      <w:tr w:rsidR="004C7832" w:rsidRPr="009422BB" w14:paraId="339FF78B" w14:textId="77777777" w:rsidTr="004C7832">
        <w:tc>
          <w:tcPr>
            <w:tcW w:w="783" w:type="pct"/>
            <w:shd w:val="clear" w:color="auto" w:fill="auto"/>
          </w:tcPr>
          <w:p w14:paraId="3C4404B4" w14:textId="77777777" w:rsidR="008C33EB" w:rsidRPr="009422BB" w:rsidRDefault="008C33EB" w:rsidP="004C7832">
            <w:pPr>
              <w:spacing w:after="120" w:line="288" w:lineRule="auto"/>
              <w:jc w:val="both"/>
              <w:rPr>
                <w:lang w:val="en-GB"/>
              </w:rPr>
            </w:pPr>
            <w:r w:rsidRPr="009422BB">
              <w:rPr>
                <w:lang w:val="en-GB"/>
              </w:rPr>
              <w:t>Ireland</w:t>
            </w:r>
          </w:p>
        </w:tc>
        <w:tc>
          <w:tcPr>
            <w:tcW w:w="879" w:type="pct"/>
            <w:shd w:val="clear" w:color="auto" w:fill="auto"/>
          </w:tcPr>
          <w:p w14:paraId="18753806" w14:textId="77777777" w:rsidR="008C33EB" w:rsidRPr="009422BB" w:rsidRDefault="008C33EB" w:rsidP="004C7832">
            <w:pPr>
              <w:spacing w:after="120" w:line="288" w:lineRule="auto"/>
              <w:jc w:val="both"/>
              <w:rPr>
                <w:i/>
                <w:lang w:val="en-GB"/>
              </w:rPr>
            </w:pPr>
            <w:r w:rsidRPr="009422BB">
              <w:rPr>
                <w:i/>
                <w:lang w:val="en-GB"/>
              </w:rPr>
              <w:t>Promotion of Structural Reforms: Branding of Bologna Reforms</w:t>
            </w:r>
          </w:p>
        </w:tc>
        <w:tc>
          <w:tcPr>
            <w:tcW w:w="1504" w:type="pct"/>
            <w:shd w:val="clear" w:color="auto" w:fill="FFFFFF"/>
          </w:tcPr>
          <w:p w14:paraId="63F2EE5B" w14:textId="77777777" w:rsidR="008C33EB" w:rsidRPr="009422BB" w:rsidRDefault="008C33EB" w:rsidP="004C7832">
            <w:pPr>
              <w:spacing w:after="120" w:line="288" w:lineRule="auto"/>
              <w:rPr>
                <w:lang w:val="en-GB"/>
              </w:rPr>
            </w:pPr>
            <w:r w:rsidRPr="009422BB">
              <w:rPr>
                <w:lang w:val="en-GB"/>
              </w:rPr>
              <w:t>To promote the common understanding of structural reforms outside the EHEA</w:t>
            </w:r>
          </w:p>
          <w:p w14:paraId="79AF1164" w14:textId="77777777" w:rsidR="008C33EB" w:rsidRPr="009422BB" w:rsidRDefault="008C33EB" w:rsidP="004C7832">
            <w:pPr>
              <w:spacing w:after="120" w:line="288" w:lineRule="auto"/>
              <w:rPr>
                <w:lang w:val="en-GB"/>
              </w:rPr>
            </w:pPr>
            <w:r w:rsidRPr="009422BB">
              <w:rPr>
                <w:lang w:val="en-GB"/>
              </w:rPr>
              <w:t>To share good practices in relation to structural reforms</w:t>
            </w:r>
          </w:p>
        </w:tc>
        <w:tc>
          <w:tcPr>
            <w:tcW w:w="847" w:type="pct"/>
            <w:shd w:val="clear" w:color="auto" w:fill="auto"/>
          </w:tcPr>
          <w:p w14:paraId="4C3B1E97" w14:textId="77777777" w:rsidR="008C33EB" w:rsidRPr="009422BB" w:rsidRDefault="008C33EB" w:rsidP="004C7832">
            <w:pPr>
              <w:spacing w:after="120" w:line="288" w:lineRule="auto"/>
              <w:jc w:val="both"/>
              <w:rPr>
                <w:lang w:val="en-GB"/>
              </w:rPr>
            </w:pPr>
            <w:r w:rsidRPr="009422BB">
              <w:rPr>
                <w:lang w:val="en-GB"/>
              </w:rPr>
              <w:t xml:space="preserve">Second semester 2014 </w:t>
            </w:r>
          </w:p>
          <w:p w14:paraId="13116B0A" w14:textId="77777777" w:rsidR="008C33EB" w:rsidRPr="009422BB" w:rsidRDefault="008C33EB" w:rsidP="004C7832">
            <w:pPr>
              <w:spacing w:after="120" w:line="288" w:lineRule="auto"/>
              <w:jc w:val="both"/>
              <w:rPr>
                <w:lang w:val="en-GB"/>
              </w:rPr>
            </w:pPr>
            <w:r w:rsidRPr="009422BB">
              <w:rPr>
                <w:lang w:val="en-GB"/>
              </w:rPr>
              <w:t>Ireland</w:t>
            </w:r>
          </w:p>
        </w:tc>
        <w:tc>
          <w:tcPr>
            <w:tcW w:w="987" w:type="pct"/>
          </w:tcPr>
          <w:p w14:paraId="1E440C7E" w14:textId="77777777" w:rsidR="008C33EB" w:rsidRPr="009422BB" w:rsidRDefault="008C33EB" w:rsidP="004C7832">
            <w:pPr>
              <w:spacing w:after="120" w:line="288" w:lineRule="auto"/>
              <w:jc w:val="both"/>
              <w:rPr>
                <w:lang w:val="en-GB"/>
              </w:rPr>
            </w:pPr>
            <w:r w:rsidRPr="009422BB">
              <w:rPr>
                <w:lang w:val="en-GB"/>
              </w:rPr>
              <w:t>Activity suitable for mainstreaming in country policy cooperation with non-EHEA countries? A suitable follow-up action with the Bologna Policy Forum follow-up?</w:t>
            </w:r>
          </w:p>
        </w:tc>
      </w:tr>
      <w:tr w:rsidR="004C7832" w:rsidRPr="009422BB" w14:paraId="2C5438F0" w14:textId="77777777" w:rsidTr="004C7832">
        <w:tc>
          <w:tcPr>
            <w:tcW w:w="783" w:type="pct"/>
            <w:shd w:val="clear" w:color="auto" w:fill="auto"/>
          </w:tcPr>
          <w:p w14:paraId="1AE86B10" w14:textId="77777777" w:rsidR="008C33EB" w:rsidRPr="009422BB" w:rsidRDefault="008C33EB" w:rsidP="004C7832">
            <w:pPr>
              <w:spacing w:after="120" w:line="288" w:lineRule="auto"/>
              <w:jc w:val="both"/>
              <w:rPr>
                <w:lang w:val="en-GB"/>
              </w:rPr>
            </w:pPr>
            <w:r w:rsidRPr="009422BB">
              <w:rPr>
                <w:lang w:val="en-GB"/>
              </w:rPr>
              <w:t>Romania (TBC)</w:t>
            </w:r>
          </w:p>
        </w:tc>
        <w:tc>
          <w:tcPr>
            <w:tcW w:w="879" w:type="pct"/>
            <w:shd w:val="clear" w:color="auto" w:fill="auto"/>
          </w:tcPr>
          <w:p w14:paraId="615FF6F0" w14:textId="77777777" w:rsidR="008C33EB" w:rsidRPr="009422BB" w:rsidRDefault="008C33EB" w:rsidP="004C7832">
            <w:pPr>
              <w:spacing w:after="120" w:line="288" w:lineRule="auto"/>
              <w:jc w:val="both"/>
              <w:rPr>
                <w:i/>
                <w:lang w:val="en-GB"/>
              </w:rPr>
            </w:pPr>
            <w:r w:rsidRPr="009422BB">
              <w:rPr>
                <w:i/>
                <w:lang w:val="en-GB"/>
              </w:rPr>
              <w:t>Transparency Tools for the Third Cycle</w:t>
            </w:r>
          </w:p>
        </w:tc>
        <w:tc>
          <w:tcPr>
            <w:tcW w:w="1504" w:type="pct"/>
            <w:shd w:val="clear" w:color="auto" w:fill="FFFFFF"/>
          </w:tcPr>
          <w:p w14:paraId="399142E2" w14:textId="77777777" w:rsidR="008C33EB" w:rsidRPr="009422BB" w:rsidRDefault="008C33EB" w:rsidP="004C7832">
            <w:pPr>
              <w:spacing w:after="120" w:line="288" w:lineRule="auto"/>
              <w:rPr>
                <w:lang w:val="en-GB"/>
              </w:rPr>
            </w:pPr>
            <w:r w:rsidRPr="009422BB">
              <w:rPr>
                <w:lang w:val="en-GB"/>
              </w:rPr>
              <w:t>To map existing practices on DS issue in third cycle</w:t>
            </w:r>
          </w:p>
          <w:p w14:paraId="14BFAEF2" w14:textId="77777777" w:rsidR="008C33EB" w:rsidRPr="009422BB" w:rsidRDefault="008C33EB" w:rsidP="004C7832">
            <w:pPr>
              <w:spacing w:after="120" w:line="288" w:lineRule="auto"/>
              <w:rPr>
                <w:lang w:val="en-GB"/>
              </w:rPr>
            </w:pPr>
            <w:r w:rsidRPr="009422BB">
              <w:rPr>
                <w:lang w:val="en-GB"/>
              </w:rPr>
              <w:t xml:space="preserve">To start a discussion on what could be changed in the DS to make it useful </w:t>
            </w:r>
            <w:r w:rsidRPr="009422BB">
              <w:rPr>
                <w:lang w:val="en-GB"/>
              </w:rPr>
              <w:lastRenderedPageBreak/>
              <w:t>for the third cycle as well</w:t>
            </w:r>
          </w:p>
          <w:p w14:paraId="18A74166" w14:textId="77777777" w:rsidR="008C33EB" w:rsidRPr="009422BB" w:rsidRDefault="008C33EB" w:rsidP="004C7832">
            <w:pPr>
              <w:tabs>
                <w:tab w:val="left" w:pos="5954"/>
              </w:tabs>
              <w:spacing w:after="120" w:line="288" w:lineRule="auto"/>
              <w:rPr>
                <w:lang w:val="en-GB"/>
              </w:rPr>
            </w:pPr>
            <w:r w:rsidRPr="009422BB">
              <w:rPr>
                <w:color w:val="000000"/>
                <w:lang w:val="en-GB"/>
              </w:rPr>
              <w:t>To analyse the existing good practice in the use of ECTS for third-cycle programmes</w:t>
            </w:r>
          </w:p>
        </w:tc>
        <w:tc>
          <w:tcPr>
            <w:tcW w:w="847" w:type="pct"/>
            <w:shd w:val="clear" w:color="auto" w:fill="auto"/>
          </w:tcPr>
          <w:p w14:paraId="6384A478" w14:textId="77777777" w:rsidR="008C33EB" w:rsidRPr="009422BB" w:rsidRDefault="008C33EB" w:rsidP="004C7832">
            <w:pPr>
              <w:tabs>
                <w:tab w:val="left" w:pos="5954"/>
              </w:tabs>
              <w:spacing w:after="120" w:line="288" w:lineRule="auto"/>
              <w:jc w:val="both"/>
              <w:rPr>
                <w:lang w:val="en-GB"/>
              </w:rPr>
            </w:pPr>
            <w:r w:rsidRPr="009422BB">
              <w:rPr>
                <w:lang w:val="en-GB"/>
              </w:rPr>
              <w:lastRenderedPageBreak/>
              <w:t>Second Semester of 2014 TBC</w:t>
            </w:r>
          </w:p>
        </w:tc>
        <w:tc>
          <w:tcPr>
            <w:tcW w:w="987" w:type="pct"/>
          </w:tcPr>
          <w:p w14:paraId="72A67532" w14:textId="77777777" w:rsidR="008C33EB" w:rsidRPr="009422BB" w:rsidRDefault="008C33EB" w:rsidP="004C7832">
            <w:pPr>
              <w:tabs>
                <w:tab w:val="left" w:pos="5954"/>
              </w:tabs>
              <w:spacing w:after="120" w:line="288" w:lineRule="auto"/>
              <w:jc w:val="both"/>
              <w:rPr>
                <w:lang w:val="en-GB"/>
              </w:rPr>
            </w:pPr>
            <w:r w:rsidRPr="009422BB">
              <w:rPr>
                <w:lang w:val="en-GB"/>
              </w:rPr>
              <w:t>Apparent overlap with tasks of the 3</w:t>
            </w:r>
            <w:r w:rsidRPr="009422BB">
              <w:rPr>
                <w:vertAlign w:val="superscript"/>
                <w:lang w:val="en-GB"/>
              </w:rPr>
              <w:t>rd</w:t>
            </w:r>
            <w:r w:rsidRPr="009422BB">
              <w:rPr>
                <w:lang w:val="en-GB"/>
              </w:rPr>
              <w:t xml:space="preserve"> cycle working group; mapping and analysis </w:t>
            </w:r>
            <w:r w:rsidRPr="009422BB">
              <w:rPr>
                <w:lang w:val="en-GB"/>
              </w:rPr>
              <w:lastRenderedPageBreak/>
              <w:t>tasks appear more suitable for the WG rather than for a PLA</w:t>
            </w:r>
          </w:p>
          <w:p w14:paraId="76EAE4B0" w14:textId="77777777" w:rsidR="008C33EB" w:rsidRPr="009422BB" w:rsidRDefault="008C33EB" w:rsidP="004C7832">
            <w:pPr>
              <w:tabs>
                <w:tab w:val="left" w:pos="5954"/>
              </w:tabs>
              <w:spacing w:after="120" w:line="288" w:lineRule="auto"/>
              <w:jc w:val="both"/>
              <w:rPr>
                <w:lang w:val="en-GB"/>
              </w:rPr>
            </w:pPr>
            <w:r w:rsidRPr="009422BB">
              <w:rPr>
                <w:lang w:val="en-GB"/>
              </w:rPr>
              <w:t xml:space="preserve">Angle on DS – could feed into a wider discussion on the DS, but probably more suitable as a WG action rather than a PLA </w:t>
            </w:r>
          </w:p>
        </w:tc>
      </w:tr>
      <w:tr w:rsidR="004C7832" w:rsidRPr="009422BB" w14:paraId="191DF6D5" w14:textId="77777777" w:rsidTr="004C7832">
        <w:trPr>
          <w:trHeight w:val="1553"/>
        </w:trPr>
        <w:tc>
          <w:tcPr>
            <w:tcW w:w="783" w:type="pct"/>
            <w:shd w:val="clear" w:color="auto" w:fill="auto"/>
          </w:tcPr>
          <w:p w14:paraId="3619128D" w14:textId="77777777" w:rsidR="008C33EB" w:rsidRPr="009422BB" w:rsidRDefault="008C33EB" w:rsidP="004C7832">
            <w:pPr>
              <w:spacing w:after="120" w:line="288" w:lineRule="auto"/>
              <w:jc w:val="both"/>
              <w:rPr>
                <w:lang w:val="en-GB"/>
              </w:rPr>
            </w:pPr>
            <w:r w:rsidRPr="009422BB">
              <w:rPr>
                <w:lang w:val="en-GB"/>
              </w:rPr>
              <w:lastRenderedPageBreak/>
              <w:t>Poland</w:t>
            </w:r>
          </w:p>
        </w:tc>
        <w:tc>
          <w:tcPr>
            <w:tcW w:w="879" w:type="pct"/>
            <w:shd w:val="clear" w:color="auto" w:fill="auto"/>
          </w:tcPr>
          <w:p w14:paraId="7AE96A02" w14:textId="77777777" w:rsidR="008C33EB" w:rsidRPr="009422BB" w:rsidRDefault="008C33EB" w:rsidP="004C7832">
            <w:pPr>
              <w:spacing w:after="120" w:line="288" w:lineRule="auto"/>
              <w:jc w:val="both"/>
              <w:rPr>
                <w:lang w:val="en-GB"/>
              </w:rPr>
            </w:pPr>
            <w:r w:rsidRPr="009422BB">
              <w:rPr>
                <w:lang w:val="en-GB"/>
              </w:rPr>
              <w:t>Structural Reforms and Employability</w:t>
            </w:r>
          </w:p>
        </w:tc>
        <w:tc>
          <w:tcPr>
            <w:tcW w:w="1504" w:type="pct"/>
            <w:shd w:val="clear" w:color="auto" w:fill="auto"/>
          </w:tcPr>
          <w:p w14:paraId="6794D72B" w14:textId="77777777" w:rsidR="008C33EB" w:rsidRPr="009422BB" w:rsidRDefault="008C33EB" w:rsidP="004C7832">
            <w:pPr>
              <w:spacing w:after="120" w:line="288" w:lineRule="auto"/>
              <w:jc w:val="both"/>
              <w:rPr>
                <w:lang w:val="en-GB"/>
              </w:rPr>
            </w:pPr>
            <w:r w:rsidRPr="009422BB">
              <w:rPr>
                <w:lang w:val="en-GB"/>
              </w:rPr>
              <w:t xml:space="preserve">To discuss the role of SRs in enhancing employability of graduates </w:t>
            </w:r>
          </w:p>
          <w:p w14:paraId="540F83FB" w14:textId="77777777" w:rsidR="00E2609B" w:rsidRDefault="00E2609B" w:rsidP="004C7832">
            <w:pPr>
              <w:spacing w:after="120" w:line="288" w:lineRule="auto"/>
              <w:jc w:val="both"/>
              <w:rPr>
                <w:lang w:val="en-GB"/>
              </w:rPr>
            </w:pPr>
            <w:r>
              <w:rPr>
                <w:lang w:val="en-GB"/>
              </w:rPr>
              <w:t xml:space="preserve">To </w:t>
            </w:r>
            <w:r w:rsidR="001F4118">
              <w:rPr>
                <w:lang w:val="en-GB"/>
              </w:rPr>
              <w:t>share</w:t>
            </w:r>
            <w:r>
              <w:rPr>
                <w:lang w:val="en-GB"/>
              </w:rPr>
              <w:t xml:space="preserve"> good practice </w:t>
            </w:r>
            <w:r w:rsidR="001F4118">
              <w:rPr>
                <w:lang w:val="en-GB"/>
              </w:rPr>
              <w:t xml:space="preserve">in </w:t>
            </w:r>
            <w:r>
              <w:rPr>
                <w:lang w:val="en-GB"/>
              </w:rPr>
              <w:t>tracking graduates</w:t>
            </w:r>
            <w:r w:rsidR="001F4118">
              <w:rPr>
                <w:lang w:val="en-GB"/>
              </w:rPr>
              <w:t xml:space="preserve">’ career path and discuss challenges as regards obtaining reliable and meaningful information on graduates’ employability </w:t>
            </w:r>
          </w:p>
          <w:p w14:paraId="72471B95" w14:textId="77777777" w:rsidR="008C33EB" w:rsidRPr="008C33EB" w:rsidRDefault="008C33EB" w:rsidP="004C7832">
            <w:pPr>
              <w:spacing w:after="120" w:line="288" w:lineRule="auto"/>
              <w:jc w:val="both"/>
              <w:rPr>
                <w:lang w:val="en-GB"/>
              </w:rPr>
            </w:pPr>
            <w:r w:rsidRPr="009422BB">
              <w:rPr>
                <w:lang w:val="en-GB"/>
              </w:rPr>
              <w:t xml:space="preserve">To consider the </w:t>
            </w:r>
            <w:r w:rsidRPr="008C33EB">
              <w:rPr>
                <w:lang w:val="en-GB"/>
              </w:rPr>
              <w:t>role of employers in shaping curricula, QA processes and QFs</w:t>
            </w:r>
          </w:p>
          <w:p w14:paraId="2CFA1672" w14:textId="77777777" w:rsidR="008C33EB" w:rsidRPr="009422BB" w:rsidRDefault="008C33EB" w:rsidP="004C7832">
            <w:pPr>
              <w:spacing w:after="120" w:line="288" w:lineRule="auto"/>
              <w:jc w:val="both"/>
              <w:rPr>
                <w:lang w:val="en-GB"/>
              </w:rPr>
            </w:pPr>
          </w:p>
        </w:tc>
        <w:tc>
          <w:tcPr>
            <w:tcW w:w="847" w:type="pct"/>
            <w:shd w:val="clear" w:color="auto" w:fill="auto"/>
          </w:tcPr>
          <w:p w14:paraId="113BDBDF" w14:textId="77777777" w:rsidR="008C33EB" w:rsidRPr="009422BB" w:rsidRDefault="008C33EB" w:rsidP="004C7832">
            <w:pPr>
              <w:spacing w:after="120" w:line="288" w:lineRule="auto"/>
              <w:jc w:val="both"/>
              <w:rPr>
                <w:lang w:val="en-GB"/>
              </w:rPr>
            </w:pPr>
            <w:r w:rsidRPr="009422BB">
              <w:rPr>
                <w:lang w:val="en-GB"/>
              </w:rPr>
              <w:t xml:space="preserve">First Semester of 2015 (after the Yerevan Ministerial Events) </w:t>
            </w:r>
          </w:p>
          <w:p w14:paraId="406EC64A" w14:textId="77777777" w:rsidR="008C33EB" w:rsidRPr="009422BB" w:rsidRDefault="008C33EB" w:rsidP="004C7832">
            <w:pPr>
              <w:spacing w:after="120" w:line="288" w:lineRule="auto"/>
              <w:jc w:val="both"/>
              <w:rPr>
                <w:lang w:val="en-GB"/>
              </w:rPr>
            </w:pPr>
            <w:r w:rsidRPr="009422BB">
              <w:rPr>
                <w:lang w:val="en-GB"/>
              </w:rPr>
              <w:t>Poland</w:t>
            </w:r>
          </w:p>
        </w:tc>
        <w:tc>
          <w:tcPr>
            <w:tcW w:w="987" w:type="pct"/>
          </w:tcPr>
          <w:p w14:paraId="74B9DB46" w14:textId="77777777" w:rsidR="008C33EB" w:rsidRPr="009422BB" w:rsidRDefault="008C33EB" w:rsidP="004C7832">
            <w:pPr>
              <w:spacing w:after="120" w:line="288" w:lineRule="auto"/>
              <w:jc w:val="both"/>
              <w:rPr>
                <w:lang w:val="en-GB"/>
              </w:rPr>
            </w:pPr>
            <w:r w:rsidRPr="009422BB">
              <w:rPr>
                <w:lang w:val="en-GB"/>
              </w:rPr>
              <w:t xml:space="preserve">Proposed by Poland. Retained as potential PLA above a second, broader proposal on best practices in coherent implementation of structural reforms </w:t>
            </w:r>
          </w:p>
        </w:tc>
      </w:tr>
    </w:tbl>
    <w:p w14:paraId="2D92FA29" w14:textId="77777777" w:rsidR="008C33EB" w:rsidRPr="009422BB" w:rsidRDefault="008C33EB" w:rsidP="008C33EB">
      <w:pPr>
        <w:pStyle w:val="Body"/>
        <w:rPr>
          <w:rFonts w:hAnsi="Times New Roman" w:cs="Times New Roman"/>
        </w:rPr>
      </w:pPr>
    </w:p>
    <w:p w14:paraId="7A93B3E2" w14:textId="77777777" w:rsidR="008C33EB" w:rsidRPr="00891521" w:rsidRDefault="008C33EB" w:rsidP="00891521">
      <w:pPr>
        <w:pStyle w:val="Body"/>
        <w:ind w:left="-142"/>
        <w:rPr>
          <w:rFonts w:hAnsi="Times New Roman" w:cs="Times New Roman"/>
          <w:b/>
          <w:i/>
          <w:lang w:val="en-GB"/>
        </w:rPr>
      </w:pPr>
      <w:r>
        <w:rPr>
          <w:rFonts w:hAnsi="Times New Roman" w:cs="Times New Roman"/>
          <w:b/>
          <w:lang w:val="en-GB"/>
        </w:rPr>
        <w:t xml:space="preserve">      </w:t>
      </w:r>
      <w:r w:rsidRPr="00891521">
        <w:rPr>
          <w:rFonts w:hAnsi="Times New Roman" w:cs="Times New Roman"/>
          <w:b/>
          <w:i/>
          <w:lang w:val="en-GB"/>
        </w:rPr>
        <w:t>PLA proposals to be volunteered and consolidated</w:t>
      </w:r>
    </w:p>
    <w:tbl>
      <w:tblPr>
        <w:tblpPr w:leftFromText="180" w:rightFromText="180" w:vertAnchor="text" w:horzAnchor="page" w:tblpX="1460" w:tblpY="174"/>
        <w:tblOverlap w:val="never"/>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5A0" w:firstRow="1" w:lastRow="0" w:firstColumn="1" w:lastColumn="1" w:noHBand="0" w:noVBand="1"/>
        <w:tblPrChange w:id="21" w:author="Bologna 2" w:date="2014-08-20T12:31:00Z">
          <w:tblPr>
            <w:tblpPr w:leftFromText="180" w:rightFromText="180" w:vertAnchor="text" w:horzAnchor="page" w:tblpX="1488" w:tblpY="174"/>
            <w:tblOverlap w:val="never"/>
            <w:tblW w:w="92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5A0" w:firstRow="1" w:lastRow="0" w:firstColumn="1" w:lastColumn="1" w:noHBand="0" w:noVBand="1"/>
          </w:tblPr>
        </w:tblPrChange>
      </w:tblPr>
      <w:tblGrid>
        <w:gridCol w:w="1370"/>
        <w:gridCol w:w="1920"/>
        <w:gridCol w:w="3544"/>
        <w:gridCol w:w="2488"/>
        <w:tblGridChange w:id="22">
          <w:tblGrid>
            <w:gridCol w:w="1342"/>
            <w:gridCol w:w="1920"/>
            <w:gridCol w:w="3544"/>
            <w:gridCol w:w="2409"/>
          </w:tblGrid>
        </w:tblGridChange>
      </w:tblGrid>
      <w:tr w:rsidR="004C7832" w:rsidRPr="009422BB" w14:paraId="22C7F447" w14:textId="77777777" w:rsidTr="00192902">
        <w:trPr>
          <w:cantSplit/>
          <w:trHeight w:val="701"/>
          <w:tblHeader/>
          <w:trPrChange w:id="23" w:author="Bologna 2" w:date="2014-08-20T12:31:00Z">
            <w:trPr>
              <w:cantSplit/>
              <w:trHeight w:val="701"/>
              <w:tblHeader/>
            </w:trPr>
          </w:trPrChange>
        </w:trPr>
        <w:tc>
          <w:tcPr>
            <w:tcW w:w="1370" w:type="dxa"/>
            <w:tcBorders>
              <w:top w:val="single" w:sz="6" w:space="0" w:color="000000"/>
              <w:left w:val="single" w:sz="6" w:space="0" w:color="000000"/>
              <w:bottom w:val="single" w:sz="6" w:space="0" w:color="000000"/>
            </w:tcBorders>
            <w:shd w:val="clear" w:color="auto" w:fill="CCCCCC"/>
            <w:tcPrChange w:id="24" w:author="Bologna 2" w:date="2014-08-20T12:31:00Z">
              <w:tcPr>
                <w:tcW w:w="1342" w:type="dxa"/>
                <w:tcBorders>
                  <w:top w:val="single" w:sz="6" w:space="0" w:color="000000"/>
                  <w:left w:val="single" w:sz="6" w:space="0" w:color="000000"/>
                  <w:bottom w:val="single" w:sz="6" w:space="0" w:color="000000"/>
                </w:tcBorders>
                <w:shd w:val="clear" w:color="auto" w:fill="CCCCCC"/>
              </w:tcPr>
            </w:tcPrChange>
          </w:tcPr>
          <w:p w14:paraId="0F68DFC3" w14:textId="77777777" w:rsidR="008C33EB" w:rsidRPr="009422BB" w:rsidRDefault="008C33EB" w:rsidP="004C7832">
            <w:pPr>
              <w:spacing w:after="120" w:line="288" w:lineRule="auto"/>
              <w:ind w:left="-142"/>
              <w:jc w:val="both"/>
              <w:rPr>
                <w:b/>
                <w:lang w:val="en-GB"/>
              </w:rPr>
            </w:pPr>
            <w:r>
              <w:rPr>
                <w:b/>
                <w:lang w:val="en-GB"/>
              </w:rPr>
              <w:t>Organiz</w:t>
            </w:r>
            <w:r w:rsidRPr="009422BB">
              <w:rPr>
                <w:b/>
                <w:lang w:val="en-GB"/>
              </w:rPr>
              <w:t>ers</w:t>
            </w:r>
          </w:p>
        </w:tc>
        <w:tc>
          <w:tcPr>
            <w:tcW w:w="1920" w:type="dxa"/>
            <w:tcBorders>
              <w:top w:val="single" w:sz="6" w:space="0" w:color="000000"/>
              <w:bottom w:val="single" w:sz="6" w:space="0" w:color="000000"/>
            </w:tcBorders>
            <w:shd w:val="clear" w:color="auto" w:fill="CCCCCC"/>
            <w:tcPrChange w:id="25" w:author="Bologna 2" w:date="2014-08-20T12:31:00Z">
              <w:tcPr>
                <w:tcW w:w="1920" w:type="dxa"/>
                <w:tcBorders>
                  <w:top w:val="single" w:sz="6" w:space="0" w:color="000000"/>
                  <w:bottom w:val="single" w:sz="6" w:space="0" w:color="000000"/>
                </w:tcBorders>
                <w:shd w:val="clear" w:color="auto" w:fill="CCCCCC"/>
              </w:tcPr>
            </w:tcPrChange>
          </w:tcPr>
          <w:p w14:paraId="455CFCA7" w14:textId="77777777" w:rsidR="008C33EB" w:rsidRPr="009422BB" w:rsidRDefault="008C33EB" w:rsidP="004C7832">
            <w:pPr>
              <w:spacing w:after="120" w:line="288" w:lineRule="auto"/>
              <w:ind w:left="-142"/>
              <w:jc w:val="both"/>
              <w:rPr>
                <w:b/>
                <w:lang w:val="en-GB"/>
              </w:rPr>
            </w:pPr>
            <w:r w:rsidRPr="009422BB">
              <w:rPr>
                <w:b/>
                <w:lang w:val="en-GB"/>
              </w:rPr>
              <w:t>Topic</w:t>
            </w:r>
          </w:p>
        </w:tc>
        <w:tc>
          <w:tcPr>
            <w:tcW w:w="3544" w:type="dxa"/>
            <w:tcBorders>
              <w:top w:val="single" w:sz="6" w:space="0" w:color="000000"/>
              <w:bottom w:val="single" w:sz="6" w:space="0" w:color="000000"/>
            </w:tcBorders>
            <w:shd w:val="clear" w:color="auto" w:fill="BFBFBF"/>
            <w:tcPrChange w:id="26" w:author="Bologna 2" w:date="2014-08-20T12:31:00Z">
              <w:tcPr>
                <w:tcW w:w="3544" w:type="dxa"/>
                <w:tcBorders>
                  <w:top w:val="single" w:sz="6" w:space="0" w:color="000000"/>
                  <w:bottom w:val="single" w:sz="6" w:space="0" w:color="000000"/>
                </w:tcBorders>
                <w:shd w:val="clear" w:color="auto" w:fill="BFBFBF"/>
              </w:tcPr>
            </w:tcPrChange>
          </w:tcPr>
          <w:p w14:paraId="1B557115" w14:textId="77777777" w:rsidR="008C33EB" w:rsidRPr="009422BB" w:rsidRDefault="008C33EB" w:rsidP="004C7832">
            <w:pPr>
              <w:spacing w:after="120" w:line="288" w:lineRule="auto"/>
              <w:ind w:left="-142"/>
              <w:jc w:val="both"/>
              <w:rPr>
                <w:b/>
                <w:lang w:val="en-GB"/>
              </w:rPr>
            </w:pPr>
            <w:r w:rsidRPr="009422BB">
              <w:rPr>
                <w:b/>
                <w:lang w:val="en-GB"/>
              </w:rPr>
              <w:t>Objectives</w:t>
            </w:r>
          </w:p>
        </w:tc>
        <w:tc>
          <w:tcPr>
            <w:tcW w:w="2488" w:type="dxa"/>
            <w:tcBorders>
              <w:top w:val="single" w:sz="6" w:space="0" w:color="000000"/>
              <w:bottom w:val="single" w:sz="6" w:space="0" w:color="000000"/>
            </w:tcBorders>
            <w:shd w:val="clear" w:color="auto" w:fill="CCCCCC"/>
            <w:tcPrChange w:id="27" w:author="Bologna 2" w:date="2014-08-20T12:31:00Z">
              <w:tcPr>
                <w:tcW w:w="2409" w:type="dxa"/>
                <w:tcBorders>
                  <w:top w:val="single" w:sz="6" w:space="0" w:color="000000"/>
                  <w:bottom w:val="single" w:sz="6" w:space="0" w:color="000000"/>
                </w:tcBorders>
                <w:shd w:val="clear" w:color="auto" w:fill="CCCCCC"/>
              </w:tcPr>
            </w:tcPrChange>
          </w:tcPr>
          <w:p w14:paraId="37DFE103" w14:textId="77777777" w:rsidR="008C33EB" w:rsidRPr="009422BB" w:rsidRDefault="008C33EB" w:rsidP="004C7832">
            <w:pPr>
              <w:spacing w:after="120" w:line="288" w:lineRule="auto"/>
              <w:ind w:left="-142"/>
              <w:jc w:val="both"/>
              <w:rPr>
                <w:b/>
                <w:lang w:val="en-GB"/>
              </w:rPr>
            </w:pPr>
            <w:r w:rsidRPr="009422BB">
              <w:rPr>
                <w:b/>
                <w:lang w:val="en-GB"/>
              </w:rPr>
              <w:t xml:space="preserve">Proposed dates/period and venue </w:t>
            </w:r>
          </w:p>
        </w:tc>
      </w:tr>
      <w:tr w:rsidR="004C7832" w:rsidRPr="009422BB" w14:paraId="47B73927" w14:textId="77777777" w:rsidTr="00192902">
        <w:trPr>
          <w:trHeight w:val="52"/>
          <w:trPrChange w:id="28" w:author="Bologna 2" w:date="2014-08-20T12:31:00Z">
            <w:trPr>
              <w:trHeight w:val="52"/>
            </w:trPr>
          </w:trPrChange>
        </w:trPr>
        <w:tc>
          <w:tcPr>
            <w:tcW w:w="1370" w:type="dxa"/>
            <w:shd w:val="clear" w:color="auto" w:fill="auto"/>
            <w:tcPrChange w:id="29" w:author="Bologna 2" w:date="2014-08-20T12:31:00Z">
              <w:tcPr>
                <w:tcW w:w="1342" w:type="dxa"/>
                <w:shd w:val="clear" w:color="auto" w:fill="auto"/>
              </w:tcPr>
            </w:tcPrChange>
          </w:tcPr>
          <w:p w14:paraId="6BF30681" w14:textId="77777777" w:rsidR="008C33EB" w:rsidRPr="009422BB" w:rsidRDefault="008C33EB" w:rsidP="004C7832">
            <w:pPr>
              <w:spacing w:after="120" w:line="288" w:lineRule="auto"/>
              <w:ind w:left="-142"/>
              <w:jc w:val="both"/>
              <w:rPr>
                <w:lang w:val="en-GB"/>
              </w:rPr>
            </w:pPr>
            <w:r w:rsidRPr="009422BB">
              <w:rPr>
                <w:lang w:val="en-GB"/>
              </w:rPr>
              <w:t>TBC</w:t>
            </w:r>
          </w:p>
          <w:p w14:paraId="654D8456" w14:textId="77777777" w:rsidR="008C33EB" w:rsidRPr="009422BB" w:rsidRDefault="008C33EB" w:rsidP="004C7832">
            <w:pPr>
              <w:spacing w:after="120" w:line="288" w:lineRule="auto"/>
              <w:ind w:left="-142"/>
              <w:jc w:val="both"/>
              <w:rPr>
                <w:lang w:val="en-GB"/>
              </w:rPr>
            </w:pPr>
            <w:r w:rsidRPr="009422BB">
              <w:rPr>
                <w:lang w:val="en-GB"/>
              </w:rPr>
              <w:lastRenderedPageBreak/>
              <w:t>Could be covered in PLA No 6 in Ireland</w:t>
            </w:r>
          </w:p>
        </w:tc>
        <w:tc>
          <w:tcPr>
            <w:tcW w:w="1920" w:type="dxa"/>
            <w:shd w:val="clear" w:color="auto" w:fill="auto"/>
            <w:tcPrChange w:id="30" w:author="Bologna 2" w:date="2014-08-20T12:31:00Z">
              <w:tcPr>
                <w:tcW w:w="1920" w:type="dxa"/>
                <w:shd w:val="clear" w:color="auto" w:fill="auto"/>
              </w:tcPr>
            </w:tcPrChange>
          </w:tcPr>
          <w:p w14:paraId="69DAD2A6" w14:textId="77777777" w:rsidR="008C33EB" w:rsidRPr="009422BB" w:rsidRDefault="008C33EB" w:rsidP="004C7832">
            <w:pPr>
              <w:spacing w:after="120" w:line="288" w:lineRule="auto"/>
              <w:ind w:left="-142"/>
              <w:jc w:val="both"/>
              <w:rPr>
                <w:lang w:val="en-GB"/>
              </w:rPr>
            </w:pPr>
            <w:r w:rsidRPr="009422BB">
              <w:rPr>
                <w:lang w:val="en-GB"/>
              </w:rPr>
              <w:lastRenderedPageBreak/>
              <w:t xml:space="preserve">Best Practices in </w:t>
            </w:r>
            <w:r w:rsidRPr="009422BB">
              <w:rPr>
                <w:lang w:val="en-GB"/>
              </w:rPr>
              <w:lastRenderedPageBreak/>
              <w:t>Coherent Implementation of Structural Reforms</w:t>
            </w:r>
          </w:p>
        </w:tc>
        <w:tc>
          <w:tcPr>
            <w:tcW w:w="3544" w:type="dxa"/>
            <w:shd w:val="clear" w:color="auto" w:fill="auto"/>
            <w:tcPrChange w:id="31" w:author="Bologna 2" w:date="2014-08-20T12:31:00Z">
              <w:tcPr>
                <w:tcW w:w="3544" w:type="dxa"/>
                <w:shd w:val="clear" w:color="auto" w:fill="auto"/>
              </w:tcPr>
            </w:tcPrChange>
          </w:tcPr>
          <w:p w14:paraId="0AD00A5E" w14:textId="77777777" w:rsidR="008C33EB" w:rsidRPr="009422BB" w:rsidRDefault="008C33EB" w:rsidP="004C7832">
            <w:pPr>
              <w:spacing w:after="120" w:line="288" w:lineRule="auto"/>
              <w:ind w:left="-142"/>
              <w:jc w:val="both"/>
              <w:rPr>
                <w:lang w:val="en-GB"/>
              </w:rPr>
            </w:pPr>
            <w:r w:rsidRPr="009422BB">
              <w:rPr>
                <w:lang w:val="en-GB"/>
              </w:rPr>
              <w:lastRenderedPageBreak/>
              <w:t xml:space="preserve">To share good practice in coherent </w:t>
            </w:r>
            <w:r w:rsidRPr="009422BB">
              <w:rPr>
                <w:lang w:val="en-GB"/>
              </w:rPr>
              <w:lastRenderedPageBreak/>
              <w:t>implementation of structural reforms (Bologna triangle, transparency tools, transversal issues, i.a. employability)</w:t>
            </w:r>
          </w:p>
          <w:p w14:paraId="6A2A6660" w14:textId="77777777" w:rsidR="008C33EB" w:rsidRPr="009422BB" w:rsidRDefault="008C33EB" w:rsidP="004C7832">
            <w:pPr>
              <w:spacing w:after="120" w:line="288" w:lineRule="auto"/>
              <w:ind w:left="-142"/>
              <w:jc w:val="both"/>
              <w:rPr>
                <w:lang w:val="en-GB"/>
              </w:rPr>
            </w:pPr>
            <w:r w:rsidRPr="009422BB">
              <w:rPr>
                <w:lang w:val="en-GB"/>
              </w:rPr>
              <w:t>To identify obstacle and gaps in the implementation of structural reforms</w:t>
            </w:r>
          </w:p>
        </w:tc>
        <w:tc>
          <w:tcPr>
            <w:tcW w:w="2488" w:type="dxa"/>
            <w:shd w:val="clear" w:color="auto" w:fill="auto"/>
            <w:tcPrChange w:id="32" w:author="Bologna 2" w:date="2014-08-20T12:31:00Z">
              <w:tcPr>
                <w:tcW w:w="2409" w:type="dxa"/>
                <w:shd w:val="clear" w:color="auto" w:fill="auto"/>
              </w:tcPr>
            </w:tcPrChange>
          </w:tcPr>
          <w:p w14:paraId="77A673D9" w14:textId="77777777" w:rsidR="008C33EB" w:rsidRPr="009422BB" w:rsidRDefault="008C33EB" w:rsidP="004C7832">
            <w:pPr>
              <w:spacing w:after="120" w:line="288" w:lineRule="auto"/>
              <w:ind w:left="-142"/>
              <w:jc w:val="both"/>
              <w:rPr>
                <w:lang w:val="en-GB"/>
              </w:rPr>
            </w:pPr>
            <w:r w:rsidRPr="009422BB">
              <w:rPr>
                <w:lang w:val="en-GB"/>
              </w:rPr>
              <w:lastRenderedPageBreak/>
              <w:t xml:space="preserve">First Semester of 2015 </w:t>
            </w:r>
            <w:r w:rsidRPr="009422BB">
              <w:rPr>
                <w:lang w:val="en-GB"/>
              </w:rPr>
              <w:lastRenderedPageBreak/>
              <w:t>TBC</w:t>
            </w:r>
          </w:p>
        </w:tc>
      </w:tr>
    </w:tbl>
    <w:p w14:paraId="5B18679B" w14:textId="77777777" w:rsidR="008C33EB" w:rsidRDefault="008C33EB" w:rsidP="00891521">
      <w:pPr>
        <w:pStyle w:val="NoSpacing"/>
        <w:ind w:left="-142"/>
        <w:jc w:val="both"/>
      </w:pPr>
    </w:p>
    <w:p w14:paraId="524B885D" w14:textId="77777777" w:rsidR="008C33EB" w:rsidRDefault="008C33EB" w:rsidP="00891521">
      <w:pPr>
        <w:pStyle w:val="NoSpacing"/>
        <w:ind w:left="-142"/>
        <w:jc w:val="both"/>
      </w:pPr>
    </w:p>
    <w:p w14:paraId="36BB3692" w14:textId="77777777" w:rsidR="008C33EB" w:rsidRDefault="008C33EB" w:rsidP="008C33EB">
      <w:pPr>
        <w:pStyle w:val="NoSpacing"/>
        <w:jc w:val="both"/>
      </w:pPr>
    </w:p>
    <w:p w14:paraId="47295043" w14:textId="77777777" w:rsidR="008C33EB" w:rsidRDefault="008C33EB" w:rsidP="00891521">
      <w:pPr>
        <w:pStyle w:val="NoSpacing"/>
        <w:jc w:val="both"/>
      </w:pPr>
      <w:r>
        <w:t xml:space="preserve">In addition to the activities recognized as </w:t>
      </w:r>
      <w:r>
        <w:rPr>
          <w:rFonts w:ascii="Arial Unicode MS"/>
        </w:rPr>
        <w:t>“</w:t>
      </w:r>
      <w:r>
        <w:t>EHEA peer learning activities</w:t>
      </w:r>
      <w:r>
        <w:rPr>
          <w:rFonts w:ascii="Arial Unicode MS"/>
        </w:rPr>
        <w:t>”</w:t>
      </w:r>
      <w:r>
        <w:t>, individual members have also organized activities designed to improve good practice.  While it is impossible to provide anything like a complete overview of these, Appendix 7 illustrates some activities that may also be organized by others:</w:t>
      </w:r>
    </w:p>
    <w:p w14:paraId="16F8F049" w14:textId="77777777" w:rsidR="008C33EB" w:rsidRDefault="008C33EB" w:rsidP="008C33EB">
      <w:pPr>
        <w:pStyle w:val="Body"/>
        <w:rPr>
          <w:color w:val="FF0000"/>
          <w:u w:color="FF0000"/>
        </w:rPr>
      </w:pPr>
    </w:p>
    <w:p w14:paraId="6726E11B" w14:textId="77777777" w:rsidR="008C33EB" w:rsidRDefault="008C33EB" w:rsidP="00723074">
      <w:pPr>
        <w:pStyle w:val="NoSpacing"/>
        <w:jc w:val="both"/>
      </w:pPr>
    </w:p>
    <w:p w14:paraId="5996B8AD" w14:textId="77777777" w:rsidR="008C33EB" w:rsidRDefault="008C33EB" w:rsidP="00723074">
      <w:pPr>
        <w:pStyle w:val="NoSpacing"/>
        <w:jc w:val="both"/>
      </w:pPr>
    </w:p>
    <w:p w14:paraId="0637A5F5" w14:textId="77777777" w:rsidR="00080625" w:rsidRDefault="00080625" w:rsidP="00723074">
      <w:pPr>
        <w:pStyle w:val="NoSpacing"/>
        <w:jc w:val="both"/>
      </w:pPr>
      <w:r>
        <w:t xml:space="preserve">In addition to the activities recognized as </w:t>
      </w:r>
      <w:r>
        <w:rPr>
          <w:rFonts w:ascii="Arial Unicode MS"/>
        </w:rPr>
        <w:t>“</w:t>
      </w:r>
      <w:r>
        <w:t>EHEA peer learning activities</w:t>
      </w:r>
      <w:r>
        <w:rPr>
          <w:rFonts w:ascii="Arial Unicode MS"/>
        </w:rPr>
        <w:t>”</w:t>
      </w:r>
      <w:r>
        <w:t xml:space="preserve">, individual members have also organized activities designed to improve good practice.  While it is impossible to provide anything like a complete overview of these, Appendix 7 illustrates some activities that </w:t>
      </w:r>
      <w:r w:rsidR="008C33EB">
        <w:t>may also be organized by others.</w:t>
      </w:r>
    </w:p>
    <w:p w14:paraId="1FE66B11" w14:textId="77777777" w:rsidR="00080625" w:rsidRDefault="00080625" w:rsidP="00080625">
      <w:pPr>
        <w:pStyle w:val="Body"/>
        <w:rPr>
          <w:color w:val="FF0000"/>
          <w:u w:color="FF0000"/>
        </w:rPr>
      </w:pPr>
    </w:p>
    <w:p w14:paraId="65A63474" w14:textId="77777777" w:rsidR="00080625" w:rsidRDefault="00080625" w:rsidP="00080625">
      <w:pPr>
        <w:pStyle w:val="Body"/>
      </w:pPr>
      <w:r>
        <w:rPr>
          <w:rFonts w:ascii="Times New Roman Bold"/>
        </w:rPr>
        <w:t>Commission research</w:t>
      </w:r>
      <w:r>
        <w:t xml:space="preserve"> (ToR no. 14)</w:t>
      </w:r>
    </w:p>
    <w:p w14:paraId="343738B5" w14:textId="77777777" w:rsidR="00723074" w:rsidRDefault="00723074" w:rsidP="00080625">
      <w:pPr>
        <w:pStyle w:val="Body"/>
      </w:pPr>
    </w:p>
    <w:p w14:paraId="4587472E" w14:textId="77777777" w:rsidR="00080625" w:rsidRDefault="00080625" w:rsidP="00723074">
      <w:pPr>
        <w:pStyle w:val="Body"/>
        <w:jc w:val="both"/>
      </w:pPr>
      <w:r>
        <w:t xml:space="preserve">While commissioning research was included as a possible action in the ToR of the SRWG, the Group was unable to do so.  In part, this was because the time frame was too limited, but the main reason was the absence of a budget for commissioning research. Under its current arrangements, without a budget to finance activities identified by the BFUG or tis working groups, any research would need to be financed by EHEA members or consultative members from their respective budgets and would therefore need to align with national or institutional priorities. </w:t>
      </w:r>
    </w:p>
    <w:p w14:paraId="71C277DD" w14:textId="77777777" w:rsidR="00080625" w:rsidRDefault="00080625" w:rsidP="00080625">
      <w:pPr>
        <w:pStyle w:val="Body"/>
      </w:pPr>
    </w:p>
    <w:p w14:paraId="4C7D566A" w14:textId="77777777" w:rsidR="00080625" w:rsidRDefault="00080625" w:rsidP="00080625">
      <w:pPr>
        <w:pStyle w:val="Body"/>
      </w:pPr>
    </w:p>
    <w:p w14:paraId="7F690788" w14:textId="77777777" w:rsidR="00080625" w:rsidRDefault="00080625" w:rsidP="00080625">
      <w:pPr>
        <w:pStyle w:val="Body"/>
      </w:pPr>
    </w:p>
    <w:p w14:paraId="7B52E33D" w14:textId="77777777" w:rsidR="00080625" w:rsidRDefault="00080625" w:rsidP="00080625">
      <w:pPr>
        <w:pStyle w:val="Body"/>
      </w:pPr>
    </w:p>
    <w:p w14:paraId="35E49EA9" w14:textId="77777777" w:rsidR="00080625" w:rsidRDefault="00080625" w:rsidP="00080625">
      <w:pPr>
        <w:pStyle w:val="Body"/>
      </w:pPr>
      <w:r>
        <w:br w:type="page"/>
      </w:r>
    </w:p>
    <w:p w14:paraId="1EA78AD8" w14:textId="77777777" w:rsidR="00080625" w:rsidRDefault="00080625" w:rsidP="00080625">
      <w:pPr>
        <w:pStyle w:val="Body"/>
      </w:pPr>
    </w:p>
    <w:p w14:paraId="1C8644F5" w14:textId="77777777" w:rsidR="00080625" w:rsidRDefault="00080625" w:rsidP="00080625">
      <w:pPr>
        <w:pStyle w:val="Body"/>
      </w:pPr>
      <w:r>
        <w:t xml:space="preserve">  </w:t>
      </w:r>
    </w:p>
    <w:p w14:paraId="66101F3A" w14:textId="77777777" w:rsidR="00080625" w:rsidRDefault="00080625" w:rsidP="00080625">
      <w:pPr>
        <w:pStyle w:val="Body"/>
        <w:rPr>
          <w:rFonts w:ascii="Times New Roman Bold" w:eastAsia="Times New Roman Bold" w:hAnsi="Times New Roman Bold" w:cs="Times New Roman Bold"/>
        </w:rPr>
      </w:pPr>
      <w:r>
        <w:rPr>
          <w:rFonts w:ascii="Times New Roman Bold"/>
        </w:rPr>
        <w:t>APPENDICES</w:t>
      </w:r>
    </w:p>
    <w:p w14:paraId="138AE511" w14:textId="77777777" w:rsidR="00080625" w:rsidRDefault="00080625" w:rsidP="00B40521">
      <w:pPr>
        <w:pStyle w:val="ListParagraph"/>
        <w:numPr>
          <w:ilvl w:val="0"/>
          <w:numId w:val="78"/>
        </w:numPr>
      </w:pPr>
      <w:r>
        <w:t>Terms of reference of the Structural Reforms Working Group</w:t>
      </w:r>
    </w:p>
    <w:p w14:paraId="52826D5B" w14:textId="77777777" w:rsidR="00080625" w:rsidRDefault="00080625" w:rsidP="00B40521">
      <w:pPr>
        <w:pStyle w:val="ListParagraph"/>
        <w:numPr>
          <w:ilvl w:val="0"/>
          <w:numId w:val="78"/>
        </w:numPr>
      </w:pPr>
      <w:r>
        <w:t>Terms of reference of the sub-group on third cycle qualifications</w:t>
      </w:r>
    </w:p>
    <w:p w14:paraId="70AA0E07" w14:textId="77777777" w:rsidR="00080625" w:rsidRDefault="00080625" w:rsidP="00B40521">
      <w:pPr>
        <w:pStyle w:val="ListParagraph"/>
        <w:numPr>
          <w:ilvl w:val="0"/>
          <w:numId w:val="78"/>
        </w:numPr>
      </w:pPr>
      <w:r>
        <w:t>Terms of reference of the ad hoc group on the review of the ECTS Users</w:t>
      </w:r>
      <w:r>
        <w:t>’</w:t>
      </w:r>
      <w:r>
        <w:t xml:space="preserve"> Guide</w:t>
      </w:r>
    </w:p>
    <w:p w14:paraId="46E917CE" w14:textId="77777777" w:rsidR="00080625" w:rsidRDefault="00080625" w:rsidP="00B40521">
      <w:pPr>
        <w:pStyle w:val="ListParagraph"/>
        <w:numPr>
          <w:ilvl w:val="0"/>
          <w:numId w:val="78"/>
        </w:numPr>
        <w:ind w:left="709" w:hanging="709"/>
      </w:pPr>
      <w:r>
        <w:t>Terms of reference of the Network of national correspondents for qualifications frameworks</w:t>
      </w:r>
    </w:p>
    <w:p w14:paraId="77431E03" w14:textId="77777777" w:rsidR="00080625" w:rsidRDefault="00080625" w:rsidP="00B40521">
      <w:pPr>
        <w:pStyle w:val="ListParagraph"/>
        <w:numPr>
          <w:ilvl w:val="0"/>
          <w:numId w:val="78"/>
        </w:numPr>
      </w:pPr>
      <w:r>
        <w:t>Terms of reference for the Network on the recognition of prior learning</w:t>
      </w:r>
    </w:p>
    <w:p w14:paraId="64E353AC" w14:textId="77777777" w:rsidR="00080625" w:rsidRDefault="00080625" w:rsidP="00B40521">
      <w:pPr>
        <w:pStyle w:val="ListParagraph"/>
        <w:numPr>
          <w:ilvl w:val="0"/>
          <w:numId w:val="78"/>
        </w:numPr>
      </w:pPr>
      <w:r>
        <w:t>Members of the SRWG</w:t>
      </w:r>
    </w:p>
    <w:p w14:paraId="000DCD9F" w14:textId="77777777" w:rsidR="00080625" w:rsidRDefault="00080625" w:rsidP="00B40521">
      <w:pPr>
        <w:pStyle w:val="ListParagraph"/>
        <w:numPr>
          <w:ilvl w:val="0"/>
          <w:numId w:val="78"/>
        </w:numPr>
        <w:ind w:left="709" w:hanging="709"/>
      </w:pPr>
      <w:r>
        <w:t>Examples of Bologna conferences, mini-seminars, peer learning activities and events on issues related to structural reforms</w:t>
      </w:r>
    </w:p>
    <w:p w14:paraId="2C9601F6" w14:textId="77777777" w:rsidR="00080625" w:rsidRDefault="00080625" w:rsidP="00080625">
      <w:pPr>
        <w:pStyle w:val="Body"/>
      </w:pPr>
    </w:p>
    <w:p w14:paraId="11D612DD" w14:textId="77777777" w:rsidR="00080625" w:rsidRDefault="00080625" w:rsidP="00080625"/>
    <w:p w14:paraId="5C9E56E4" w14:textId="77777777" w:rsidR="00B40521" w:rsidRDefault="00B40521">
      <w:pPr>
        <w:pBdr>
          <w:top w:val="none" w:sz="0" w:space="0" w:color="auto"/>
          <w:left w:val="none" w:sz="0" w:space="0" w:color="auto"/>
          <w:bottom w:val="none" w:sz="0" w:space="0" w:color="auto"/>
          <w:right w:val="none" w:sz="0" w:space="0" w:color="auto"/>
          <w:between w:val="none" w:sz="0" w:space="0" w:color="auto"/>
          <w:bar w:val="none" w:sz="0" w:color="auto"/>
        </w:pBdr>
      </w:pPr>
      <w:r>
        <w:br w:type="page"/>
      </w:r>
    </w:p>
    <w:p w14:paraId="417841EB" w14:textId="77777777" w:rsidR="00B40521" w:rsidRPr="009422BB" w:rsidRDefault="00B40521" w:rsidP="00B40521">
      <w:pPr>
        <w:ind w:left="-851"/>
        <w:rPr>
          <w:b/>
        </w:rPr>
      </w:pPr>
      <w:r w:rsidRPr="009422BB">
        <w:rPr>
          <w:b/>
        </w:rPr>
        <w:lastRenderedPageBreak/>
        <w:t>APPENDIX 1</w:t>
      </w:r>
    </w:p>
    <w:p w14:paraId="3D85AD16" w14:textId="77777777" w:rsidR="00B40521" w:rsidRPr="00B07DAE" w:rsidRDefault="00B40521" w:rsidP="00B40521">
      <w:pPr>
        <w:pStyle w:val="Heading1"/>
        <w:ind w:left="-851" w:right="288"/>
        <w:rPr>
          <w:rFonts w:ascii="Times New Roman" w:hAnsi="Times New Roman"/>
          <w:color w:val="000000" w:themeColor="text1"/>
          <w:lang w:val="en-GB"/>
        </w:rPr>
      </w:pPr>
      <w:r w:rsidRPr="00B07DAE">
        <w:rPr>
          <w:rFonts w:ascii="Times New Roman" w:hAnsi="Times New Roman"/>
          <w:color w:val="000000" w:themeColor="text1"/>
          <w:lang w:val="en-GB"/>
        </w:rPr>
        <w:t xml:space="preserve">Terms of Reference on Structural Reforms (Qualifications Frameworks, Recognition, Quality Assurance and Transparency) </w:t>
      </w:r>
    </w:p>
    <w:p w14:paraId="4C4E013A" w14:textId="77777777" w:rsidR="00B40521" w:rsidRPr="009867EC" w:rsidRDefault="00B40521" w:rsidP="00B40521">
      <w:pPr>
        <w:rPr>
          <w:sz w:val="28"/>
          <w:szCs w:val="28"/>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065"/>
      </w:tblGrid>
      <w:tr w:rsidR="00B40521" w:rsidRPr="009867EC" w14:paraId="5EC3F966" w14:textId="77777777" w:rsidTr="00285903">
        <w:trPr>
          <w:trHeight w:val="844"/>
        </w:trPr>
        <w:tc>
          <w:tcPr>
            <w:tcW w:w="10065" w:type="dxa"/>
          </w:tcPr>
          <w:p w14:paraId="6791FEE9" w14:textId="77777777" w:rsidR="00B40521" w:rsidRPr="009867EC" w:rsidRDefault="00B40521" w:rsidP="00285903">
            <w:pPr>
              <w:ind w:left="-426"/>
            </w:pPr>
          </w:p>
          <w:p w14:paraId="66ED1F9C" w14:textId="77777777" w:rsidR="00B40521" w:rsidRPr="009867EC" w:rsidRDefault="00B40521" w:rsidP="00285903">
            <w:pPr>
              <w:spacing w:after="120"/>
              <w:rPr>
                <w:b/>
              </w:rPr>
            </w:pPr>
            <w:r w:rsidRPr="009867EC">
              <w:rPr>
                <w:b/>
              </w:rPr>
              <w:t xml:space="preserve">Name of the Working Group </w:t>
            </w:r>
          </w:p>
          <w:p w14:paraId="31E2A440" w14:textId="77777777" w:rsidR="00B40521" w:rsidRPr="009867EC" w:rsidRDefault="00B40521" w:rsidP="00285903">
            <w:r w:rsidRPr="009867EC">
              <w:rPr>
                <w:rFonts w:eastAsia="MS Mincho"/>
              </w:rPr>
              <w:t>Working Group on Structural Reforms (qualifications frameworks, quality assurance, recognition of qualifications, transparency)</w:t>
            </w:r>
          </w:p>
        </w:tc>
      </w:tr>
      <w:tr w:rsidR="00B40521" w:rsidRPr="009867EC" w14:paraId="3AE2E0E5" w14:textId="77777777" w:rsidTr="00285903">
        <w:trPr>
          <w:trHeight w:val="844"/>
        </w:trPr>
        <w:tc>
          <w:tcPr>
            <w:tcW w:w="10065" w:type="dxa"/>
          </w:tcPr>
          <w:p w14:paraId="1F43A934" w14:textId="77777777" w:rsidR="00B40521" w:rsidRPr="009867EC" w:rsidRDefault="00B40521" w:rsidP="00285903">
            <w:pPr>
              <w:spacing w:after="120"/>
              <w:rPr>
                <w:b/>
              </w:rPr>
            </w:pPr>
            <w:r w:rsidRPr="009867EC">
              <w:rPr>
                <w:b/>
              </w:rPr>
              <w:t>Contact persons (Proposed Co-Chairs)</w:t>
            </w:r>
          </w:p>
          <w:p w14:paraId="01BEFFFE" w14:textId="77777777" w:rsidR="00B40521" w:rsidRPr="009867EC" w:rsidRDefault="00B40521" w:rsidP="00285903">
            <w:r w:rsidRPr="009867EC">
              <w:t>Sjur Bergan (Council of Europe)-Coordinator</w:t>
            </w:r>
          </w:p>
          <w:p w14:paraId="176F6D6C" w14:textId="77777777" w:rsidR="00B40521" w:rsidRPr="009867EC" w:rsidRDefault="00B40521" w:rsidP="00285903"/>
          <w:p w14:paraId="28C579EA" w14:textId="77777777" w:rsidR="00B40521" w:rsidRPr="009867EC" w:rsidRDefault="00B40521" w:rsidP="00285903">
            <w:r w:rsidRPr="009867EC">
              <w:t>Noël Vercruysse (Belgium/Flemish Community)</w:t>
            </w:r>
            <w:r w:rsidRPr="009867EC">
              <w:br/>
            </w:r>
            <w:r w:rsidRPr="009867EC">
              <w:br/>
            </w:r>
            <w:r>
              <w:t xml:space="preserve">Fr. </w:t>
            </w:r>
            <w:r w:rsidRPr="009867EC">
              <w:t>Friedrich Bechina</w:t>
            </w:r>
            <w:r>
              <w:t>, FSO</w:t>
            </w:r>
            <w:r w:rsidRPr="009867EC">
              <w:t xml:space="preserve"> (Holy See)</w:t>
            </w:r>
            <w:r w:rsidRPr="009867EC">
              <w:br/>
            </w:r>
            <w:r w:rsidRPr="009867EC">
              <w:br/>
              <w:t>Bartłomiej Banaszak (Poland)</w:t>
            </w:r>
            <w:r w:rsidRPr="009867EC">
              <w:br/>
            </w:r>
          </w:p>
        </w:tc>
      </w:tr>
      <w:tr w:rsidR="00B40521" w:rsidRPr="009867EC" w14:paraId="18092507" w14:textId="77777777" w:rsidTr="00285903">
        <w:trPr>
          <w:trHeight w:val="1084"/>
        </w:trPr>
        <w:tc>
          <w:tcPr>
            <w:tcW w:w="10065" w:type="dxa"/>
          </w:tcPr>
          <w:p w14:paraId="2CDA97B2" w14:textId="77777777" w:rsidR="00B40521" w:rsidRPr="009867EC" w:rsidRDefault="00B40521" w:rsidP="00285903">
            <w:pPr>
              <w:spacing w:after="120"/>
              <w:rPr>
                <w:b/>
              </w:rPr>
            </w:pPr>
            <w:r w:rsidRPr="009867EC">
              <w:rPr>
                <w:b/>
              </w:rPr>
              <w:t xml:space="preserve">Composition </w:t>
            </w:r>
          </w:p>
          <w:p w14:paraId="58FA4DB9" w14:textId="77777777" w:rsidR="00B40521" w:rsidRPr="009867EC" w:rsidRDefault="00B40521" w:rsidP="00285903">
            <w:pPr>
              <w:spacing w:line="288" w:lineRule="auto"/>
              <w:jc w:val="both"/>
              <w:rPr>
                <w:color w:val="000000"/>
              </w:rPr>
            </w:pPr>
            <w:r w:rsidRPr="009867EC">
              <w:rPr>
                <w:color w:val="000000"/>
              </w:rPr>
              <w:t>Armenia, Austria, Belgium/French Community Federation Wallonia-Brussels, Bulgaria, Croatia, Czech Republic, Denmark, Finland, France, Georgia, Germany, Greece, Hungary, Ireland, Kazakhstan, Lithuania, Moldova, the Netherlands, Portugal, Romania, Slovak Republic, Spain, Sweden, Switzerland, Turkey, UK, Ukraine, BUSINESSEUROPE, European Commission, Education International, ENQA, EQAR, ESU, EUA, EURASHE.</w:t>
            </w:r>
          </w:p>
          <w:p w14:paraId="158485AE" w14:textId="77777777" w:rsidR="00B40521" w:rsidRPr="009867EC" w:rsidRDefault="00B40521" w:rsidP="00285903">
            <w:pPr>
              <w:spacing w:line="288" w:lineRule="auto"/>
              <w:jc w:val="both"/>
              <w:rPr>
                <w:color w:val="000000"/>
              </w:rPr>
            </w:pPr>
            <w:r w:rsidRPr="009867EC">
              <w:rPr>
                <w:color w:val="000000"/>
              </w:rPr>
              <w:t>Representatives of sub structures under the Structural Reforms WG should be involved in its work as required.</w:t>
            </w:r>
          </w:p>
        </w:tc>
      </w:tr>
      <w:tr w:rsidR="00B40521" w:rsidRPr="009867EC" w14:paraId="70AF3E1E" w14:textId="77777777" w:rsidTr="00285903">
        <w:trPr>
          <w:trHeight w:val="844"/>
        </w:trPr>
        <w:tc>
          <w:tcPr>
            <w:tcW w:w="10065" w:type="dxa"/>
          </w:tcPr>
          <w:p w14:paraId="31DE3597" w14:textId="77777777" w:rsidR="00B40521" w:rsidRPr="009867EC" w:rsidRDefault="00B40521" w:rsidP="00285903">
            <w:pPr>
              <w:spacing w:after="120"/>
              <w:rPr>
                <w:b/>
              </w:rPr>
            </w:pPr>
            <w:r w:rsidRPr="009867EC">
              <w:rPr>
                <w:b/>
              </w:rPr>
              <w:t xml:space="preserve">Purpose and/or outcome </w:t>
            </w:r>
          </w:p>
          <w:p w14:paraId="34BAB69A" w14:textId="77777777" w:rsidR="00B40521" w:rsidRPr="009867EC" w:rsidRDefault="00B40521" w:rsidP="00285903">
            <w:pPr>
              <w:spacing w:after="120"/>
              <w:jc w:val="both"/>
            </w:pPr>
            <w:r w:rsidRPr="009867EC">
              <w:t>The Working Group on Structural Reforms is mandated to develop proposals for policy and practice aiming to improve instruments for structural reform (QF, QA, recognition of qualifications, transparency instruments) and the coherence between the main elements of structural reform within the European Higher Education Area as well as to oversee and advise the BFUG on the implementation of structural reforms.</w:t>
            </w:r>
          </w:p>
          <w:p w14:paraId="79FBF620" w14:textId="77777777" w:rsidR="00B40521" w:rsidRPr="009867EC" w:rsidRDefault="00B40521" w:rsidP="00285903">
            <w:pPr>
              <w:spacing w:after="120"/>
              <w:jc w:val="both"/>
            </w:pPr>
          </w:p>
          <w:p w14:paraId="521E3511" w14:textId="77777777" w:rsidR="00B40521" w:rsidRPr="009867EC" w:rsidRDefault="00B40521" w:rsidP="00285903">
            <w:pPr>
              <w:spacing w:after="120"/>
              <w:jc w:val="both"/>
            </w:pPr>
            <w:r w:rsidRPr="009867EC">
              <w:t>The Working Group should consider structural reforms in relation to the major purposes of higher education:</w:t>
            </w:r>
          </w:p>
          <w:p w14:paraId="6BE6A85C" w14:textId="77777777" w:rsidR="00B40521" w:rsidRPr="009867EC" w:rsidRDefault="00B40521" w:rsidP="00B40521">
            <w:pPr>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pPr>
            <w:r w:rsidRPr="009867EC">
              <w:t>Preparing for employment;</w:t>
            </w:r>
          </w:p>
          <w:p w14:paraId="0AD5D3CD" w14:textId="77777777" w:rsidR="00B40521" w:rsidRPr="009867EC" w:rsidRDefault="00B40521" w:rsidP="00B40521">
            <w:pPr>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pPr>
            <w:r w:rsidRPr="009867EC">
              <w:t>Preparing for life as active citizens in democratic societies;</w:t>
            </w:r>
          </w:p>
          <w:p w14:paraId="482B150C" w14:textId="77777777" w:rsidR="00B40521" w:rsidRPr="009867EC" w:rsidRDefault="00B40521" w:rsidP="00B40521">
            <w:pPr>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pPr>
            <w:r w:rsidRPr="009867EC">
              <w:t>Personal development;</w:t>
            </w:r>
          </w:p>
          <w:p w14:paraId="37D34254" w14:textId="77777777" w:rsidR="00B40521" w:rsidRPr="009867EC" w:rsidRDefault="00B40521" w:rsidP="00B40521">
            <w:pPr>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pPr>
            <w:r w:rsidRPr="009867EC">
              <w:t>The development and maintenance of a broad, advanced knowledge base;</w:t>
            </w:r>
          </w:p>
          <w:p w14:paraId="3EA4699B" w14:textId="77777777" w:rsidR="00B40521" w:rsidRPr="009867EC" w:rsidRDefault="00B40521" w:rsidP="00285903">
            <w:pPr>
              <w:ind w:left="720"/>
            </w:pPr>
          </w:p>
          <w:p w14:paraId="44743806" w14:textId="77777777" w:rsidR="00B40521" w:rsidRPr="009867EC" w:rsidRDefault="00B40521" w:rsidP="00285903">
            <w:r w:rsidRPr="009867EC">
              <w:t>as well as the three missions:</w:t>
            </w:r>
          </w:p>
          <w:p w14:paraId="39961A6B" w14:textId="77777777" w:rsidR="00B40521" w:rsidRPr="009867EC" w:rsidRDefault="00B40521" w:rsidP="00285903"/>
          <w:p w14:paraId="4E804559" w14:textId="77777777" w:rsidR="00B40521" w:rsidRPr="009867EC" w:rsidRDefault="00B40521" w:rsidP="00B40521">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pPr>
            <w:r w:rsidRPr="009867EC">
              <w:t xml:space="preserve">teaching and learning; </w:t>
            </w:r>
          </w:p>
          <w:p w14:paraId="29F1564D" w14:textId="77777777" w:rsidR="00B40521" w:rsidRPr="009867EC" w:rsidRDefault="00B40521" w:rsidP="00B40521">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pPr>
            <w:r w:rsidRPr="009867EC">
              <w:t xml:space="preserve">research; </w:t>
            </w:r>
          </w:p>
          <w:p w14:paraId="2A88A230" w14:textId="77777777" w:rsidR="00B40521" w:rsidRPr="009867EC" w:rsidRDefault="00B40521" w:rsidP="00B40521">
            <w:pPr>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pPr>
            <w:r w:rsidRPr="009867EC">
              <w:t xml:space="preserve">service to society.  </w:t>
            </w:r>
          </w:p>
          <w:p w14:paraId="56C2D996" w14:textId="77777777" w:rsidR="00B40521" w:rsidRPr="009867EC" w:rsidRDefault="00B40521" w:rsidP="00285903">
            <w:pPr>
              <w:ind w:left="431"/>
            </w:pPr>
          </w:p>
          <w:p w14:paraId="0C223AA5" w14:textId="77777777" w:rsidR="00B40521" w:rsidRPr="009867EC" w:rsidRDefault="00B40521" w:rsidP="00285903">
            <w:pPr>
              <w:pStyle w:val="Default"/>
              <w:rPr>
                <w:rFonts w:ascii="Times New Roman" w:hAnsi="Times New Roman" w:cs="Times New Roman"/>
                <w:color w:val="auto"/>
                <w:lang w:val="en-GB"/>
              </w:rPr>
            </w:pPr>
            <w:r w:rsidRPr="009867EC">
              <w:rPr>
                <w:rFonts w:ascii="Times New Roman" w:hAnsi="Times New Roman" w:cs="Times New Roman"/>
                <w:lang w:val="en-GB"/>
              </w:rPr>
              <w:t xml:space="preserve">It should further </w:t>
            </w:r>
            <w:r w:rsidRPr="009867EC">
              <w:rPr>
                <w:rFonts w:ascii="Times New Roman" w:hAnsi="Times New Roman" w:cs="Times New Roman"/>
                <w:color w:val="auto"/>
                <w:lang w:val="en-GB"/>
              </w:rPr>
              <w:t>be guided by the following policy considerations:</w:t>
            </w:r>
          </w:p>
          <w:p w14:paraId="183075AE" w14:textId="77777777" w:rsidR="00B40521" w:rsidRPr="009867EC" w:rsidRDefault="00B40521" w:rsidP="00285903"/>
          <w:p w14:paraId="161F4E5C"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pPr>
            <w:r w:rsidRPr="009867EC">
              <w:t>Students, employers and society at large want more objective, reliable and high quality information about higher education;</w:t>
            </w:r>
          </w:p>
          <w:p w14:paraId="4A0DD119"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sidRPr="009867EC">
              <w:rPr>
                <w:lang w:val="en-GB"/>
              </w:rPr>
              <w:t>There is an increasing societal expectation of Higher Education Institutions that they enhance the employability of graduates and provide students with skills relevant to the labour market;</w:t>
            </w:r>
          </w:p>
          <w:p w14:paraId="0F1B9655"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sidRPr="009867EC">
              <w:rPr>
                <w:lang w:val="en-GB"/>
              </w:rPr>
              <w:t>There is a need to adapt the Bologna goals and instruments for structural reforms to the ever changing context of higher education and of our societies and to the evolving needs within the EHEA;</w:t>
            </w:r>
          </w:p>
          <w:p w14:paraId="30630416"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sidRPr="009867EC">
              <w:rPr>
                <w:lang w:val="en-GB"/>
              </w:rPr>
              <w:t>There is a need to build trust and confidence in higher education;</w:t>
            </w:r>
          </w:p>
          <w:p w14:paraId="61A08539"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sidRPr="009867EC">
              <w:rPr>
                <w:lang w:val="en-GB"/>
              </w:rPr>
              <w:t>The relationship between the structural reforms developed within the EHEA and their impact on other regions needs to be considered;</w:t>
            </w:r>
          </w:p>
          <w:p w14:paraId="6623D59D"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sidRPr="009867EC">
              <w:rPr>
                <w:lang w:val="en-GB"/>
              </w:rPr>
              <w:t>There is a need for a more supportive environment for academic staff and students;</w:t>
            </w:r>
          </w:p>
          <w:p w14:paraId="07C6D62F" w14:textId="77777777" w:rsidR="00B40521" w:rsidRPr="009867EC" w:rsidRDefault="00B40521" w:rsidP="00B40521">
            <w:pPr>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rPr>
                <w:lang w:val="en-GB"/>
              </w:rPr>
            </w:pPr>
            <w:r w:rsidRPr="009867EC">
              <w:rPr>
                <w:lang w:val="en-GB"/>
              </w:rPr>
              <w:t>Higher Education needs to contribute to Lifelong Learning.</w:t>
            </w:r>
          </w:p>
          <w:p w14:paraId="72137CFF" w14:textId="77777777" w:rsidR="00B40521" w:rsidRPr="009867EC" w:rsidRDefault="00B40521" w:rsidP="00285903">
            <w:pPr>
              <w:spacing w:after="120"/>
              <w:jc w:val="both"/>
              <w:rPr>
                <w:highlight w:val="yellow"/>
              </w:rPr>
            </w:pPr>
          </w:p>
        </w:tc>
      </w:tr>
      <w:tr w:rsidR="00B40521" w:rsidRPr="009867EC" w14:paraId="605ECFAD" w14:textId="77777777" w:rsidTr="00285903">
        <w:trPr>
          <w:trHeight w:val="844"/>
        </w:trPr>
        <w:tc>
          <w:tcPr>
            <w:tcW w:w="10065" w:type="dxa"/>
          </w:tcPr>
          <w:p w14:paraId="0DEEEBEE" w14:textId="77777777" w:rsidR="00B40521" w:rsidRPr="009867EC" w:rsidRDefault="00B40521" w:rsidP="00285903">
            <w:pPr>
              <w:spacing w:after="120"/>
              <w:rPr>
                <w:b/>
              </w:rPr>
            </w:pPr>
            <w:r w:rsidRPr="009867EC">
              <w:rPr>
                <w:b/>
              </w:rPr>
              <w:lastRenderedPageBreak/>
              <w:t xml:space="preserve">Reference to the Bucharest Communiqué  </w:t>
            </w:r>
          </w:p>
          <w:p w14:paraId="21DDB3A6" w14:textId="77777777" w:rsidR="00B40521" w:rsidRPr="009867EC" w:rsidRDefault="00B40521" w:rsidP="00285903">
            <w:pPr>
              <w:pStyle w:val="Default"/>
              <w:rPr>
                <w:rFonts w:ascii="Times New Roman" w:hAnsi="Times New Roman" w:cs="Times New Roman"/>
                <w:lang w:val="en-GB"/>
              </w:rPr>
            </w:pPr>
          </w:p>
          <w:p w14:paraId="5141A4E5" w14:textId="77777777" w:rsidR="00B40521" w:rsidRPr="009867EC" w:rsidRDefault="00B40521" w:rsidP="00285903">
            <w:pPr>
              <w:pStyle w:val="Default"/>
              <w:rPr>
                <w:rFonts w:ascii="Times New Roman" w:hAnsi="Times New Roman" w:cs="Times New Roman"/>
                <w:i/>
                <w:iCs/>
                <w:color w:val="auto"/>
                <w:lang w:val="en-GB"/>
              </w:rPr>
            </w:pPr>
            <w:r w:rsidRPr="009867EC">
              <w:rPr>
                <w:rFonts w:ascii="Times New Roman" w:hAnsi="Times New Roman" w:cs="Times New Roman"/>
                <w:i/>
                <w:iCs/>
                <w:color w:val="auto"/>
                <w:lang w:val="en-GB"/>
              </w:rPr>
              <w:t xml:space="preserve">At the European level, in preparation of the Ministerial Conference in 2015 and together with relevant stakeholders, we will… </w:t>
            </w:r>
          </w:p>
          <w:p w14:paraId="5E5FCADE" w14:textId="77777777" w:rsidR="00B40521" w:rsidRPr="009867EC" w:rsidRDefault="00B40521" w:rsidP="00285903">
            <w:pPr>
              <w:pStyle w:val="Default"/>
              <w:rPr>
                <w:rFonts w:ascii="Times New Roman" w:hAnsi="Times New Roman" w:cs="Times New Roman"/>
                <w:color w:val="auto"/>
                <w:lang w:val="en-GB"/>
              </w:rPr>
            </w:pPr>
          </w:p>
          <w:p w14:paraId="1BF69326" w14:textId="77777777" w:rsidR="00B40521" w:rsidRPr="009867EC" w:rsidRDefault="00B40521" w:rsidP="00B40521">
            <w:pPr>
              <w:pStyle w:val="Defaul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New Roman" w:hAnsi="Times New Roman" w:cs="Times New Roman"/>
                <w:color w:val="auto"/>
                <w:lang w:val="en-GB"/>
              </w:rPr>
            </w:pPr>
            <w:r w:rsidRPr="009867EC">
              <w:rPr>
                <w:rFonts w:ascii="Times New Roman" w:hAnsi="Times New Roman" w:cs="Times New Roman"/>
                <w:color w:val="auto"/>
                <w:lang w:val="en-GB"/>
              </w:rPr>
              <w:t xml:space="preserve">Develop a proposal for a revised version of the ESG for adoption; </w:t>
            </w:r>
          </w:p>
          <w:p w14:paraId="5D77CCE1" w14:textId="77777777" w:rsidR="00B40521" w:rsidRPr="009867EC" w:rsidRDefault="00B40521" w:rsidP="00285903">
            <w:pPr>
              <w:pStyle w:val="Default"/>
              <w:rPr>
                <w:rFonts w:ascii="Times New Roman" w:hAnsi="Times New Roman" w:cs="Times New Roman"/>
                <w:color w:val="auto"/>
                <w:lang w:val="en-GB"/>
              </w:rPr>
            </w:pPr>
          </w:p>
          <w:p w14:paraId="57FBB6CB" w14:textId="77777777" w:rsidR="00B40521" w:rsidRPr="009867EC" w:rsidRDefault="00B40521" w:rsidP="00B40521">
            <w:pPr>
              <w:pStyle w:val="Defaul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46"/>
              <w:rPr>
                <w:rFonts w:ascii="Times New Roman" w:hAnsi="Times New Roman" w:cs="Times New Roman"/>
                <w:color w:val="auto"/>
                <w:lang w:val="en-GB"/>
              </w:rPr>
            </w:pPr>
            <w:r w:rsidRPr="009867EC">
              <w:rPr>
                <w:rFonts w:ascii="Times New Roman" w:hAnsi="Times New Roman" w:cs="Times New Roman"/>
                <w:color w:val="auto"/>
                <w:lang w:val="en-GB"/>
              </w:rPr>
              <w:t xml:space="preserve">Work to ensure that the ECTS Users’ Guide fully reflects the state of on-going work on learning outcomes and recognition of prior learning; </w:t>
            </w:r>
          </w:p>
          <w:p w14:paraId="6EA06887" w14:textId="77777777" w:rsidR="00B40521" w:rsidRPr="009867EC" w:rsidRDefault="00B40521" w:rsidP="00B40521">
            <w:pPr>
              <w:pStyle w:val="Defaul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46"/>
              <w:rPr>
                <w:rFonts w:ascii="Times New Roman" w:hAnsi="Times New Roman" w:cs="Times New Roman"/>
                <w:color w:val="auto"/>
                <w:lang w:val="en-GB"/>
              </w:rPr>
            </w:pPr>
            <w:r w:rsidRPr="009867EC">
              <w:rPr>
                <w:rFonts w:ascii="Times New Roman" w:hAnsi="Times New Roman" w:cs="Times New Roman"/>
                <w:color w:val="auto"/>
                <w:lang w:val="en-GB"/>
              </w:rPr>
              <w:t xml:space="preserve">Coordinate the work of ensuring that qualifications frameworks work in practice, emphasising their link to learning outcomes and explore how the QF-EHEA could take account of short cycle qualifications in national contexts; </w:t>
            </w:r>
          </w:p>
          <w:p w14:paraId="1AD6FAA2" w14:textId="77777777" w:rsidR="00B40521" w:rsidRPr="009867EC" w:rsidRDefault="00B40521" w:rsidP="00B40521">
            <w:pPr>
              <w:pStyle w:val="Defaul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46"/>
              <w:rPr>
                <w:rFonts w:ascii="Times New Roman" w:hAnsi="Times New Roman" w:cs="Times New Roman"/>
                <w:color w:val="auto"/>
                <w:lang w:val="en-GB"/>
              </w:rPr>
            </w:pPr>
            <w:r w:rsidRPr="009867EC">
              <w:rPr>
                <w:rFonts w:ascii="Times New Roman" w:hAnsi="Times New Roman" w:cs="Times New Roman"/>
                <w:color w:val="auto"/>
                <w:lang w:val="en-GB"/>
              </w:rPr>
              <w:t xml:space="preserve">Support the work of a pathfinder group of countries exploring ways to achieve the automatic academic recognition of comparable degrees; </w:t>
            </w:r>
          </w:p>
          <w:p w14:paraId="4459C86E" w14:textId="77777777" w:rsidR="00B40521" w:rsidRPr="009867EC" w:rsidRDefault="00B40521" w:rsidP="00B40521">
            <w:pPr>
              <w:pStyle w:val="Defaul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46"/>
              <w:rPr>
                <w:rFonts w:ascii="Times New Roman" w:hAnsi="Times New Roman" w:cs="Times New Roman"/>
                <w:color w:val="auto"/>
                <w:lang w:val="en-GB"/>
              </w:rPr>
            </w:pPr>
            <w:r w:rsidRPr="009867EC">
              <w:rPr>
                <w:rFonts w:ascii="Times New Roman" w:hAnsi="Times New Roman" w:cs="Times New Roman"/>
                <w:color w:val="auto"/>
                <w:lang w:val="en-GB"/>
              </w:rPr>
              <w:t xml:space="preserve">Examine national legislation and practices relating to joint programmes and degrees as a way to dismantle obstacles to cooperation and mobility embedded in national contexts; </w:t>
            </w:r>
          </w:p>
          <w:p w14:paraId="436B0AEA" w14:textId="77777777" w:rsidR="00B40521" w:rsidRPr="009867EC" w:rsidRDefault="00B40521" w:rsidP="00B40521">
            <w:pPr>
              <w:pStyle w:val="Defaul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46"/>
              <w:rPr>
                <w:rFonts w:ascii="Times New Roman" w:hAnsi="Times New Roman" w:cs="Times New Roman"/>
                <w:color w:val="auto"/>
                <w:lang w:val="en-GB"/>
              </w:rPr>
            </w:pPr>
            <w:r w:rsidRPr="009867EC">
              <w:rPr>
                <w:rFonts w:ascii="Times New Roman" w:hAnsi="Times New Roman" w:cs="Times New Roman"/>
                <w:color w:val="auto"/>
                <w:lang w:val="en-GB"/>
              </w:rPr>
              <w:t>Develop EHEA guidelines for transparency policies and continue to monitor current and developing transparency tools;</w:t>
            </w:r>
          </w:p>
          <w:p w14:paraId="7C8E7C82" w14:textId="77777777" w:rsidR="00B40521" w:rsidRPr="009867EC" w:rsidRDefault="00B40521" w:rsidP="00285903">
            <w:pPr>
              <w:pStyle w:val="Default"/>
              <w:spacing w:after="146"/>
              <w:rPr>
                <w:rFonts w:ascii="Times New Roman" w:hAnsi="Times New Roman" w:cs="Times New Roman"/>
                <w:color w:val="auto"/>
                <w:lang w:val="en-GB"/>
              </w:rPr>
            </w:pPr>
          </w:p>
          <w:p w14:paraId="014B8EB3" w14:textId="77777777" w:rsidR="00B40521" w:rsidRPr="009867EC" w:rsidRDefault="00B40521" w:rsidP="00285903">
            <w:pPr>
              <w:pStyle w:val="Default"/>
              <w:spacing w:after="146"/>
              <w:rPr>
                <w:rFonts w:ascii="Times New Roman" w:hAnsi="Times New Roman" w:cs="Times New Roman"/>
                <w:i/>
                <w:color w:val="auto"/>
                <w:lang w:val="en-GB"/>
              </w:rPr>
            </w:pPr>
            <w:r w:rsidRPr="009867EC">
              <w:rPr>
                <w:rFonts w:ascii="Times New Roman" w:hAnsi="Times New Roman" w:cs="Times New Roman"/>
                <w:i/>
                <w:lang w:val="en-GB"/>
              </w:rPr>
              <w:lastRenderedPageBreak/>
              <w:t>At the national level, together with the relevant stakeholders, and especially with higher education institutions, we will:</w:t>
            </w:r>
          </w:p>
          <w:p w14:paraId="4AAE2C16" w14:textId="77777777" w:rsidR="00B40521" w:rsidRPr="009867EC" w:rsidRDefault="00B40521" w:rsidP="00285903">
            <w:pPr>
              <w:pStyle w:val="Default"/>
              <w:ind w:left="515"/>
              <w:rPr>
                <w:rFonts w:ascii="Times New Roman" w:hAnsi="Times New Roman" w:cs="Times New Roman"/>
                <w:color w:val="auto"/>
                <w:lang w:val="en-GB"/>
              </w:rPr>
            </w:pPr>
          </w:p>
          <w:p w14:paraId="16DE37A4" w14:textId="77777777" w:rsidR="00B40521" w:rsidRPr="009867EC" w:rsidRDefault="00B40521" w:rsidP="00B40521">
            <w:pPr>
              <w:widowControl w:val="0"/>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after="240"/>
            </w:pPr>
            <w:r w:rsidRPr="009867EC">
              <w:tab/>
            </w:r>
            <w:r w:rsidRPr="009867EC">
              <w:tab/>
              <w:t xml:space="preserve">Allow EQAR-registered quality assurance agencies to perform their activities across the EHEA, while complying with national requirements; </w:t>
            </w:r>
          </w:p>
          <w:p w14:paraId="66093FE1" w14:textId="77777777" w:rsidR="00B40521" w:rsidRPr="009867EC" w:rsidRDefault="00B40521" w:rsidP="00B40521">
            <w:pPr>
              <w:widowControl w:val="0"/>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after="240"/>
            </w:pPr>
            <w:r w:rsidRPr="009867EC">
              <w:tab/>
            </w:r>
            <w:r w:rsidRPr="009867EC">
              <w:tab/>
              <w:t xml:space="preserve">Work to enhance employability, lifelong learning, problem-solving and entrepreneurial skills through improved cooperation with employers, especially in the development of educational programmes; </w:t>
            </w:r>
          </w:p>
          <w:p w14:paraId="0BE48883" w14:textId="77777777" w:rsidR="00B40521" w:rsidRPr="009867EC" w:rsidRDefault="00B40521" w:rsidP="00B40521">
            <w:pPr>
              <w:widowControl w:val="0"/>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after="240"/>
            </w:pPr>
            <w:r w:rsidRPr="009867EC">
              <w:tab/>
            </w:r>
            <w:r w:rsidRPr="009867EC">
              <w:tab/>
              <w:t xml:space="preserve">Ensure that qualifications frameworks, ECTS and Diploma Supplement implementation is based on learning outcomes; </w:t>
            </w:r>
          </w:p>
          <w:p w14:paraId="5955C109" w14:textId="77777777" w:rsidR="00B40521" w:rsidRPr="009867EC" w:rsidRDefault="00B40521" w:rsidP="00B40521">
            <w:pPr>
              <w:widowControl w:val="0"/>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after="240"/>
            </w:pPr>
            <w:r w:rsidRPr="009867EC">
              <w:tab/>
            </w:r>
            <w:r w:rsidRPr="009867EC">
              <w:tab/>
              <w:t xml:space="preserve">Invite countries that cannot finalize the implementation of national qualifications frameworks compatible with QF-EHEA by the end of 2012 to redouble their efforts and submit a revised roadmap for this task; </w:t>
            </w:r>
          </w:p>
          <w:p w14:paraId="49DB5FFE" w14:textId="77777777" w:rsidR="00B40521" w:rsidRPr="009867EC" w:rsidRDefault="00B40521" w:rsidP="00B40521">
            <w:pPr>
              <w:widowControl w:val="0"/>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after="240"/>
            </w:pPr>
            <w:r w:rsidRPr="009867EC">
              <w:tab/>
            </w:r>
            <w:r w:rsidRPr="009867EC">
              <w:tab/>
              <w:t xml:space="preserve">Review national legislation to fully comply with the Lisbon Recognition Convention and promote the use of the EAR-manual to advance recognition practices; </w:t>
            </w:r>
          </w:p>
          <w:p w14:paraId="7FFE786C" w14:textId="77777777" w:rsidR="00B40521" w:rsidRPr="009867EC" w:rsidRDefault="00B40521" w:rsidP="00285903">
            <w:pPr>
              <w:pStyle w:val="Default"/>
              <w:rPr>
                <w:rFonts w:ascii="Times New Roman" w:hAnsi="Times New Roman" w:cs="Times New Roman"/>
                <w:lang w:val="en-GB"/>
              </w:rPr>
            </w:pPr>
          </w:p>
        </w:tc>
      </w:tr>
      <w:tr w:rsidR="00B40521" w:rsidRPr="009867EC" w14:paraId="061CF8B5" w14:textId="77777777" w:rsidTr="00285903">
        <w:trPr>
          <w:trHeight w:val="1374"/>
        </w:trPr>
        <w:tc>
          <w:tcPr>
            <w:tcW w:w="10065" w:type="dxa"/>
          </w:tcPr>
          <w:p w14:paraId="30521736" w14:textId="77777777" w:rsidR="00B40521" w:rsidRPr="009867EC" w:rsidRDefault="00B40521" w:rsidP="00285903">
            <w:pPr>
              <w:rPr>
                <w:b/>
              </w:rPr>
            </w:pPr>
            <w:r w:rsidRPr="009867EC">
              <w:rPr>
                <w:b/>
              </w:rPr>
              <w:lastRenderedPageBreak/>
              <w:t xml:space="preserve">Specific tasks </w:t>
            </w:r>
          </w:p>
          <w:p w14:paraId="585133A7"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 xml:space="preserve">Consider and make recommendations on specific issues of policy and practice related to quality assurance, qualifications frameworks, recognition of qualifications and transparency instruments and their mutual interaction; </w:t>
            </w:r>
          </w:p>
          <w:p w14:paraId="3E3780FC"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Consider how the development and implementation of learning outcomes impact on and may strengthen the coherence between the policy areas covered by the WG;</w:t>
            </w:r>
          </w:p>
          <w:p w14:paraId="725C0BED"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In consultation with the ENIC and NARIC Networks and the Network of national QF correspondents, develop policy proposals aiming to improve the interaction between qualifications frameworks and the recognition of qualifications;</w:t>
            </w:r>
          </w:p>
          <w:p w14:paraId="50426EC5"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 xml:space="preserve">The EQF Advisory Group and the BFUG working group on Structural Reforms, in co-operation with ENQA and EQAVET, should review and make proposals to strengthen the common principles of quality assurance to be applied across HE and VET. </w:t>
            </w:r>
          </w:p>
          <w:p w14:paraId="1FA05628"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Develop policy proposals aiming to improve transparency instruments for describing individual qualifications as well as higher education systems, in particular as concerns the Diploma Supplement and the ECTS.  In this, the Working Group should establish cooperation with the institutions and bodies charged with the oversight and implementation of the relevant transparency instruments;</w:t>
            </w:r>
          </w:p>
          <w:p w14:paraId="65160728"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 xml:space="preserve">As appropriate, provide input to the WGs responsible for mobility and internationalization; the social dimension and lifelong learning on the role of structural reforms as well as to the Working Group on implementation in furthering the goals of these groups; </w:t>
            </w:r>
          </w:p>
          <w:p w14:paraId="191D8670"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Consider and make recommendations on the interaction between the structural reforms and transversal issues, i.a. employability and the global dimension;</w:t>
            </w:r>
          </w:p>
          <w:p w14:paraId="1CBB48A9"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 xml:space="preserve">Consider and make recommendations concerning third cycle qualifications, the review the ECTS Users’ Guide, the Recognition of Prior Learning and the implementation of </w:t>
            </w:r>
            <w:r w:rsidRPr="009867EC">
              <w:lastRenderedPageBreak/>
              <w:t>qualifications frameworks on the basis of proposals by the relevant sub structures.</w:t>
            </w:r>
          </w:p>
          <w:p w14:paraId="57DF4A4B"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Consider and make proposals concerning joint degrees and programmes on the basis of suggestion by a small ad-hoc group reporting to the working groups on Structural Reforms and Mobility and Internationalization.</w:t>
            </w:r>
          </w:p>
          <w:p w14:paraId="2C32035A"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Comment, as appropriate, on draft amendments to the European Standards and Guidelines prepared by the Steering Committee (E4 plus EQAR, EI, BUSINESSEUROPE).</w:t>
            </w:r>
          </w:p>
          <w:p w14:paraId="15B760F3"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Help identify and set priorities for peer learning activities concerning structural reforms;</w:t>
            </w:r>
          </w:p>
          <w:p w14:paraId="370F082B"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Organize, or stimulate the organization of, Bologna conferences, mini-seminars, peer learning activities and events on issues related to structural reforms;</w:t>
            </w:r>
          </w:p>
          <w:p w14:paraId="56B934CF"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Consider developments in relation to EQAR-registered quality assurance agencies operating in countries other than their countries of origin and make policy proposals or recommendations, as appropriate;</w:t>
            </w:r>
          </w:p>
          <w:p w14:paraId="1A2BC537"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 xml:space="preserve"> As appropriate, commission research to support its work;</w:t>
            </w:r>
          </w:p>
          <w:p w14:paraId="1C39848F"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Maintain contact with and, as needed, oversee the work of any sub groups established to address specific aspects of structural reforms;</w:t>
            </w:r>
          </w:p>
          <w:p w14:paraId="659F108D"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 xml:space="preserve">Advice the BFUG on any issues referred to it by the BFUG;  </w:t>
            </w:r>
          </w:p>
          <w:p w14:paraId="224AF0AE" w14:textId="77777777" w:rsidR="00B40521" w:rsidRPr="009867EC" w:rsidRDefault="00B40521" w:rsidP="00B40521">
            <w:pPr>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jc w:val="both"/>
            </w:pPr>
            <w:r w:rsidRPr="009867EC">
              <w:t>Submit proposals to the 2015 Ministerial conference, through the BFUG, aiming to improve the coherence of the structural reforms within the EHEA.</w:t>
            </w:r>
          </w:p>
          <w:p w14:paraId="2FFFF590" w14:textId="77777777" w:rsidR="00B40521" w:rsidRPr="009867EC" w:rsidRDefault="00B40521" w:rsidP="00285903">
            <w:pPr>
              <w:ind w:left="851"/>
              <w:jc w:val="both"/>
            </w:pPr>
          </w:p>
          <w:p w14:paraId="097C718E" w14:textId="77777777" w:rsidR="00B40521" w:rsidRPr="009867EC" w:rsidRDefault="00B40521" w:rsidP="00285903"/>
        </w:tc>
      </w:tr>
      <w:tr w:rsidR="00B40521" w:rsidRPr="009867EC" w14:paraId="004651F0" w14:textId="77777777" w:rsidTr="00285903">
        <w:trPr>
          <w:trHeight w:val="793"/>
        </w:trPr>
        <w:tc>
          <w:tcPr>
            <w:tcW w:w="10065" w:type="dxa"/>
          </w:tcPr>
          <w:p w14:paraId="207DDA00" w14:textId="77777777" w:rsidR="00B40521" w:rsidRPr="009867EC" w:rsidRDefault="00B40521" w:rsidP="00285903">
            <w:pPr>
              <w:spacing w:after="120"/>
              <w:jc w:val="both"/>
              <w:rPr>
                <w:b/>
              </w:rPr>
            </w:pPr>
            <w:r w:rsidRPr="009867EC">
              <w:rPr>
                <w:b/>
              </w:rPr>
              <w:lastRenderedPageBreak/>
              <w:t xml:space="preserve">Reporting </w:t>
            </w:r>
          </w:p>
          <w:p w14:paraId="1720E5DA" w14:textId="77777777" w:rsidR="00B40521" w:rsidRPr="009867EC" w:rsidRDefault="00B40521" w:rsidP="00285903">
            <w:pPr>
              <w:jc w:val="both"/>
            </w:pPr>
            <w:r w:rsidRPr="009867EC">
              <w:rPr>
                <w:u w:val="single"/>
              </w:rPr>
              <w:t>Minutes</w:t>
            </w:r>
            <w:r w:rsidRPr="009867EC">
              <w:t xml:space="preserve"> of working group meetings will be made available to the BFUG on the protected part of the website (by the Bologna Secretariat). </w:t>
            </w:r>
          </w:p>
          <w:p w14:paraId="641EAA58" w14:textId="77777777" w:rsidR="00B40521" w:rsidRPr="009867EC" w:rsidRDefault="00B40521" w:rsidP="00285903">
            <w:pPr>
              <w:jc w:val="both"/>
            </w:pPr>
          </w:p>
          <w:p w14:paraId="0779DD1F" w14:textId="77777777" w:rsidR="00B40521" w:rsidRPr="009867EC" w:rsidRDefault="00B40521" w:rsidP="00285903">
            <w:pPr>
              <w:jc w:val="both"/>
            </w:pPr>
            <w:r w:rsidRPr="009867EC">
              <w:rPr>
                <w:u w:val="single"/>
              </w:rPr>
              <w:t>BFUG should also receive regular reports and updates</w:t>
            </w:r>
            <w:r w:rsidRPr="009867EC">
              <w:t xml:space="preserve">. </w:t>
            </w:r>
          </w:p>
          <w:p w14:paraId="692497FF" w14:textId="77777777" w:rsidR="00B40521" w:rsidRPr="009867EC" w:rsidRDefault="00B40521" w:rsidP="00285903">
            <w:pPr>
              <w:jc w:val="both"/>
            </w:pPr>
            <w:r w:rsidRPr="009867EC">
              <w:t xml:space="preserve">To allow for good communication with the BFUG as a whole and for the necessary consultations, progress reports should be submitted at least two weeks before each BFUG meeting. In between BFUG meetings, updates can be circulated by the Bologna Secretariat via e-mail.  </w:t>
            </w:r>
          </w:p>
          <w:p w14:paraId="3BE7F225" w14:textId="77777777" w:rsidR="00B40521" w:rsidRPr="009867EC" w:rsidRDefault="00B40521" w:rsidP="00285903"/>
          <w:p w14:paraId="4C414D7B" w14:textId="77777777" w:rsidR="00B40521" w:rsidRPr="009867EC" w:rsidRDefault="00B40521" w:rsidP="00285903">
            <w:pPr>
              <w:rPr>
                <w:b/>
              </w:rPr>
            </w:pPr>
            <w:r w:rsidRPr="009867EC">
              <w:rPr>
                <w:b/>
              </w:rPr>
              <w:t>The draft final report/conclusions will be presented and discussed no later than the BFUG meeting in the second half of 2014.</w:t>
            </w:r>
          </w:p>
        </w:tc>
      </w:tr>
      <w:tr w:rsidR="00B40521" w:rsidRPr="009867EC" w14:paraId="2FEAF21F" w14:textId="77777777" w:rsidTr="00285903">
        <w:trPr>
          <w:trHeight w:val="1339"/>
        </w:trPr>
        <w:tc>
          <w:tcPr>
            <w:tcW w:w="10065" w:type="dxa"/>
          </w:tcPr>
          <w:p w14:paraId="24C20708" w14:textId="77777777" w:rsidR="00B40521" w:rsidRPr="009867EC" w:rsidRDefault="00B40521" w:rsidP="00285903">
            <w:pPr>
              <w:spacing w:after="120"/>
            </w:pPr>
            <w:r w:rsidRPr="009867EC">
              <w:rPr>
                <w:b/>
              </w:rPr>
              <w:t xml:space="preserve">Meeting schedule:  </w:t>
            </w:r>
          </w:p>
          <w:p w14:paraId="42948324" w14:textId="77777777" w:rsidR="00B40521" w:rsidRPr="009867EC" w:rsidRDefault="00B40521" w:rsidP="00285903">
            <w:r w:rsidRPr="009867EC">
              <w:t>The Working Group will meet once per semester; more often if required, most likely in the preparation of its report to the BFUG.</w:t>
            </w:r>
          </w:p>
          <w:p w14:paraId="5677DE02" w14:textId="77777777" w:rsidR="00B40521" w:rsidRPr="009867EC" w:rsidRDefault="00B40521" w:rsidP="00285903"/>
          <w:p w14:paraId="4F8CDC13" w14:textId="77777777" w:rsidR="00B40521" w:rsidRPr="009867EC" w:rsidRDefault="00B40521" w:rsidP="00285903">
            <w:r w:rsidRPr="009867EC">
              <w:t>The co-chairs will aim to meet once between every meeting of the working group.</w:t>
            </w:r>
          </w:p>
          <w:p w14:paraId="69E3AD93" w14:textId="77777777" w:rsidR="00B40521" w:rsidRPr="009867EC" w:rsidRDefault="00B40521" w:rsidP="00285903"/>
          <w:p w14:paraId="5E86D716" w14:textId="77777777" w:rsidR="00B40521" w:rsidRPr="009867EC" w:rsidRDefault="00B40521" w:rsidP="00285903">
            <w:r w:rsidRPr="009867EC">
              <w:t xml:space="preserve">Any sub-group established by the BFUG under the WG on Structural Reform will meet as required. </w:t>
            </w:r>
          </w:p>
          <w:p w14:paraId="75F65C67" w14:textId="77777777" w:rsidR="00B40521" w:rsidRPr="009867EC" w:rsidRDefault="00B40521" w:rsidP="00285903"/>
          <w:p w14:paraId="0743CD76" w14:textId="77777777" w:rsidR="00B40521" w:rsidRPr="009867EC" w:rsidRDefault="00B40521" w:rsidP="00285903">
            <w:r w:rsidRPr="009867EC">
              <w:t>Chairs of the sub-groups will be invited to the meetings of the Co-Chairs of the Structural Reforms WG as appropriate.</w:t>
            </w:r>
          </w:p>
          <w:p w14:paraId="4F2DED07" w14:textId="77777777" w:rsidR="00B40521" w:rsidRPr="009867EC" w:rsidRDefault="00B40521" w:rsidP="00285903"/>
        </w:tc>
      </w:tr>
      <w:tr w:rsidR="00B40521" w:rsidRPr="009867EC" w14:paraId="19AEB990" w14:textId="77777777" w:rsidTr="00285903">
        <w:trPr>
          <w:trHeight w:val="1084"/>
        </w:trPr>
        <w:tc>
          <w:tcPr>
            <w:tcW w:w="10065" w:type="dxa"/>
          </w:tcPr>
          <w:p w14:paraId="63575B2A" w14:textId="77777777" w:rsidR="00B40521" w:rsidRPr="009867EC" w:rsidRDefault="00B40521" w:rsidP="00285903">
            <w:pPr>
              <w:spacing w:after="120"/>
              <w:rPr>
                <w:b/>
              </w:rPr>
            </w:pPr>
            <w:r w:rsidRPr="009867EC">
              <w:rPr>
                <w:b/>
              </w:rPr>
              <w:lastRenderedPageBreak/>
              <w:t>Liaison with other  WGs’ and sub structures</w:t>
            </w:r>
          </w:p>
          <w:p w14:paraId="2951342C" w14:textId="77777777" w:rsidR="00B40521" w:rsidRPr="009867EC" w:rsidRDefault="00B40521" w:rsidP="00B40521">
            <w:pPr>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after="120"/>
              <w:rPr>
                <w:b/>
              </w:rPr>
            </w:pPr>
            <w:r w:rsidRPr="009867EC">
              <w:t>Implementation of  the Bologna Process</w:t>
            </w:r>
          </w:p>
          <w:p w14:paraId="2B4B54A0" w14:textId="77777777" w:rsidR="00B40521" w:rsidRPr="009867EC" w:rsidRDefault="00B40521" w:rsidP="00B40521">
            <w:pPr>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after="120"/>
            </w:pPr>
            <w:r w:rsidRPr="009867EC">
              <w:t>Social dimension and lifelong learning</w:t>
            </w:r>
          </w:p>
          <w:p w14:paraId="03FA5366" w14:textId="77777777" w:rsidR="00B40521" w:rsidRPr="009867EC" w:rsidRDefault="00B40521" w:rsidP="00B40521">
            <w:pPr>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after="120"/>
            </w:pPr>
            <w:r w:rsidRPr="009867EC">
              <w:t>Mobility and internationalization</w:t>
            </w:r>
          </w:p>
          <w:p w14:paraId="355E184B" w14:textId="77777777" w:rsidR="00B40521" w:rsidRPr="009867EC" w:rsidRDefault="00B40521" w:rsidP="00285903">
            <w:pPr>
              <w:spacing w:after="120"/>
            </w:pPr>
            <w:r w:rsidRPr="009867EC">
              <w:t>The Structural Reforms WG oversees and receives reports from</w:t>
            </w:r>
          </w:p>
          <w:p w14:paraId="75D6BD79" w14:textId="77777777" w:rsidR="00B40521" w:rsidRPr="009867EC" w:rsidRDefault="00B40521" w:rsidP="00B40521">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after="120"/>
            </w:pPr>
            <w:r w:rsidRPr="009867EC">
              <w:t>The ad-hoc WG on the Third Cycle</w:t>
            </w:r>
          </w:p>
          <w:p w14:paraId="4A2FCF0E" w14:textId="77777777" w:rsidR="00B40521" w:rsidRPr="009867EC" w:rsidRDefault="00B40521" w:rsidP="00B40521">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after="120"/>
            </w:pPr>
            <w:r w:rsidRPr="009867EC">
              <w:t>The ad-hoc WG on the revision of the ECTS Users’ Guide</w:t>
            </w:r>
          </w:p>
          <w:p w14:paraId="27272EEB" w14:textId="77777777" w:rsidR="00B40521" w:rsidRPr="009867EC" w:rsidRDefault="00B40521" w:rsidP="00B40521">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after="120"/>
            </w:pPr>
            <w:r w:rsidRPr="009867EC">
              <w:t>The network of Recognition of Prior Learning (RPL)</w:t>
            </w:r>
          </w:p>
          <w:p w14:paraId="253FB741" w14:textId="77777777" w:rsidR="00B40521" w:rsidRPr="009867EC" w:rsidRDefault="00B40521" w:rsidP="00B40521">
            <w:pPr>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after="120"/>
            </w:pPr>
            <w:r w:rsidRPr="009867EC">
              <w:t>The Network of National Correspondents for Qualifications Frameworks</w:t>
            </w:r>
          </w:p>
          <w:p w14:paraId="1865EFD7" w14:textId="77777777" w:rsidR="00B40521" w:rsidRPr="009867EC" w:rsidRDefault="00B40521" w:rsidP="00285903">
            <w:pPr>
              <w:spacing w:after="120"/>
              <w:ind w:left="360"/>
            </w:pPr>
          </w:p>
        </w:tc>
      </w:tr>
      <w:tr w:rsidR="00B40521" w:rsidRPr="009867EC" w14:paraId="0F515EEE" w14:textId="77777777" w:rsidTr="00285903">
        <w:trPr>
          <w:trHeight w:val="844"/>
        </w:trPr>
        <w:tc>
          <w:tcPr>
            <w:tcW w:w="10065" w:type="dxa"/>
          </w:tcPr>
          <w:p w14:paraId="5F119477" w14:textId="77777777" w:rsidR="00B40521" w:rsidRPr="009867EC" w:rsidRDefault="00B40521" w:rsidP="00285903">
            <w:pPr>
              <w:spacing w:after="120"/>
            </w:pPr>
            <w:r w:rsidRPr="009867EC">
              <w:rPr>
                <w:b/>
              </w:rPr>
              <w:t>Additional remarks</w:t>
            </w:r>
          </w:p>
          <w:p w14:paraId="40797A30" w14:textId="77777777" w:rsidR="00B40521" w:rsidRPr="009867EC" w:rsidRDefault="00B40521" w:rsidP="00285903">
            <w:pPr>
              <w:spacing w:after="120"/>
            </w:pPr>
            <w:r w:rsidRPr="009867EC">
              <w:t>Institutions and bodies outside of the BFUG or the framework of the EHEA are responsible for a number of relevant actions and instruments, e.g. the ENIC and NARIC Networks, the Lisbon Recognition Convention Committee and the Council of Europe and UNESCO (Lisbon Recognition Convention), the Council of Europe, the European Commission and UNESCO (Diploma Supplement), the European Commission (ECTS); the steering group of E4, EI, BUSINESSEUROPE and EQAR in consultation with the BFUG (European Standards and Guidelines). In these cases, the Working Group should establish close cooperation with the relevant bodies and institutions.  It should also maintain close cooperation with the EQF, through the EQF Advisory Group, the European Commission, CEDEFOP and the European Training Foundation.</w:t>
            </w:r>
          </w:p>
        </w:tc>
      </w:tr>
    </w:tbl>
    <w:p w14:paraId="3FB37B9F" w14:textId="77777777" w:rsidR="00B40521" w:rsidRDefault="00B40521" w:rsidP="00B40521"/>
    <w:p w14:paraId="639A4E36" w14:textId="77777777" w:rsidR="00B40521" w:rsidRDefault="00B40521" w:rsidP="00B40521"/>
    <w:p w14:paraId="31B76A73" w14:textId="77777777" w:rsidR="00B40521" w:rsidRDefault="00B40521" w:rsidP="00B40521"/>
    <w:p w14:paraId="647B88C7" w14:textId="77777777" w:rsidR="00B40521" w:rsidRDefault="00B40521" w:rsidP="00B40521"/>
    <w:p w14:paraId="723B33AD" w14:textId="77777777" w:rsidR="00B40521" w:rsidRDefault="00B40521" w:rsidP="00B40521"/>
    <w:p w14:paraId="643A5793" w14:textId="77777777" w:rsidR="00B40521" w:rsidRDefault="00B40521" w:rsidP="00B40521"/>
    <w:p w14:paraId="2D3E999D" w14:textId="77777777" w:rsidR="00B40521" w:rsidRDefault="00B40521" w:rsidP="00B40521"/>
    <w:p w14:paraId="5597F580" w14:textId="77777777" w:rsidR="00B40521" w:rsidRDefault="00B40521" w:rsidP="00B40521"/>
    <w:p w14:paraId="41B204B2" w14:textId="77777777" w:rsidR="00B40521" w:rsidRDefault="00B40521" w:rsidP="00B40521"/>
    <w:p w14:paraId="656AE84B" w14:textId="77777777" w:rsidR="00B40521" w:rsidRDefault="00B40521" w:rsidP="00B40521"/>
    <w:p w14:paraId="515E77F6" w14:textId="77777777" w:rsidR="00B40521" w:rsidRDefault="00B40521" w:rsidP="00B40521"/>
    <w:p w14:paraId="302CF5BB" w14:textId="77777777" w:rsidR="00B40521" w:rsidRDefault="00B40521" w:rsidP="00B40521">
      <w:pPr>
        <w:rPr>
          <w:b/>
          <w:sz w:val="28"/>
          <w:szCs w:val="28"/>
        </w:rPr>
      </w:pPr>
    </w:p>
    <w:p w14:paraId="47DBC6D9" w14:textId="77777777" w:rsidR="00B40521" w:rsidRDefault="00B40521" w:rsidP="00B40521">
      <w:pPr>
        <w:rPr>
          <w:b/>
        </w:rPr>
      </w:pPr>
    </w:p>
    <w:p w14:paraId="55684A59" w14:textId="77777777" w:rsidR="00B40521" w:rsidRDefault="00B40521" w:rsidP="00B40521">
      <w:pPr>
        <w:rPr>
          <w:b/>
        </w:rPr>
      </w:pPr>
    </w:p>
    <w:p w14:paraId="1CF9182B" w14:textId="77777777" w:rsidR="00B40521" w:rsidRDefault="00B40521" w:rsidP="00B40521">
      <w:pPr>
        <w:ind w:left="-851"/>
        <w:rPr>
          <w:b/>
        </w:rPr>
      </w:pPr>
    </w:p>
    <w:p w14:paraId="1B20E950" w14:textId="77777777" w:rsidR="00B40521" w:rsidRDefault="00B40521" w:rsidP="00B40521">
      <w:pPr>
        <w:ind w:left="-851"/>
        <w:rPr>
          <w:b/>
        </w:rPr>
      </w:pPr>
    </w:p>
    <w:p w14:paraId="58A364AC" w14:textId="77777777" w:rsidR="00B40521" w:rsidRDefault="00B40521" w:rsidP="00B40521">
      <w:pPr>
        <w:ind w:left="-851"/>
        <w:rPr>
          <w:b/>
        </w:rPr>
      </w:pPr>
    </w:p>
    <w:p w14:paraId="0F5A06AF" w14:textId="77777777" w:rsidR="00B40521" w:rsidRDefault="00B40521" w:rsidP="00B40521">
      <w:pPr>
        <w:ind w:left="-851"/>
        <w:rPr>
          <w:b/>
        </w:rPr>
      </w:pPr>
    </w:p>
    <w:p w14:paraId="0BBF2625" w14:textId="77777777" w:rsidR="00B40521" w:rsidRDefault="00B40521" w:rsidP="00B40521">
      <w:pPr>
        <w:ind w:left="-851"/>
        <w:rPr>
          <w:b/>
        </w:rPr>
      </w:pPr>
    </w:p>
    <w:p w14:paraId="3F270041" w14:textId="77777777" w:rsidR="00B40521" w:rsidRDefault="00B40521" w:rsidP="00B40521">
      <w:pPr>
        <w:ind w:left="-851"/>
        <w:rPr>
          <w:b/>
        </w:rPr>
      </w:pPr>
    </w:p>
    <w:p w14:paraId="56419AE6" w14:textId="77777777" w:rsidR="00B40521" w:rsidRPr="009422BB" w:rsidRDefault="00B40521" w:rsidP="00B40521">
      <w:pPr>
        <w:ind w:left="-851"/>
        <w:rPr>
          <w:b/>
        </w:rPr>
      </w:pPr>
      <w:r w:rsidRPr="009422BB">
        <w:rPr>
          <w:b/>
        </w:rPr>
        <w:lastRenderedPageBreak/>
        <w:t>APPENDIX 2</w:t>
      </w:r>
    </w:p>
    <w:p w14:paraId="2DE048DD" w14:textId="77777777" w:rsidR="00B40521" w:rsidRDefault="00B40521" w:rsidP="00B40521">
      <w:pPr>
        <w:rPr>
          <w:b/>
          <w:sz w:val="28"/>
          <w:szCs w:val="28"/>
        </w:rPr>
      </w:pPr>
    </w:p>
    <w:p w14:paraId="105821ED" w14:textId="77777777" w:rsidR="00B40521" w:rsidRPr="00970787" w:rsidRDefault="00B40521" w:rsidP="00B40521">
      <w:pPr>
        <w:ind w:left="-851"/>
        <w:rPr>
          <w:b/>
          <w:sz w:val="28"/>
          <w:szCs w:val="28"/>
        </w:rPr>
      </w:pPr>
      <w:r w:rsidRPr="00970787">
        <w:rPr>
          <w:b/>
          <w:sz w:val="28"/>
          <w:szCs w:val="28"/>
        </w:rPr>
        <w:t>Terms of Reference</w:t>
      </w:r>
      <w:r>
        <w:rPr>
          <w:b/>
          <w:sz w:val="28"/>
          <w:szCs w:val="28"/>
        </w:rPr>
        <w:t xml:space="preserve"> </w:t>
      </w:r>
      <w:r w:rsidRPr="00970787">
        <w:rPr>
          <w:b/>
          <w:sz w:val="28"/>
          <w:szCs w:val="28"/>
        </w:rPr>
        <w:t>on</w:t>
      </w:r>
      <w:r>
        <w:rPr>
          <w:b/>
          <w:sz w:val="28"/>
          <w:szCs w:val="28"/>
        </w:rPr>
        <w:t xml:space="preserve"> </w:t>
      </w:r>
      <w:r w:rsidRPr="00970787">
        <w:rPr>
          <w:b/>
          <w:bCs/>
          <w:sz w:val="28"/>
          <w:szCs w:val="28"/>
        </w:rPr>
        <w:t>the Third Cycle</w:t>
      </w:r>
    </w:p>
    <w:p w14:paraId="201A3A32" w14:textId="77777777" w:rsidR="00B40521" w:rsidRPr="00970787" w:rsidRDefault="00B40521" w:rsidP="00B40521">
      <w:pPr>
        <w:rPr>
          <w:b/>
          <w:sz w:val="28"/>
          <w:szCs w:val="28"/>
        </w:rPr>
      </w:pPr>
    </w:p>
    <w:p w14:paraId="29375360" w14:textId="77777777" w:rsidR="00B40521" w:rsidRPr="00970787" w:rsidRDefault="00B40521" w:rsidP="00B40521">
      <w:pPr>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065"/>
      </w:tblGrid>
      <w:tr w:rsidR="00B40521" w:rsidRPr="00970787" w14:paraId="204799AE" w14:textId="77777777" w:rsidTr="00285903">
        <w:trPr>
          <w:trHeight w:val="428"/>
        </w:trPr>
        <w:tc>
          <w:tcPr>
            <w:tcW w:w="10065" w:type="dxa"/>
          </w:tcPr>
          <w:p w14:paraId="4A866117" w14:textId="77777777" w:rsidR="00B40521" w:rsidRPr="00970787" w:rsidRDefault="00B40521" w:rsidP="00285903">
            <w:pPr>
              <w:rPr>
                <w:b/>
              </w:rPr>
            </w:pPr>
            <w:r w:rsidRPr="00970787">
              <w:rPr>
                <w:rFonts w:eastAsia="MS Mincho"/>
                <w:b/>
              </w:rPr>
              <w:t>Ad-Hoc Working Group on the Third Cycle</w:t>
            </w:r>
          </w:p>
        </w:tc>
      </w:tr>
      <w:tr w:rsidR="00B40521" w:rsidRPr="00570078" w14:paraId="5A63804F" w14:textId="77777777" w:rsidTr="00285903">
        <w:trPr>
          <w:trHeight w:val="844"/>
        </w:trPr>
        <w:tc>
          <w:tcPr>
            <w:tcW w:w="10065" w:type="dxa"/>
          </w:tcPr>
          <w:p w14:paraId="75DF7862" w14:textId="77777777" w:rsidR="00B40521" w:rsidRPr="00970787" w:rsidRDefault="00B40521" w:rsidP="00285903">
            <w:r w:rsidRPr="00970787">
              <w:rPr>
                <w:b/>
              </w:rPr>
              <w:t xml:space="preserve">Contact persons </w:t>
            </w:r>
            <w:r w:rsidRPr="00970787">
              <w:t>(proposed Co-Chairs)</w:t>
            </w:r>
          </w:p>
          <w:p w14:paraId="191A2F15" w14:textId="77777777" w:rsidR="00B40521" w:rsidRPr="00E74D18" w:rsidRDefault="00B40521" w:rsidP="00285903">
            <w:r w:rsidRPr="00E74D18">
              <w:t>Nicola V</w:t>
            </w:r>
            <w:r>
              <w:t>ittorio</w:t>
            </w:r>
            <w:r w:rsidRPr="00E74D18">
              <w:t>-Italy (</w:t>
            </w:r>
            <w:hyperlink r:id="rId20" w:history="1">
              <w:r w:rsidRPr="00E74D18">
                <w:rPr>
                  <w:rStyle w:val="Hyperlink"/>
                </w:rPr>
                <w:t>nicola.vittorio@uniroma2.it</w:t>
              </w:r>
            </w:hyperlink>
            <w:r w:rsidRPr="00E74D18">
              <w:t xml:space="preserve">) </w:t>
            </w:r>
          </w:p>
          <w:p w14:paraId="1C8CE643" w14:textId="77777777" w:rsidR="00B40521" w:rsidRPr="00E2609B" w:rsidRDefault="00B40521" w:rsidP="00285903">
            <w:pPr>
              <w:rPr>
                <w:lang w:val="pl-PL"/>
              </w:rPr>
            </w:pPr>
            <w:r w:rsidRPr="00E2609B">
              <w:rPr>
                <w:lang w:val="pl-PL"/>
              </w:rPr>
              <w:t>Marzia Foroni-Italy (</w:t>
            </w:r>
            <w:hyperlink r:id="rId21" w:history="1">
              <w:r w:rsidRPr="00E2609B">
                <w:rPr>
                  <w:rStyle w:val="Hyperlink"/>
                  <w:lang w:val="pl-PL"/>
                </w:rPr>
                <w:t>marzia.foroni@miur.it</w:t>
              </w:r>
            </w:hyperlink>
            <w:r w:rsidRPr="00E2609B">
              <w:rPr>
                <w:lang w:val="pl-PL"/>
              </w:rPr>
              <w:t xml:space="preserve">) </w:t>
            </w:r>
          </w:p>
          <w:p w14:paraId="646A6391" w14:textId="77777777" w:rsidR="00B40521" w:rsidRPr="00970787" w:rsidRDefault="00B40521" w:rsidP="00285903">
            <w:pPr>
              <w:shd w:val="clear" w:color="auto" w:fill="FFFFFF"/>
              <w:rPr>
                <w:color w:val="000000" w:themeColor="text1"/>
                <w:lang w:val="it-IT"/>
              </w:rPr>
            </w:pPr>
            <w:r w:rsidRPr="00970787">
              <w:rPr>
                <w:color w:val="000000" w:themeColor="text1"/>
                <w:lang w:val="it-IT"/>
              </w:rPr>
              <w:t>Cezar Haj-Romania (</w:t>
            </w:r>
            <w:hyperlink r:id="rId22" w:history="1">
              <w:r w:rsidRPr="00970787">
                <w:rPr>
                  <w:rStyle w:val="Hyperlink"/>
                  <w:lang w:val="it-IT"/>
                </w:rPr>
                <w:t>cezar.haj@uefiscdi.ro</w:t>
              </w:r>
            </w:hyperlink>
            <w:r w:rsidRPr="00970787">
              <w:rPr>
                <w:color w:val="000000" w:themeColor="text1"/>
                <w:lang w:val="it-IT"/>
              </w:rPr>
              <w:t xml:space="preserve">) </w:t>
            </w:r>
          </w:p>
          <w:p w14:paraId="607A999A" w14:textId="77777777" w:rsidR="00B40521" w:rsidRPr="00970787" w:rsidRDefault="00B40521" w:rsidP="00285903">
            <w:pPr>
              <w:shd w:val="clear" w:color="auto" w:fill="FFFFFF"/>
              <w:rPr>
                <w:color w:val="000000" w:themeColor="text1"/>
                <w:lang w:val="it-IT"/>
              </w:rPr>
            </w:pPr>
            <w:r w:rsidRPr="00970787">
              <w:rPr>
                <w:color w:val="000000" w:themeColor="text1"/>
                <w:lang w:val="it-IT"/>
              </w:rPr>
              <w:t>Gloria Molero Martín-Portuguès-Spain (</w:t>
            </w:r>
            <w:hyperlink r:id="rId23" w:history="1">
              <w:r w:rsidRPr="00970787">
                <w:rPr>
                  <w:rStyle w:val="Hyperlink"/>
                  <w:lang w:val="it-IT"/>
                </w:rPr>
                <w:t>gloria.molero@mecd.es</w:t>
              </w:r>
            </w:hyperlink>
            <w:r w:rsidRPr="00970787">
              <w:rPr>
                <w:color w:val="000000" w:themeColor="text1"/>
                <w:lang w:val="it-IT"/>
              </w:rPr>
              <w:t xml:space="preserve">) </w:t>
            </w:r>
          </w:p>
        </w:tc>
      </w:tr>
      <w:tr w:rsidR="00B40521" w:rsidRPr="00970787" w14:paraId="3015309F" w14:textId="77777777" w:rsidTr="00285903">
        <w:trPr>
          <w:trHeight w:val="1084"/>
        </w:trPr>
        <w:tc>
          <w:tcPr>
            <w:tcW w:w="10065" w:type="dxa"/>
          </w:tcPr>
          <w:p w14:paraId="363E4EF6" w14:textId="77777777" w:rsidR="00B40521" w:rsidRPr="00970787" w:rsidRDefault="00B40521" w:rsidP="00285903">
            <w:pPr>
              <w:spacing w:after="120"/>
              <w:rPr>
                <w:b/>
              </w:rPr>
            </w:pPr>
            <w:r w:rsidRPr="00970787">
              <w:rPr>
                <w:b/>
              </w:rPr>
              <w:t>Composition</w:t>
            </w:r>
          </w:p>
          <w:p w14:paraId="0F67FB4D" w14:textId="77777777" w:rsidR="00B40521" w:rsidRPr="00970787" w:rsidRDefault="00B40521" w:rsidP="00285903">
            <w:r w:rsidRPr="00970787">
              <w:t>The following countries/organisations are members of the Ad-hoc WG:</w:t>
            </w:r>
          </w:p>
          <w:p w14:paraId="23207AD6" w14:textId="77777777" w:rsidR="00B40521" w:rsidRPr="00970787" w:rsidRDefault="00B40521" w:rsidP="00285903">
            <w:r w:rsidRPr="00970787">
              <w:t xml:space="preserve">Armenia, Austria, Belgium/Flemish Community, Belgium/French Community, Croatia, Czech Republic, Denmark, France, Germany, Holy See, Hungary, Ireland, Moldova, Poland, Ukraine, United Kingdom, EUA, EI, European Commission, EURODOC. </w:t>
            </w:r>
          </w:p>
        </w:tc>
      </w:tr>
      <w:tr w:rsidR="00B40521" w:rsidRPr="00970787" w14:paraId="3D6A2D22" w14:textId="77777777" w:rsidTr="00285903">
        <w:trPr>
          <w:trHeight w:val="844"/>
        </w:trPr>
        <w:tc>
          <w:tcPr>
            <w:tcW w:w="10065" w:type="dxa"/>
          </w:tcPr>
          <w:p w14:paraId="37F7052D" w14:textId="77777777" w:rsidR="00B40521" w:rsidRPr="00970787" w:rsidRDefault="00B40521" w:rsidP="00285903">
            <w:pPr>
              <w:spacing w:after="120"/>
              <w:rPr>
                <w:b/>
              </w:rPr>
            </w:pPr>
            <w:r w:rsidRPr="00970787">
              <w:rPr>
                <w:b/>
              </w:rPr>
              <w:t xml:space="preserve">Purpose and/or outcome </w:t>
            </w:r>
          </w:p>
          <w:p w14:paraId="1A8E58C8" w14:textId="77777777" w:rsidR="00B40521" w:rsidRPr="00970787" w:rsidRDefault="00B40521" w:rsidP="00285903">
            <w:pPr>
              <w:spacing w:after="120"/>
              <w:jc w:val="both"/>
            </w:pPr>
            <w:r w:rsidRPr="00970787">
              <w:t>Map the current implementation of the third cycle in the EHEA, in the light of the “Salzburg II recommendations” and the Principles for Innovative Doctoral Training ;</w:t>
            </w:r>
          </w:p>
          <w:p w14:paraId="61F0A46E" w14:textId="77777777" w:rsidR="00B40521" w:rsidRPr="00970787" w:rsidRDefault="00B40521" w:rsidP="00285903">
            <w:pPr>
              <w:spacing w:after="120"/>
              <w:jc w:val="both"/>
            </w:pPr>
            <w:r w:rsidRPr="00970787">
              <w:t>Formulate policy proposals to promote quality, transparency, employability and mobility in the third cycle, on the basis of the outcomes of the previous point and taking into account the developments foreseen within the ERA by Horizon 2020 and other EU initiatives.</w:t>
            </w:r>
          </w:p>
          <w:p w14:paraId="67E0FD81" w14:textId="77777777" w:rsidR="00B40521" w:rsidRPr="00970787" w:rsidRDefault="00B40521" w:rsidP="00285903">
            <w:pPr>
              <w:spacing w:after="120"/>
              <w:jc w:val="both"/>
              <w:rPr>
                <w:highlight w:val="yellow"/>
              </w:rPr>
            </w:pPr>
            <w:r w:rsidRPr="00970787">
              <w:t>Formulate policy proposals to improve the transition between the second and the third cycle, with the aim to  strengthen the link between education and research.</w:t>
            </w:r>
          </w:p>
        </w:tc>
      </w:tr>
      <w:tr w:rsidR="00B40521" w:rsidRPr="00970787" w14:paraId="18493789" w14:textId="77777777" w:rsidTr="00285903">
        <w:trPr>
          <w:trHeight w:val="383"/>
        </w:trPr>
        <w:tc>
          <w:tcPr>
            <w:tcW w:w="10065" w:type="dxa"/>
          </w:tcPr>
          <w:p w14:paraId="2D524114" w14:textId="77777777" w:rsidR="00B40521" w:rsidRPr="00970787" w:rsidRDefault="00B40521" w:rsidP="00285903">
            <w:pPr>
              <w:spacing w:after="120"/>
              <w:rPr>
                <w:b/>
              </w:rPr>
            </w:pPr>
            <w:r w:rsidRPr="00970787">
              <w:rPr>
                <w:b/>
              </w:rPr>
              <w:t xml:space="preserve">Reference to the Bucharest Communiqué  </w:t>
            </w:r>
          </w:p>
          <w:p w14:paraId="479759EE" w14:textId="77777777" w:rsidR="00B40521" w:rsidRPr="00970787" w:rsidRDefault="00B40521" w:rsidP="00285903">
            <w:pPr>
              <w:pStyle w:val="Default"/>
              <w:rPr>
                <w:rFonts w:ascii="Times New Roman" w:hAnsi="Times New Roman" w:cs="Times New Roman"/>
              </w:rPr>
            </w:pPr>
            <w:r w:rsidRPr="00970787">
              <w:rPr>
                <w:rFonts w:ascii="Times New Roman" w:hAnsi="Times New Roman" w:cs="Times New Roman"/>
              </w:rPr>
              <w:t>“</w:t>
            </w:r>
            <w:r w:rsidRPr="00970787">
              <w:rPr>
                <w:rFonts w:ascii="Times New Roman" w:hAnsi="Times New Roman" w:cs="Times New Roman"/>
                <w:b/>
              </w:rPr>
              <w:t>Enhancing employability to serve Europe’s needs</w:t>
            </w:r>
            <w:r w:rsidRPr="00970787">
              <w:rPr>
                <w:rFonts w:ascii="Times New Roman" w:hAnsi="Times New Roman" w:cs="Times New Roman"/>
              </w:rPr>
              <w:t>”</w:t>
            </w:r>
          </w:p>
          <w:p w14:paraId="1461EC1C" w14:textId="77777777" w:rsidR="00B40521" w:rsidRPr="00970787" w:rsidRDefault="00B40521" w:rsidP="00B40521">
            <w:pPr>
              <w:pStyle w:val="Default"/>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New Roman" w:hAnsi="Times New Roman" w:cs="Times New Roman"/>
                <w:color w:val="auto"/>
              </w:rPr>
            </w:pPr>
            <w:r w:rsidRPr="00970787">
              <w:rPr>
                <w:rFonts w:ascii="Times New Roman" w:hAnsi="Times New Roman" w:cs="Times New Roman"/>
                <w:iCs/>
                <w:color w:val="auto"/>
              </w:rPr>
              <w:t>In this respect, we will sustain a diversity of doctoral programs. Taking into account the “Salzburg II recommendations” and the Principles for Innovative Doctoral Training, we will explore how to promote quality, transparency, employability and mobility in the third cycle, as the education and training of doctoral candidates has a particular role in bridging the EHEA and the European Research Area (ERA);</w:t>
            </w:r>
          </w:p>
          <w:p w14:paraId="0BABB030" w14:textId="77777777" w:rsidR="00B40521" w:rsidRPr="00970787" w:rsidRDefault="00B40521" w:rsidP="00B40521">
            <w:pPr>
              <w:pStyle w:val="Default"/>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New Roman" w:hAnsi="Times New Roman" w:cs="Times New Roman"/>
                <w:color w:val="auto"/>
              </w:rPr>
            </w:pPr>
            <w:r w:rsidRPr="00970787">
              <w:rPr>
                <w:rFonts w:ascii="Times New Roman" w:hAnsi="Times New Roman" w:cs="Times New Roman"/>
                <w:color w:val="auto"/>
              </w:rPr>
              <w:t>Next to doctoral training, high quality second cycle programs are a necessary precondition for the success of linking teaching, learning and research. Keeping wide diversity and simultaneously increasing readability, we might also explore further possible common principles for master programs in the EHEA, taking account of previous work.</w:t>
            </w:r>
          </w:p>
          <w:p w14:paraId="5492D5E3" w14:textId="77777777" w:rsidR="00B40521" w:rsidRPr="00970787" w:rsidRDefault="00B40521" w:rsidP="00285903">
            <w:pPr>
              <w:pStyle w:val="Default"/>
              <w:rPr>
                <w:rFonts w:ascii="Times New Roman" w:hAnsi="Times New Roman" w:cs="Times New Roman"/>
                <w:b/>
                <w:color w:val="auto"/>
              </w:rPr>
            </w:pPr>
            <w:r w:rsidRPr="00970787">
              <w:rPr>
                <w:rFonts w:ascii="Times New Roman" w:hAnsi="Times New Roman" w:cs="Times New Roman"/>
                <w:b/>
                <w:color w:val="auto"/>
              </w:rPr>
              <w:t>“Strengthening mobility for better learning”</w:t>
            </w:r>
          </w:p>
          <w:p w14:paraId="20244500" w14:textId="77777777" w:rsidR="00B40521" w:rsidRPr="00970787" w:rsidRDefault="00B40521" w:rsidP="00B40521">
            <w:pPr>
              <w:pStyle w:val="Default"/>
              <w:numPr>
                <w:ilvl w:val="0"/>
                <w:numId w:val="13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New Roman" w:hAnsi="Times New Roman" w:cs="Times New Roman"/>
                <w:color w:val="auto"/>
              </w:rPr>
            </w:pPr>
            <w:r w:rsidRPr="00970787">
              <w:rPr>
                <w:rFonts w:ascii="Times New Roman" w:hAnsi="Times New Roman" w:cs="Times New Roman"/>
                <w:color w:val="auto"/>
              </w:rPr>
              <w:t>We are determined to remove outstanding obstacles hindering effective and proper recognition and are willing to work together towards the automatic recognition of comparable academic degrees, building on the tools of the Bologna framework, as a long-term goal of the EHEA.</w:t>
            </w:r>
          </w:p>
          <w:p w14:paraId="2A77DB2E" w14:textId="77777777" w:rsidR="00B40521" w:rsidRPr="00970787" w:rsidRDefault="00B40521" w:rsidP="00285903">
            <w:pPr>
              <w:pStyle w:val="Default"/>
              <w:rPr>
                <w:rFonts w:ascii="Times New Roman" w:hAnsi="Times New Roman" w:cs="Times New Roman"/>
                <w:b/>
                <w:color w:val="auto"/>
              </w:rPr>
            </w:pPr>
            <w:r w:rsidRPr="00970787">
              <w:rPr>
                <w:rFonts w:ascii="Times New Roman" w:hAnsi="Times New Roman" w:cs="Times New Roman"/>
                <w:b/>
                <w:color w:val="auto"/>
              </w:rPr>
              <w:t>“Setting out priorities for 2012–2015”</w:t>
            </w:r>
          </w:p>
          <w:p w14:paraId="532046CE" w14:textId="77777777" w:rsidR="00B40521" w:rsidRPr="00970787" w:rsidRDefault="00B40521" w:rsidP="00B40521">
            <w:pPr>
              <w:pStyle w:val="Default"/>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New Roman" w:hAnsi="Times New Roman" w:cs="Times New Roman"/>
                <w:color w:val="auto"/>
              </w:rPr>
            </w:pPr>
            <w:r w:rsidRPr="00970787">
              <w:rPr>
                <w:rFonts w:ascii="Times New Roman" w:hAnsi="Times New Roman" w:cs="Times New Roman"/>
                <w:color w:val="auto"/>
              </w:rPr>
              <w:lastRenderedPageBreak/>
              <w:t>Promote quality, transparency, employability and mobility in the third cycle, while also building additional bridges between the EHEA and the ERA.</w:t>
            </w:r>
          </w:p>
        </w:tc>
      </w:tr>
      <w:tr w:rsidR="00B40521" w:rsidRPr="00970787" w14:paraId="5833992D" w14:textId="77777777" w:rsidTr="00285903">
        <w:trPr>
          <w:trHeight w:val="1374"/>
        </w:trPr>
        <w:tc>
          <w:tcPr>
            <w:tcW w:w="10065" w:type="dxa"/>
          </w:tcPr>
          <w:p w14:paraId="4BE44F6C" w14:textId="77777777" w:rsidR="00B40521" w:rsidRPr="00970787" w:rsidRDefault="00B40521" w:rsidP="00285903">
            <w:pPr>
              <w:rPr>
                <w:b/>
              </w:rPr>
            </w:pPr>
            <w:r w:rsidRPr="00970787">
              <w:rPr>
                <w:b/>
              </w:rPr>
              <w:lastRenderedPageBreak/>
              <w:t>Specific tasks</w:t>
            </w:r>
          </w:p>
          <w:p w14:paraId="10C7B51C"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 xml:space="preserve">In cooperation with EUA and the European Commission, analyse the current state of doctoral studies in EHEA countries, taking account of the two reference documents </w:t>
            </w:r>
            <w:r w:rsidRPr="00970787">
              <w:t>–</w:t>
            </w:r>
            <w:r w:rsidRPr="00970787">
              <w:t xml:space="preserve"> the Salzburg II Recommendations and the Principles for Innovative Doctoral Training. </w:t>
            </w:r>
          </w:p>
          <w:p w14:paraId="587BA29A"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Starting from the information provided by the existing National Qualifications Frameworks, map: i) the diverse kind of third cycle degrees offered by HEIs and possible pathways connecting them; ii) different types of doctoral programs in order to formulate  policy proposals to improve existing models and instruments.</w:t>
            </w:r>
          </w:p>
          <w:p w14:paraId="1A19C6F6"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Explore and make proposals  for strengthening  the link between the second cycle and third cycle in order to facilitate progression, the development of research competencies and timely recruitment to doctoral programs.</w:t>
            </w:r>
          </w:p>
          <w:p w14:paraId="69F29D1D"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Explore and make proposals concerning  quality and quality assurance procedures in Doctoral training, in cooperation with relevant stakeholders.</w:t>
            </w:r>
          </w:p>
          <w:p w14:paraId="1B8241E5"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Formulate policy proposals to increase the use of existing transparency tools for third cycle degrees, based on existing good practices in the field, and explore new instruments to increase transparency of third cycle degrees.</w:t>
            </w:r>
          </w:p>
          <w:p w14:paraId="6F26B84B"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Examine third cycle degrees with the view to identify , with a specific focus on Doctoral studies</w:t>
            </w:r>
            <w:r w:rsidRPr="00970787">
              <w:rPr>
                <w:rStyle w:val="FootnoteReference"/>
              </w:rPr>
              <w:footnoteReference w:id="46"/>
            </w:r>
            <w:r w:rsidRPr="00970787">
              <w:t>,  the barriers and incentives to international mobility and define policy proposals for improvement.</w:t>
            </w:r>
          </w:p>
          <w:p w14:paraId="3B7907BD"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pPr>
            <w:r w:rsidRPr="00970787">
              <w:t>Analyse the results achieved by the different profiles of third cycle degrees offered, with a specific focus on Doctoral Degrees</w:t>
            </w:r>
            <w:r w:rsidRPr="00970787">
              <w:rPr>
                <w:rStyle w:val="FootnoteReference"/>
              </w:rPr>
              <w:footnoteReference w:id="47"/>
            </w:r>
            <w:r w:rsidRPr="00970787">
              <w:t>, and define policy proposals to improve their employability.</w:t>
            </w:r>
          </w:p>
          <w:p w14:paraId="2D2AA61E" w14:textId="77777777" w:rsidR="00B40521" w:rsidRPr="00970787" w:rsidRDefault="00B40521" w:rsidP="00B40521">
            <w:pPr>
              <w:pStyle w:val="ListParagraph"/>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contextualSpacing/>
              <w:jc w:val="left"/>
              <w:rPr>
                <w:b/>
              </w:rPr>
            </w:pPr>
            <w:r w:rsidRPr="00970787">
              <w:t>Make other policy proposals related to the third cycle, as appropriate, such as sustainable funding for third cycle education or candidate recruitment practices.</w:t>
            </w:r>
          </w:p>
        </w:tc>
      </w:tr>
      <w:tr w:rsidR="00B40521" w:rsidRPr="00970787" w14:paraId="71F4B571" w14:textId="77777777" w:rsidTr="00285903">
        <w:trPr>
          <w:trHeight w:val="793"/>
        </w:trPr>
        <w:tc>
          <w:tcPr>
            <w:tcW w:w="10065" w:type="dxa"/>
          </w:tcPr>
          <w:p w14:paraId="4E8829BD" w14:textId="77777777" w:rsidR="00B40521" w:rsidRPr="00970787" w:rsidRDefault="00B40521" w:rsidP="00285903">
            <w:pPr>
              <w:spacing w:after="120"/>
              <w:jc w:val="both"/>
              <w:rPr>
                <w:b/>
              </w:rPr>
            </w:pPr>
            <w:r w:rsidRPr="00970787">
              <w:rPr>
                <w:b/>
              </w:rPr>
              <w:t xml:space="preserve">Reporting </w:t>
            </w:r>
          </w:p>
          <w:p w14:paraId="58B6220F" w14:textId="77777777" w:rsidR="00B40521" w:rsidRPr="00970787" w:rsidRDefault="00B40521" w:rsidP="00285903">
            <w:pPr>
              <w:jc w:val="both"/>
            </w:pPr>
            <w:r w:rsidRPr="00970787">
              <w:rPr>
                <w:u w:val="single"/>
              </w:rPr>
              <w:t>Minutes</w:t>
            </w:r>
            <w:r w:rsidRPr="00970787">
              <w:t xml:space="preserve"> of working group meetings will be made available to the WG “Structural Reforms” and to the BFUG on the protected part of the website (by the Bologna Secretariat).</w:t>
            </w:r>
          </w:p>
          <w:p w14:paraId="5E457097" w14:textId="77777777" w:rsidR="00B40521" w:rsidRPr="00970787" w:rsidRDefault="00B40521" w:rsidP="00285903">
            <w:pPr>
              <w:jc w:val="both"/>
            </w:pPr>
          </w:p>
          <w:p w14:paraId="28FD3436" w14:textId="77777777" w:rsidR="00B40521" w:rsidRPr="00970787" w:rsidRDefault="00B40521" w:rsidP="00285903">
            <w:pPr>
              <w:jc w:val="both"/>
              <w:rPr>
                <w:u w:val="single"/>
              </w:rPr>
            </w:pPr>
            <w:r w:rsidRPr="00970787">
              <w:rPr>
                <w:u w:val="single"/>
              </w:rPr>
              <w:t>Reporting to the WG “Structural Reforms”</w:t>
            </w:r>
          </w:p>
          <w:p w14:paraId="14C8CFEA" w14:textId="77777777" w:rsidR="00B40521" w:rsidRPr="00970787" w:rsidRDefault="00B40521" w:rsidP="00285903">
            <w:pPr>
              <w:jc w:val="both"/>
            </w:pPr>
            <w:r w:rsidRPr="00970787">
              <w:t>Besides minutes, the Co –Chairs of the WG “</w:t>
            </w:r>
            <w:r w:rsidRPr="00970787">
              <w:rPr>
                <w:u w:val="single"/>
              </w:rPr>
              <w:t>Structural Reforms</w:t>
            </w:r>
            <w:r w:rsidRPr="00970787">
              <w:t>” will receive all the working documents of the sub – structure. One of the Co – Chairs will ensure his/her participation to the  “</w:t>
            </w:r>
            <w:r w:rsidRPr="00970787">
              <w:rPr>
                <w:u w:val="single"/>
              </w:rPr>
              <w:t>Structural Reforms</w:t>
            </w:r>
            <w:r w:rsidRPr="00970787">
              <w:t>” WG Co-chairs meeting as appropriate.</w:t>
            </w:r>
          </w:p>
          <w:p w14:paraId="76DD04BE" w14:textId="77777777" w:rsidR="00B40521" w:rsidRPr="00970787" w:rsidRDefault="00B40521" w:rsidP="00285903">
            <w:pPr>
              <w:jc w:val="both"/>
            </w:pPr>
          </w:p>
          <w:p w14:paraId="180BEAD5" w14:textId="77777777" w:rsidR="00B40521" w:rsidRPr="00970787" w:rsidRDefault="00B40521" w:rsidP="00285903">
            <w:pPr>
              <w:jc w:val="both"/>
            </w:pPr>
            <w:r w:rsidRPr="00970787">
              <w:rPr>
                <w:u w:val="single"/>
              </w:rPr>
              <w:t>BFUG reports and updates</w:t>
            </w:r>
            <w:r w:rsidRPr="00970787">
              <w:t xml:space="preserve">. </w:t>
            </w:r>
          </w:p>
          <w:p w14:paraId="1C3C9FF5" w14:textId="77777777" w:rsidR="00B40521" w:rsidRPr="00970787" w:rsidRDefault="00B40521" w:rsidP="00285903">
            <w:pPr>
              <w:jc w:val="both"/>
            </w:pPr>
            <w:r w:rsidRPr="00970787">
              <w:t>To allow for good communication with BFUG as a whole and for the necessary consultations, the sub – structure will contribute to the progress reports of the WG “</w:t>
            </w:r>
            <w:r w:rsidRPr="00970787">
              <w:rPr>
                <w:u w:val="single"/>
              </w:rPr>
              <w:t>Structural Reforms</w:t>
            </w:r>
            <w:r w:rsidRPr="00970787">
              <w:t xml:space="preserve">” and will submit at least two weeks before BFUG meeting any document for approval.  </w:t>
            </w:r>
          </w:p>
          <w:p w14:paraId="5CD144C8" w14:textId="77777777" w:rsidR="00B40521" w:rsidRPr="00970787" w:rsidRDefault="00B40521" w:rsidP="00285903"/>
          <w:p w14:paraId="63489122" w14:textId="77777777" w:rsidR="00B40521" w:rsidRPr="00970787" w:rsidRDefault="00B40521" w:rsidP="00285903">
            <w:pPr>
              <w:rPr>
                <w:b/>
              </w:rPr>
            </w:pPr>
            <w:r w:rsidRPr="00970787">
              <w:rPr>
                <w:b/>
              </w:rPr>
              <w:t xml:space="preserve">The draft final report/conclusions will be presented and discussed no later than the BFUG </w:t>
            </w:r>
            <w:r w:rsidRPr="00970787">
              <w:rPr>
                <w:b/>
              </w:rPr>
              <w:lastRenderedPageBreak/>
              <w:t>meeting in the first half of 2014.</w:t>
            </w:r>
          </w:p>
        </w:tc>
      </w:tr>
      <w:tr w:rsidR="00B40521" w:rsidRPr="00970787" w14:paraId="00EF08B6" w14:textId="77777777" w:rsidTr="00285903">
        <w:trPr>
          <w:trHeight w:val="1339"/>
        </w:trPr>
        <w:tc>
          <w:tcPr>
            <w:tcW w:w="10065" w:type="dxa"/>
          </w:tcPr>
          <w:p w14:paraId="53E1A610" w14:textId="77777777" w:rsidR="00B40521" w:rsidRPr="00970787" w:rsidRDefault="00B40521" w:rsidP="00285903">
            <w:pPr>
              <w:spacing w:after="120"/>
            </w:pPr>
            <w:r w:rsidRPr="00970787">
              <w:rPr>
                <w:b/>
              </w:rPr>
              <w:lastRenderedPageBreak/>
              <w:t xml:space="preserve">Meeting schedule:  </w:t>
            </w:r>
          </w:p>
          <w:p w14:paraId="12AC90F4" w14:textId="77777777" w:rsidR="00B40521" w:rsidRPr="00970787" w:rsidRDefault="00B40521" w:rsidP="00285903">
            <w:r w:rsidRPr="00970787">
              <w:t>The sub – structure of the WG should meet at least 4 times:</w:t>
            </w:r>
          </w:p>
          <w:p w14:paraId="01418BA7" w14:textId="77777777" w:rsidR="00B40521" w:rsidRPr="00970787" w:rsidRDefault="00B40521" w:rsidP="00B40521">
            <w:pPr>
              <w:numPr>
                <w:ilvl w:val="0"/>
                <w:numId w:val="130"/>
              </w:numPr>
              <w:pBdr>
                <w:top w:val="none" w:sz="0" w:space="0" w:color="auto"/>
                <w:left w:val="none" w:sz="0" w:space="0" w:color="auto"/>
                <w:bottom w:val="none" w:sz="0" w:space="0" w:color="auto"/>
                <w:right w:val="none" w:sz="0" w:space="0" w:color="auto"/>
                <w:between w:val="none" w:sz="0" w:space="0" w:color="auto"/>
                <w:bar w:val="none" w:sz="0" w:color="auto"/>
              </w:pBdr>
            </w:pPr>
            <w:r w:rsidRPr="00970787">
              <w:t>10</w:t>
            </w:r>
            <w:r w:rsidRPr="00970787">
              <w:rPr>
                <w:vertAlign w:val="superscript"/>
              </w:rPr>
              <w:t>th</w:t>
            </w:r>
            <w:r w:rsidRPr="00970787">
              <w:t xml:space="preserve"> and 11</w:t>
            </w:r>
            <w:r w:rsidRPr="00970787">
              <w:rPr>
                <w:vertAlign w:val="superscript"/>
              </w:rPr>
              <w:t>th</w:t>
            </w:r>
            <w:r w:rsidRPr="00970787">
              <w:t xml:space="preserve"> December 2012, Rome;</w:t>
            </w:r>
          </w:p>
          <w:p w14:paraId="4A97432F" w14:textId="77777777" w:rsidR="00B40521" w:rsidRPr="00970787" w:rsidRDefault="00B40521" w:rsidP="00B40521">
            <w:pPr>
              <w:numPr>
                <w:ilvl w:val="0"/>
                <w:numId w:val="130"/>
              </w:numPr>
              <w:pBdr>
                <w:top w:val="none" w:sz="0" w:space="0" w:color="auto"/>
                <w:left w:val="none" w:sz="0" w:space="0" w:color="auto"/>
                <w:bottom w:val="none" w:sz="0" w:space="0" w:color="auto"/>
                <w:right w:val="none" w:sz="0" w:space="0" w:color="auto"/>
                <w:between w:val="none" w:sz="0" w:space="0" w:color="auto"/>
                <w:bar w:val="none" w:sz="0" w:color="auto"/>
              </w:pBdr>
            </w:pPr>
            <w:r w:rsidRPr="00970787">
              <w:t>30</w:t>
            </w:r>
            <w:r w:rsidRPr="00970787">
              <w:rPr>
                <w:vertAlign w:val="superscript"/>
              </w:rPr>
              <w:t>th</w:t>
            </w:r>
            <w:r w:rsidRPr="00970787">
              <w:t xml:space="preserve"> – 31</w:t>
            </w:r>
            <w:r w:rsidRPr="00970787">
              <w:rPr>
                <w:vertAlign w:val="superscript"/>
              </w:rPr>
              <w:t>st</w:t>
            </w:r>
            <w:r w:rsidRPr="00970787">
              <w:t xml:space="preserve"> May 2013, Bucharest;</w:t>
            </w:r>
          </w:p>
          <w:p w14:paraId="27F940C9" w14:textId="77777777" w:rsidR="00B40521" w:rsidRPr="00970787" w:rsidRDefault="00B40521" w:rsidP="00B40521">
            <w:pPr>
              <w:numPr>
                <w:ilvl w:val="0"/>
                <w:numId w:val="130"/>
              </w:numPr>
              <w:pBdr>
                <w:top w:val="none" w:sz="0" w:space="0" w:color="auto"/>
                <w:left w:val="none" w:sz="0" w:space="0" w:color="auto"/>
                <w:bottom w:val="none" w:sz="0" w:space="0" w:color="auto"/>
                <w:right w:val="none" w:sz="0" w:space="0" w:color="auto"/>
                <w:between w:val="none" w:sz="0" w:space="0" w:color="auto"/>
                <w:bar w:val="none" w:sz="0" w:color="auto"/>
              </w:pBdr>
            </w:pPr>
            <w:r w:rsidRPr="00970787">
              <w:t>22</w:t>
            </w:r>
            <w:r w:rsidRPr="00970787">
              <w:rPr>
                <w:vertAlign w:val="superscript"/>
              </w:rPr>
              <w:t>nd</w:t>
            </w:r>
            <w:r w:rsidRPr="00970787">
              <w:t xml:space="preserve"> – 23</w:t>
            </w:r>
            <w:r w:rsidRPr="00970787">
              <w:rPr>
                <w:vertAlign w:val="superscript"/>
              </w:rPr>
              <w:t>rd</w:t>
            </w:r>
            <w:r w:rsidRPr="00970787">
              <w:t xml:space="preserve"> October 2013, Madrid;</w:t>
            </w:r>
          </w:p>
          <w:p w14:paraId="203734BD" w14:textId="77777777" w:rsidR="00B40521" w:rsidRPr="00970787" w:rsidRDefault="00B40521" w:rsidP="00B40521">
            <w:pPr>
              <w:numPr>
                <w:ilvl w:val="0"/>
                <w:numId w:val="130"/>
              </w:numPr>
              <w:pBdr>
                <w:top w:val="none" w:sz="0" w:space="0" w:color="auto"/>
                <w:left w:val="none" w:sz="0" w:space="0" w:color="auto"/>
                <w:bottom w:val="none" w:sz="0" w:space="0" w:color="auto"/>
                <w:right w:val="none" w:sz="0" w:space="0" w:color="auto"/>
                <w:between w:val="none" w:sz="0" w:space="0" w:color="auto"/>
                <w:bar w:val="none" w:sz="0" w:color="auto"/>
              </w:pBdr>
            </w:pPr>
            <w:r w:rsidRPr="00970787">
              <w:t>February 2014, Italy.</w:t>
            </w:r>
          </w:p>
        </w:tc>
      </w:tr>
      <w:tr w:rsidR="00B40521" w:rsidRPr="00970787" w14:paraId="623C04A0" w14:textId="77777777" w:rsidTr="00285903">
        <w:trPr>
          <w:trHeight w:val="1084"/>
        </w:trPr>
        <w:tc>
          <w:tcPr>
            <w:tcW w:w="10065" w:type="dxa"/>
          </w:tcPr>
          <w:p w14:paraId="6D2DDD9F" w14:textId="77777777" w:rsidR="00B40521" w:rsidRPr="00970787" w:rsidRDefault="00B40521" w:rsidP="00285903">
            <w:pPr>
              <w:spacing w:after="120"/>
              <w:rPr>
                <w:b/>
              </w:rPr>
            </w:pPr>
            <w:r w:rsidRPr="00970787">
              <w:rPr>
                <w:b/>
              </w:rPr>
              <w:t>Liaison with  other  WGs’ and networks’ activities</w:t>
            </w:r>
          </w:p>
          <w:p w14:paraId="139BFCC0" w14:textId="77777777" w:rsidR="00B40521" w:rsidRPr="00970787" w:rsidRDefault="00B40521" w:rsidP="00285903">
            <w:pPr>
              <w:spacing w:after="120"/>
            </w:pPr>
            <w:r w:rsidRPr="00970787">
              <w:t>Liaisons will mainly be ensured by the WG  on “</w:t>
            </w:r>
            <w:r w:rsidRPr="00970787">
              <w:rPr>
                <w:u w:val="single"/>
              </w:rPr>
              <w:t>Structural Reforms</w:t>
            </w:r>
            <w:r w:rsidRPr="00970787">
              <w:t>”.   Certainly be in touch with Implementation WG and seek connections with other working groups when appropriate.</w:t>
            </w:r>
          </w:p>
        </w:tc>
      </w:tr>
      <w:tr w:rsidR="00B40521" w:rsidRPr="00970787" w14:paraId="11DA241D" w14:textId="77777777" w:rsidTr="00285903">
        <w:trPr>
          <w:trHeight w:val="844"/>
        </w:trPr>
        <w:tc>
          <w:tcPr>
            <w:tcW w:w="10065" w:type="dxa"/>
          </w:tcPr>
          <w:p w14:paraId="338A54C7" w14:textId="77777777" w:rsidR="00B40521" w:rsidRPr="00970787" w:rsidRDefault="00B40521" w:rsidP="00285903">
            <w:pPr>
              <w:spacing w:after="120"/>
            </w:pPr>
            <w:r w:rsidRPr="00970787">
              <w:rPr>
                <w:b/>
              </w:rPr>
              <w:t>Additional remarks</w:t>
            </w:r>
          </w:p>
          <w:p w14:paraId="5CE32A49" w14:textId="77777777" w:rsidR="00B40521" w:rsidRPr="00970787" w:rsidRDefault="00B40521" w:rsidP="00285903">
            <w:pPr>
              <w:spacing w:after="120"/>
            </w:pPr>
          </w:p>
        </w:tc>
      </w:tr>
    </w:tbl>
    <w:p w14:paraId="78A82E18" w14:textId="77777777" w:rsidR="00B40521" w:rsidRPr="00970787" w:rsidRDefault="00B40521" w:rsidP="00B40521"/>
    <w:p w14:paraId="66FD4C72" w14:textId="77777777" w:rsidR="00B40521" w:rsidRDefault="00B40521" w:rsidP="00B40521"/>
    <w:p w14:paraId="1E6AA9D4" w14:textId="77777777" w:rsidR="00B40521" w:rsidRDefault="00B40521" w:rsidP="00B40521"/>
    <w:p w14:paraId="7D01D984" w14:textId="77777777" w:rsidR="00B40521" w:rsidRDefault="00B40521" w:rsidP="00B40521"/>
    <w:p w14:paraId="4B02A34D" w14:textId="77777777" w:rsidR="00B40521" w:rsidRDefault="00B40521" w:rsidP="00B40521"/>
    <w:p w14:paraId="3F3F8EAC" w14:textId="77777777" w:rsidR="00B40521" w:rsidRDefault="00B40521" w:rsidP="00B40521"/>
    <w:p w14:paraId="04514430" w14:textId="77777777" w:rsidR="00B40521" w:rsidRDefault="00B40521" w:rsidP="00B40521"/>
    <w:p w14:paraId="3CB1A7E6" w14:textId="77777777" w:rsidR="00B40521" w:rsidRDefault="00B40521" w:rsidP="00B40521"/>
    <w:p w14:paraId="068300D1" w14:textId="77777777" w:rsidR="00B40521" w:rsidRDefault="00B40521" w:rsidP="00B40521"/>
    <w:p w14:paraId="6AC318BB" w14:textId="77777777" w:rsidR="00B40521" w:rsidRDefault="00B40521" w:rsidP="00B40521"/>
    <w:p w14:paraId="5998B0B9" w14:textId="77777777" w:rsidR="00B40521" w:rsidRDefault="00B40521" w:rsidP="00B40521"/>
    <w:p w14:paraId="51C08D89" w14:textId="77777777" w:rsidR="00B40521" w:rsidRDefault="00B40521" w:rsidP="00B40521"/>
    <w:p w14:paraId="6302A2EC" w14:textId="77777777" w:rsidR="00B40521" w:rsidRDefault="00B40521" w:rsidP="00B40521"/>
    <w:p w14:paraId="773135FC" w14:textId="77777777" w:rsidR="00B40521" w:rsidRDefault="00B40521" w:rsidP="00B40521"/>
    <w:p w14:paraId="35F10739" w14:textId="77777777" w:rsidR="00B40521" w:rsidRDefault="00B40521" w:rsidP="00B40521"/>
    <w:p w14:paraId="7AAEE727" w14:textId="77777777" w:rsidR="00B40521" w:rsidRDefault="00B40521" w:rsidP="00B40521"/>
    <w:p w14:paraId="22E6AE05" w14:textId="77777777" w:rsidR="00B40521" w:rsidRDefault="00B40521" w:rsidP="00B40521"/>
    <w:p w14:paraId="06AEAA32" w14:textId="77777777" w:rsidR="00B40521" w:rsidRDefault="00B40521" w:rsidP="00B40521"/>
    <w:p w14:paraId="75C3F25D" w14:textId="77777777" w:rsidR="00B40521" w:rsidRDefault="00B40521" w:rsidP="00B40521"/>
    <w:p w14:paraId="7935CE72" w14:textId="77777777" w:rsidR="00B40521" w:rsidRDefault="00B40521" w:rsidP="00B40521"/>
    <w:p w14:paraId="203DE493" w14:textId="77777777" w:rsidR="00B40521" w:rsidRDefault="00B40521" w:rsidP="00B40521"/>
    <w:p w14:paraId="0176AA4E" w14:textId="77777777" w:rsidR="00B40521" w:rsidRDefault="00B40521" w:rsidP="00B40521"/>
    <w:p w14:paraId="40703014" w14:textId="77777777" w:rsidR="00B40521" w:rsidRDefault="00B40521" w:rsidP="00B40521"/>
    <w:p w14:paraId="2AF13C85" w14:textId="77777777" w:rsidR="00B40521" w:rsidRDefault="00B40521" w:rsidP="00B40521"/>
    <w:p w14:paraId="03AB83AD" w14:textId="77777777" w:rsidR="00B40521" w:rsidRDefault="00B40521" w:rsidP="00B40521"/>
    <w:p w14:paraId="65E730A7" w14:textId="77777777" w:rsidR="00B40521" w:rsidRDefault="00B40521" w:rsidP="00B40521"/>
    <w:p w14:paraId="71426855" w14:textId="77777777" w:rsidR="00B40521" w:rsidRDefault="00B40521" w:rsidP="00B40521"/>
    <w:tbl>
      <w:tblPr>
        <w:tblW w:w="9639" w:type="dxa"/>
        <w:tblInd w:w="-1134" w:type="dxa"/>
        <w:tblLayout w:type="fixed"/>
        <w:tblCellMar>
          <w:left w:w="0" w:type="dxa"/>
          <w:right w:w="0" w:type="dxa"/>
        </w:tblCellMar>
        <w:tblLook w:val="0000" w:firstRow="0" w:lastRow="0" w:firstColumn="0" w:lastColumn="0" w:noHBand="0" w:noVBand="0"/>
      </w:tblPr>
      <w:tblGrid>
        <w:gridCol w:w="20"/>
        <w:gridCol w:w="9619"/>
      </w:tblGrid>
      <w:tr w:rsidR="00B40521" w:rsidRPr="00C74CFF" w14:paraId="1EB70244" w14:textId="77777777" w:rsidTr="00285903">
        <w:trPr>
          <w:trHeight w:val="100"/>
        </w:trPr>
        <w:tc>
          <w:tcPr>
            <w:tcW w:w="20" w:type="dxa"/>
            <w:tcBorders>
              <w:top w:val="nil"/>
              <w:left w:val="nil"/>
              <w:bottom w:val="nil"/>
              <w:right w:val="nil"/>
            </w:tcBorders>
          </w:tcPr>
          <w:p w14:paraId="1BA973C6" w14:textId="77777777" w:rsidR="00B40521" w:rsidRPr="009422BB" w:rsidRDefault="00B40521" w:rsidP="00285903">
            <w:pPr>
              <w:pStyle w:val="ZCom"/>
              <w:rPr>
                <w:rFonts w:ascii="Times New Roman" w:hAnsi="Times New Roman" w:cs="Times New Roman"/>
              </w:rPr>
            </w:pPr>
          </w:p>
        </w:tc>
        <w:tc>
          <w:tcPr>
            <w:tcW w:w="9619" w:type="dxa"/>
            <w:tcBorders>
              <w:top w:val="nil"/>
              <w:left w:val="nil"/>
              <w:bottom w:val="nil"/>
              <w:right w:val="nil"/>
            </w:tcBorders>
          </w:tcPr>
          <w:p w14:paraId="4ECB462D" w14:textId="77777777" w:rsidR="00B40521" w:rsidRPr="009422BB" w:rsidRDefault="00B40521" w:rsidP="00285903">
            <w:pPr>
              <w:pStyle w:val="ZDGName"/>
              <w:rPr>
                <w:rFonts w:ascii="Times New Roman" w:hAnsi="Times New Roman" w:cs="Times New Roman"/>
                <w:sz w:val="24"/>
                <w:szCs w:val="24"/>
              </w:rPr>
            </w:pPr>
          </w:p>
          <w:p w14:paraId="674FFE9E" w14:textId="77777777" w:rsidR="00B40521" w:rsidRPr="009422BB" w:rsidRDefault="00B40521" w:rsidP="00285903">
            <w:pPr>
              <w:rPr>
                <w:lang w:val="en-GB" w:eastAsia="en-GB"/>
              </w:rPr>
            </w:pPr>
          </w:p>
          <w:p w14:paraId="02E7DE2D" w14:textId="77777777" w:rsidR="00B40521" w:rsidRDefault="00B40521" w:rsidP="00285903">
            <w:pPr>
              <w:ind w:left="263"/>
              <w:rPr>
                <w:b/>
                <w:lang w:val="en-GB" w:eastAsia="en-GB"/>
              </w:rPr>
            </w:pPr>
          </w:p>
          <w:p w14:paraId="1443119B" w14:textId="77777777" w:rsidR="00B40521" w:rsidRDefault="00B40521" w:rsidP="00285903">
            <w:pPr>
              <w:ind w:left="263"/>
              <w:rPr>
                <w:b/>
                <w:lang w:val="en-GB" w:eastAsia="en-GB"/>
              </w:rPr>
            </w:pPr>
          </w:p>
          <w:p w14:paraId="6C07360F" w14:textId="77777777" w:rsidR="00B40521" w:rsidRPr="009422BB" w:rsidRDefault="00B40521" w:rsidP="00285903">
            <w:pPr>
              <w:rPr>
                <w:b/>
                <w:lang w:val="en-GB" w:eastAsia="en-GB"/>
              </w:rPr>
            </w:pPr>
            <w:r>
              <w:rPr>
                <w:b/>
                <w:lang w:val="en-GB" w:eastAsia="en-GB"/>
              </w:rPr>
              <w:t xml:space="preserve">  </w:t>
            </w:r>
            <w:r w:rsidRPr="009422BB">
              <w:rPr>
                <w:b/>
                <w:lang w:val="en-GB" w:eastAsia="en-GB"/>
              </w:rPr>
              <w:t>APPENDIX 3</w:t>
            </w:r>
          </w:p>
          <w:p w14:paraId="6BB1CA9E" w14:textId="77777777" w:rsidR="00B40521" w:rsidRPr="009422BB" w:rsidRDefault="00B40521" w:rsidP="00285903">
            <w:pPr>
              <w:rPr>
                <w:lang w:val="en-GB" w:eastAsia="en-GB"/>
              </w:rPr>
            </w:pPr>
          </w:p>
        </w:tc>
      </w:tr>
    </w:tbl>
    <w:p w14:paraId="6DDEAFB6" w14:textId="77777777" w:rsidR="00B40521" w:rsidRPr="00C74CFF" w:rsidRDefault="00B40521" w:rsidP="00B40521">
      <w:pPr>
        <w:spacing w:line="288" w:lineRule="auto"/>
        <w:ind w:left="-993"/>
        <w:rPr>
          <w:b/>
          <w:sz w:val="28"/>
          <w:szCs w:val="28"/>
          <w:lang w:val="en-GB"/>
        </w:rPr>
      </w:pPr>
      <w:bookmarkStart w:id="33" w:name="OLE_LINK6"/>
      <w:r w:rsidRPr="00C74CFF">
        <w:rPr>
          <w:b/>
          <w:sz w:val="28"/>
          <w:szCs w:val="28"/>
          <w:lang w:val="en-GB"/>
        </w:rPr>
        <w:lastRenderedPageBreak/>
        <w:t>Terms of referenceof the Ad-hoc Working Group on the</w:t>
      </w:r>
      <w:r>
        <w:rPr>
          <w:b/>
          <w:sz w:val="28"/>
          <w:szCs w:val="28"/>
          <w:lang w:val="en-GB"/>
        </w:rPr>
        <w:t xml:space="preserve"> </w:t>
      </w:r>
      <w:r w:rsidRPr="00C74CFF">
        <w:rPr>
          <w:b/>
          <w:sz w:val="28"/>
          <w:szCs w:val="28"/>
          <w:lang w:val="en-GB"/>
        </w:rPr>
        <w:t>Revision of the ECTS Users' Guide</w:t>
      </w:r>
    </w:p>
    <w:bookmarkEnd w:id="33"/>
    <w:p w14:paraId="1307BE20" w14:textId="77777777" w:rsidR="00B40521" w:rsidRPr="00C74CFF" w:rsidRDefault="00B40521" w:rsidP="00B40521">
      <w:pPr>
        <w:spacing w:line="288" w:lineRule="auto"/>
        <w:jc w:val="center"/>
        <w:rPr>
          <w:b/>
          <w:sz w:val="28"/>
          <w:szCs w:val="28"/>
          <w:lang w:val="en-GB"/>
        </w:rPr>
      </w:pPr>
    </w:p>
    <w:tbl>
      <w:tblPr>
        <w:tblW w:w="102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249"/>
      </w:tblGrid>
      <w:tr w:rsidR="00B40521" w:rsidRPr="00C74CFF" w14:paraId="207CD09A" w14:textId="77777777" w:rsidTr="00285903">
        <w:trPr>
          <w:trHeight w:val="658"/>
        </w:trPr>
        <w:tc>
          <w:tcPr>
            <w:tcW w:w="10249" w:type="dxa"/>
          </w:tcPr>
          <w:p w14:paraId="2B157F68" w14:textId="77777777" w:rsidR="00B40521" w:rsidRPr="00C74CFF" w:rsidRDefault="00B40521" w:rsidP="00285903">
            <w:pPr>
              <w:spacing w:line="288" w:lineRule="auto"/>
              <w:jc w:val="both"/>
              <w:rPr>
                <w:b/>
                <w:lang w:val="en-GB"/>
              </w:rPr>
            </w:pPr>
            <w:r w:rsidRPr="00C74CFF">
              <w:rPr>
                <w:b/>
                <w:lang w:val="en-GB"/>
              </w:rPr>
              <w:t>Name of the (ad-hoc) working group</w:t>
            </w:r>
          </w:p>
          <w:p w14:paraId="72C591F1" w14:textId="77777777" w:rsidR="00B40521" w:rsidRPr="00C74CFF" w:rsidRDefault="00B40521" w:rsidP="00285903">
            <w:pPr>
              <w:spacing w:line="288" w:lineRule="auto"/>
              <w:jc w:val="both"/>
              <w:rPr>
                <w:b/>
                <w:lang w:val="en-GB"/>
              </w:rPr>
            </w:pPr>
            <w:r w:rsidRPr="00C74CFF">
              <w:rPr>
                <w:b/>
                <w:lang w:val="en-GB"/>
              </w:rPr>
              <w:t>Revision of the ECTS Users' Guide</w:t>
            </w:r>
          </w:p>
        </w:tc>
      </w:tr>
      <w:tr w:rsidR="00B40521" w:rsidRPr="00C74CFF" w14:paraId="7BC09FC0" w14:textId="77777777" w:rsidTr="00285903">
        <w:trPr>
          <w:trHeight w:val="1238"/>
        </w:trPr>
        <w:tc>
          <w:tcPr>
            <w:tcW w:w="10249" w:type="dxa"/>
          </w:tcPr>
          <w:p w14:paraId="6F5B55C5" w14:textId="77777777" w:rsidR="00B40521" w:rsidRPr="00C74CFF" w:rsidRDefault="00B40521" w:rsidP="00285903">
            <w:pPr>
              <w:spacing w:line="288" w:lineRule="auto"/>
              <w:jc w:val="both"/>
              <w:rPr>
                <w:b/>
                <w:lang w:val="en-GB"/>
              </w:rPr>
            </w:pPr>
            <w:r w:rsidRPr="00C74CFF">
              <w:rPr>
                <w:b/>
                <w:lang w:val="en-GB"/>
              </w:rPr>
              <w:t>Contact person (Chair)</w:t>
            </w:r>
          </w:p>
          <w:p w14:paraId="1DF65EC1" w14:textId="77777777" w:rsidR="00B40521" w:rsidRPr="00C74CFF" w:rsidRDefault="00B40521" w:rsidP="00285903">
            <w:pPr>
              <w:rPr>
                <w:lang w:val="en-GB"/>
              </w:rPr>
            </w:pPr>
          </w:p>
          <w:p w14:paraId="0F9DD314" w14:textId="77777777" w:rsidR="00B40521" w:rsidRPr="00C74CFF" w:rsidRDefault="00B40521" w:rsidP="00285903">
            <w:pPr>
              <w:rPr>
                <w:lang w:val="en-GB"/>
              </w:rPr>
            </w:pPr>
            <w:r w:rsidRPr="00C74CFF">
              <w:rPr>
                <w:lang w:val="en-GB"/>
              </w:rPr>
              <w:t>Adam Tyson – European Commission (</w:t>
            </w:r>
            <w:hyperlink r:id="rId24" w:history="1">
              <w:r w:rsidRPr="00C74CFF">
                <w:rPr>
                  <w:rStyle w:val="Hyperlink"/>
                  <w:lang w:val="en-GB"/>
                </w:rPr>
                <w:t>adam.tyson@ec.europa.eu</w:t>
              </w:r>
            </w:hyperlink>
            <w:r w:rsidRPr="00C74CFF">
              <w:rPr>
                <w:lang w:val="en-GB"/>
              </w:rPr>
              <w:t>)</w:t>
            </w:r>
          </w:p>
          <w:p w14:paraId="34B76C40" w14:textId="77777777" w:rsidR="00B40521" w:rsidRPr="00C74CFF" w:rsidRDefault="00B40521" w:rsidP="00285903">
            <w:pPr>
              <w:rPr>
                <w:lang w:val="en-GB"/>
              </w:rPr>
            </w:pPr>
            <w:r w:rsidRPr="00C74CFF">
              <w:rPr>
                <w:lang w:val="en-GB"/>
              </w:rPr>
              <w:t>Klara Engels-Perenyi – European Commission (</w:t>
            </w:r>
            <w:hyperlink r:id="rId25" w:history="1">
              <w:r w:rsidRPr="00C74CFF">
                <w:rPr>
                  <w:rStyle w:val="Hyperlink"/>
                  <w:lang w:val="en-GB"/>
                </w:rPr>
                <w:t>klara.engels-perenyi@ec.europa.eu</w:t>
              </w:r>
            </w:hyperlink>
            <w:r w:rsidRPr="00C74CFF">
              <w:rPr>
                <w:lang w:val="en-GB"/>
              </w:rPr>
              <w:t xml:space="preserve"> )</w:t>
            </w:r>
            <w:r w:rsidRPr="00C74CFF">
              <w:rPr>
                <w:lang w:val="en-GB"/>
              </w:rPr>
              <w:br/>
            </w:r>
          </w:p>
        </w:tc>
      </w:tr>
      <w:tr w:rsidR="00B40521" w:rsidRPr="00C74CFF" w14:paraId="136091F4" w14:textId="77777777" w:rsidTr="00285903">
        <w:trPr>
          <w:trHeight w:val="1084"/>
        </w:trPr>
        <w:tc>
          <w:tcPr>
            <w:tcW w:w="10249" w:type="dxa"/>
          </w:tcPr>
          <w:p w14:paraId="27BD740D" w14:textId="77777777" w:rsidR="00B40521" w:rsidRPr="00C74CFF" w:rsidRDefault="00B40521" w:rsidP="00285903">
            <w:pPr>
              <w:spacing w:line="288" w:lineRule="auto"/>
              <w:jc w:val="both"/>
              <w:rPr>
                <w:b/>
                <w:lang w:val="en-GB"/>
              </w:rPr>
            </w:pPr>
            <w:r w:rsidRPr="00C74CFF">
              <w:rPr>
                <w:b/>
                <w:lang w:val="en-GB"/>
              </w:rPr>
              <w:t>Composition</w:t>
            </w:r>
          </w:p>
          <w:p w14:paraId="2A19CE65" w14:textId="77777777" w:rsidR="00B40521" w:rsidRPr="00C74CFF" w:rsidRDefault="00B40521" w:rsidP="00285903">
            <w:pPr>
              <w:shd w:val="clear" w:color="auto" w:fill="FFFFFF"/>
              <w:spacing w:line="288" w:lineRule="auto"/>
              <w:rPr>
                <w:lang w:val="en-GB"/>
              </w:rPr>
            </w:pPr>
            <w:r w:rsidRPr="00C74CFF">
              <w:rPr>
                <w:lang w:val="en-GB"/>
              </w:rPr>
              <w:t>Armenia, Austria, Belgium/Flemish Community, Germany, France, Hungary, Italy, Lithuania, Netherlands, Norway, Moldova, Sweden, Ukraine, UK, EUA, EURASHE, ESU, ENQA</w:t>
            </w:r>
          </w:p>
          <w:p w14:paraId="3B0FD0F5" w14:textId="77777777" w:rsidR="00B40521" w:rsidRPr="00C74CFF" w:rsidRDefault="00B40521" w:rsidP="00285903">
            <w:pPr>
              <w:shd w:val="clear" w:color="auto" w:fill="FFFFFF"/>
              <w:spacing w:line="288" w:lineRule="auto"/>
              <w:rPr>
                <w:lang w:val="en-GB"/>
              </w:rPr>
            </w:pPr>
          </w:p>
          <w:p w14:paraId="68D01FCB" w14:textId="77777777" w:rsidR="00B40521" w:rsidRPr="00C74CFF" w:rsidRDefault="00B40521" w:rsidP="00285903">
            <w:pPr>
              <w:shd w:val="clear" w:color="auto" w:fill="FFFFFF"/>
              <w:spacing w:line="288" w:lineRule="auto"/>
              <w:rPr>
                <w:lang w:val="en-GB"/>
              </w:rPr>
            </w:pPr>
            <w:r w:rsidRPr="00C74CFF">
              <w:rPr>
                <w:lang w:val="en-GB"/>
              </w:rPr>
              <w:t>A number of external experts may assist the Working Group.</w:t>
            </w:r>
          </w:p>
        </w:tc>
      </w:tr>
      <w:tr w:rsidR="00B40521" w:rsidRPr="00C74CFF" w14:paraId="7DFFF190" w14:textId="77777777" w:rsidTr="00285903">
        <w:trPr>
          <w:trHeight w:val="844"/>
        </w:trPr>
        <w:tc>
          <w:tcPr>
            <w:tcW w:w="10249" w:type="dxa"/>
          </w:tcPr>
          <w:p w14:paraId="7ACC03FF" w14:textId="77777777" w:rsidR="00B40521" w:rsidRPr="00C74CFF" w:rsidRDefault="00B40521" w:rsidP="00285903">
            <w:pPr>
              <w:spacing w:line="288" w:lineRule="auto"/>
              <w:jc w:val="both"/>
              <w:rPr>
                <w:b/>
                <w:lang w:val="en-GB"/>
              </w:rPr>
            </w:pPr>
            <w:r w:rsidRPr="00C74CFF">
              <w:rPr>
                <w:b/>
                <w:lang w:val="en-GB"/>
              </w:rPr>
              <w:t xml:space="preserve">Purpose and/or outcome </w:t>
            </w:r>
          </w:p>
          <w:p w14:paraId="7FC23CFA" w14:textId="77777777" w:rsidR="00B40521" w:rsidRPr="00C74CFF" w:rsidRDefault="00B40521" w:rsidP="00285903">
            <w:pPr>
              <w:tabs>
                <w:tab w:val="left" w:pos="5280"/>
              </w:tabs>
              <w:spacing w:line="288" w:lineRule="auto"/>
              <w:jc w:val="both"/>
              <w:rPr>
                <w:lang w:val="en-GB"/>
              </w:rPr>
            </w:pPr>
            <w:r w:rsidRPr="00C74CFF">
              <w:rPr>
                <w:lang w:val="en-GB"/>
              </w:rPr>
              <w:t xml:space="preserve">To prepare a revised version of the ECTS Users' Guide by mid-2014, by reflecting on policy development and implementation in the area of ECTS and learning outcomes since the previous revision of the ECTS Users' Guide in 2009, giving consideration to issues such as the following (and including in its scope further issues to be identified in consultation with the Working Group and external experts): </w:t>
            </w:r>
          </w:p>
          <w:p w14:paraId="59AA4006"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Linking ECTS credits with student workload and learning outcomes</w:t>
            </w:r>
          </w:p>
          <w:p w14:paraId="73671419"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Using ECTS in short-cycle provision, in 1</w:t>
            </w:r>
            <w:r w:rsidRPr="00C74CFF">
              <w:rPr>
                <w:vertAlign w:val="superscript"/>
                <w:lang w:val="en-GB"/>
              </w:rPr>
              <w:t>st</w:t>
            </w:r>
            <w:r w:rsidRPr="00C74CFF">
              <w:rPr>
                <w:lang w:val="en-GB"/>
              </w:rPr>
              <w:t xml:space="preserve"> and 2</w:t>
            </w:r>
            <w:r w:rsidRPr="00C74CFF">
              <w:rPr>
                <w:vertAlign w:val="superscript"/>
                <w:lang w:val="en-GB"/>
              </w:rPr>
              <w:t>nd</w:t>
            </w:r>
            <w:r w:rsidRPr="00C74CFF">
              <w:rPr>
                <w:lang w:val="en-GB"/>
              </w:rPr>
              <w:t xml:space="preserve"> cycle programmes of different length and in 3</w:t>
            </w:r>
            <w:r w:rsidRPr="00C74CFF">
              <w:rPr>
                <w:vertAlign w:val="superscript"/>
                <w:lang w:val="en-GB"/>
              </w:rPr>
              <w:t>rd</w:t>
            </w:r>
            <w:r w:rsidRPr="00C74CFF">
              <w:rPr>
                <w:lang w:val="en-GB"/>
              </w:rPr>
              <w:t xml:space="preserve"> cycle</w:t>
            </w:r>
          </w:p>
          <w:p w14:paraId="547AEED4"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Linking desired learning outcomes and assessment procedures</w:t>
            </w:r>
          </w:p>
          <w:p w14:paraId="0B291CA7"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 xml:space="preserve">Reflecting the developments in the area of the recognition of prior learning </w:t>
            </w:r>
          </w:p>
          <w:p w14:paraId="433CD9C8"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 xml:space="preserve">Reflecting on the revisions in the EU Directive on Professional Qualifications (due to be adopted in 2013) </w:t>
            </w:r>
          </w:p>
          <w:p w14:paraId="107BA075"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Reflecting on the use of the Grading table in Annex 3 of the current ECTS Users' Guide</w:t>
            </w:r>
          </w:p>
          <w:p w14:paraId="71C750F6"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Reflecting on recognition procedures for credit transfer (Annex 2 of the current ECTS Users' Guide)</w:t>
            </w:r>
          </w:p>
          <w:p w14:paraId="0679F0DF" w14:textId="77777777" w:rsidR="00B40521" w:rsidRPr="00C74CFF" w:rsidRDefault="00B40521" w:rsidP="00B40521">
            <w:pPr>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 xml:space="preserve">Linking ECTS to other recognition and transparency tools, for example the Lisbon Recognition Convention, the European Standards and Guidelines for Quality Assurance, ECVET (European </w:t>
            </w:r>
            <w:r w:rsidRPr="00C74CFF">
              <w:rPr>
                <w:lang w:val="en-GB"/>
              </w:rPr>
              <w:lastRenderedPageBreak/>
              <w:t>Credit System for Vocational Education and Training) or Qualification Frameworks</w:t>
            </w:r>
          </w:p>
          <w:p w14:paraId="0F1A4619" w14:textId="77777777" w:rsidR="00B40521" w:rsidRPr="00C74CFF" w:rsidRDefault="00B40521" w:rsidP="00285903">
            <w:pPr>
              <w:tabs>
                <w:tab w:val="left" w:pos="743"/>
              </w:tabs>
              <w:spacing w:line="288" w:lineRule="auto"/>
              <w:jc w:val="both"/>
              <w:rPr>
                <w:lang w:val="en-GB"/>
              </w:rPr>
            </w:pPr>
          </w:p>
        </w:tc>
      </w:tr>
      <w:tr w:rsidR="00B40521" w:rsidRPr="00C74CFF" w14:paraId="6A27544A" w14:textId="77777777" w:rsidTr="00285903">
        <w:trPr>
          <w:trHeight w:val="740"/>
        </w:trPr>
        <w:tc>
          <w:tcPr>
            <w:tcW w:w="10249" w:type="dxa"/>
          </w:tcPr>
          <w:p w14:paraId="5EE32243" w14:textId="77777777" w:rsidR="00B40521" w:rsidRPr="00C74CFF" w:rsidRDefault="00B40521" w:rsidP="00285903">
            <w:pPr>
              <w:spacing w:line="288" w:lineRule="auto"/>
              <w:jc w:val="both"/>
              <w:rPr>
                <w:b/>
                <w:lang w:val="en-GB"/>
              </w:rPr>
            </w:pPr>
            <w:r w:rsidRPr="00C74CFF">
              <w:rPr>
                <w:b/>
                <w:lang w:val="en-GB"/>
              </w:rPr>
              <w:lastRenderedPageBreak/>
              <w:t xml:space="preserve">References to the Bucharest Communiqué </w:t>
            </w:r>
          </w:p>
          <w:p w14:paraId="4AA65568" w14:textId="77777777" w:rsidR="00B40521" w:rsidRPr="00C74CFF" w:rsidRDefault="00B40521" w:rsidP="00285903">
            <w:pPr>
              <w:spacing w:line="288" w:lineRule="auto"/>
              <w:jc w:val="both"/>
              <w:rPr>
                <w:lang w:val="en-GB"/>
              </w:rPr>
            </w:pPr>
            <w:r w:rsidRPr="00C74CFF">
              <w:rPr>
                <w:lang w:val="en-GB"/>
              </w:rPr>
              <w:t xml:space="preserve">To consolidate the EHEA, meaningful implementation of learning outcomes is needed. The development, understanding and practical use of learning outcomes is crucial to the success of ECTS, the Diploma Supplement, recognition, qualifications frameworks and quality assurance – all of which are interdependent. We call on institutions to further link study credits with both learning outcomes and student workload, and to include the attainment of learning outcomes in assessment procedures. We will work to ensure that the ECTS Users’ Guide fully reflects the state of on-going work on learning outcomes and recognition of prior learning." </w:t>
            </w:r>
          </w:p>
        </w:tc>
      </w:tr>
      <w:tr w:rsidR="00B40521" w:rsidRPr="00C74CFF" w14:paraId="4A0F22EE" w14:textId="77777777" w:rsidTr="00285903">
        <w:trPr>
          <w:trHeight w:val="844"/>
        </w:trPr>
        <w:tc>
          <w:tcPr>
            <w:tcW w:w="10249" w:type="dxa"/>
          </w:tcPr>
          <w:p w14:paraId="01D98F1A" w14:textId="77777777" w:rsidR="00B40521" w:rsidRPr="00C74CFF" w:rsidRDefault="00B40521" w:rsidP="00285903">
            <w:pPr>
              <w:spacing w:line="288" w:lineRule="auto"/>
              <w:jc w:val="both"/>
              <w:rPr>
                <w:b/>
                <w:lang w:val="en-GB"/>
              </w:rPr>
            </w:pPr>
            <w:r w:rsidRPr="00C74CFF">
              <w:rPr>
                <w:b/>
                <w:lang w:val="en-GB"/>
              </w:rPr>
              <w:t xml:space="preserve">Specific tasks </w:t>
            </w:r>
          </w:p>
          <w:p w14:paraId="1253815C" w14:textId="77777777" w:rsidR="00B40521" w:rsidRPr="00C74CFF" w:rsidRDefault="00B40521" w:rsidP="00B40521">
            <w:pPr>
              <w:numPr>
                <w:ilvl w:val="0"/>
                <w:numId w:val="135"/>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to identify in consultation with experts the key items to be reviewed</w:t>
            </w:r>
          </w:p>
          <w:p w14:paraId="289660A5" w14:textId="77777777" w:rsidR="00B40521" w:rsidRPr="00C74CFF" w:rsidRDefault="00B40521" w:rsidP="00B40521">
            <w:pPr>
              <w:numPr>
                <w:ilvl w:val="0"/>
                <w:numId w:val="135"/>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to develop a revised version of the Guide</w:t>
            </w:r>
          </w:p>
          <w:p w14:paraId="2C066997" w14:textId="77777777" w:rsidR="00B40521" w:rsidRPr="00C74CFF" w:rsidRDefault="00B40521" w:rsidP="00B40521">
            <w:pPr>
              <w:numPr>
                <w:ilvl w:val="0"/>
                <w:numId w:val="135"/>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to liaise with the Structural Working Group for their input</w:t>
            </w:r>
          </w:p>
          <w:p w14:paraId="0D0DA2EB" w14:textId="77777777" w:rsidR="00B40521" w:rsidRPr="00C74CFF" w:rsidRDefault="00B40521" w:rsidP="00B40521">
            <w:pPr>
              <w:numPr>
                <w:ilvl w:val="0"/>
                <w:numId w:val="135"/>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to consult with external stakeholders</w:t>
            </w:r>
          </w:p>
          <w:p w14:paraId="5F2FDBC6" w14:textId="77777777" w:rsidR="00B40521" w:rsidRPr="00C74CFF" w:rsidRDefault="00B40521" w:rsidP="00B40521">
            <w:pPr>
              <w:numPr>
                <w:ilvl w:val="0"/>
                <w:numId w:val="135"/>
              </w:numPr>
              <w:pBdr>
                <w:top w:val="none" w:sz="0" w:space="0" w:color="auto"/>
                <w:left w:val="none" w:sz="0" w:space="0" w:color="auto"/>
                <w:bottom w:val="none" w:sz="0" w:space="0" w:color="auto"/>
                <w:right w:val="none" w:sz="0" w:space="0" w:color="auto"/>
                <w:between w:val="none" w:sz="0" w:space="0" w:color="auto"/>
                <w:bar w:val="none" w:sz="0" w:color="auto"/>
              </w:pBdr>
              <w:tabs>
                <w:tab w:val="left" w:pos="743"/>
              </w:tabs>
              <w:spacing w:line="288" w:lineRule="auto"/>
              <w:jc w:val="both"/>
              <w:rPr>
                <w:lang w:val="en-GB"/>
              </w:rPr>
            </w:pPr>
            <w:r w:rsidRPr="00C74CFF">
              <w:rPr>
                <w:lang w:val="en-GB"/>
              </w:rPr>
              <w:t>to present a finalised draft to the Structural Working Group and the BFUG for adoption</w:t>
            </w:r>
          </w:p>
        </w:tc>
      </w:tr>
      <w:tr w:rsidR="00B40521" w:rsidRPr="00C74CFF" w14:paraId="4CD6FCC0" w14:textId="77777777" w:rsidTr="00285903">
        <w:trPr>
          <w:trHeight w:val="636"/>
        </w:trPr>
        <w:tc>
          <w:tcPr>
            <w:tcW w:w="10249" w:type="dxa"/>
          </w:tcPr>
          <w:p w14:paraId="41BBE2CC" w14:textId="77777777" w:rsidR="00B40521" w:rsidRPr="00C74CFF" w:rsidRDefault="00B40521" w:rsidP="00285903">
            <w:pPr>
              <w:spacing w:line="288" w:lineRule="auto"/>
              <w:jc w:val="both"/>
              <w:rPr>
                <w:b/>
                <w:lang w:val="en-GB"/>
              </w:rPr>
            </w:pPr>
            <w:r w:rsidRPr="00C74CFF">
              <w:rPr>
                <w:b/>
                <w:lang w:val="en-GB"/>
              </w:rPr>
              <w:t xml:space="preserve">Reporting </w:t>
            </w:r>
          </w:p>
          <w:p w14:paraId="5FF879E2" w14:textId="77777777" w:rsidR="00B40521" w:rsidRPr="00C74CFF" w:rsidRDefault="00B40521" w:rsidP="00285903">
            <w:pPr>
              <w:spacing w:line="288" w:lineRule="auto"/>
              <w:jc w:val="both"/>
              <w:rPr>
                <w:lang w:val="en-GB"/>
              </w:rPr>
            </w:pPr>
            <w:r w:rsidRPr="00C74CFF">
              <w:rPr>
                <w:u w:val="single"/>
                <w:lang w:val="en-GB"/>
              </w:rPr>
              <w:t>Minutes</w:t>
            </w:r>
            <w:r w:rsidRPr="00C74CFF">
              <w:rPr>
                <w:lang w:val="en-GB"/>
              </w:rPr>
              <w:t xml:space="preserve"> of working group meetings will be made available by the Bologna Secretariat. </w:t>
            </w:r>
          </w:p>
          <w:p w14:paraId="5A68C1C5" w14:textId="77777777" w:rsidR="00B40521" w:rsidRPr="00C74CFF" w:rsidRDefault="00B40521" w:rsidP="00285903">
            <w:pPr>
              <w:spacing w:line="288" w:lineRule="auto"/>
              <w:jc w:val="both"/>
              <w:rPr>
                <w:lang w:val="en-GB"/>
              </w:rPr>
            </w:pPr>
          </w:p>
          <w:p w14:paraId="7FDE8744" w14:textId="77777777" w:rsidR="00B40521" w:rsidRPr="00C74CFF" w:rsidRDefault="00B40521" w:rsidP="00285903">
            <w:pPr>
              <w:spacing w:line="288" w:lineRule="auto"/>
              <w:jc w:val="both"/>
              <w:rPr>
                <w:lang w:val="en-GB"/>
              </w:rPr>
            </w:pPr>
            <w:r w:rsidRPr="00C74CFF">
              <w:rPr>
                <w:u w:val="single"/>
                <w:lang w:val="en-GB"/>
              </w:rPr>
              <w:t>BFUG Structural Working Group will receive regular reports and updates</w:t>
            </w:r>
            <w:r w:rsidRPr="00C74CFF">
              <w:rPr>
                <w:lang w:val="en-GB"/>
              </w:rPr>
              <w:t xml:space="preserve">. </w:t>
            </w:r>
          </w:p>
          <w:p w14:paraId="16F840B4" w14:textId="77777777" w:rsidR="00B40521" w:rsidRPr="00C74CFF" w:rsidRDefault="00B40521" w:rsidP="00285903">
            <w:pPr>
              <w:spacing w:line="288" w:lineRule="auto"/>
              <w:jc w:val="both"/>
              <w:rPr>
                <w:highlight w:val="yellow"/>
                <w:lang w:val="en-GB"/>
              </w:rPr>
            </w:pPr>
            <w:r w:rsidRPr="00C74CFF">
              <w:rPr>
                <w:lang w:val="en-GB"/>
              </w:rPr>
              <w:t>Progress reports will be submitted before the meetings of the Structural Working Group mid-2013 and end 2013/early 2014. The final report will be presented together with the revised ECTS Users' Guide mid-2014.</w:t>
            </w:r>
          </w:p>
        </w:tc>
      </w:tr>
      <w:tr w:rsidR="00B40521" w:rsidRPr="00C74CFF" w14:paraId="7B068E1D" w14:textId="77777777" w:rsidTr="00285903">
        <w:trPr>
          <w:trHeight w:val="1012"/>
        </w:trPr>
        <w:tc>
          <w:tcPr>
            <w:tcW w:w="10249" w:type="dxa"/>
          </w:tcPr>
          <w:p w14:paraId="6EAB36E7" w14:textId="77777777" w:rsidR="00B40521" w:rsidRPr="00C74CFF" w:rsidRDefault="00B40521" w:rsidP="00285903">
            <w:pPr>
              <w:spacing w:line="288" w:lineRule="auto"/>
              <w:jc w:val="both"/>
              <w:rPr>
                <w:b/>
                <w:lang w:val="en-GB"/>
              </w:rPr>
            </w:pPr>
            <w:r w:rsidRPr="00C74CFF">
              <w:rPr>
                <w:b/>
                <w:lang w:val="en-GB"/>
              </w:rPr>
              <w:t xml:space="preserve">Meeting schedule </w:t>
            </w:r>
          </w:p>
          <w:p w14:paraId="39661E00" w14:textId="77777777" w:rsidR="00B40521" w:rsidRPr="00C74CFF" w:rsidRDefault="00B40521" w:rsidP="00285903">
            <w:pPr>
              <w:spacing w:line="288" w:lineRule="auto"/>
              <w:jc w:val="both"/>
              <w:rPr>
                <w:lang w:val="en-GB"/>
              </w:rPr>
            </w:pPr>
            <w:r w:rsidRPr="00C74CFF">
              <w:rPr>
                <w:lang w:val="en-GB"/>
              </w:rPr>
              <w:t>Location of the meetings: Brussels</w:t>
            </w:r>
          </w:p>
          <w:p w14:paraId="1D99B700" w14:textId="77777777" w:rsidR="00B40521" w:rsidRPr="00C74CFF" w:rsidRDefault="00B40521" w:rsidP="00285903">
            <w:pPr>
              <w:spacing w:line="288" w:lineRule="auto"/>
              <w:jc w:val="both"/>
              <w:rPr>
                <w:lang w:val="en-GB"/>
              </w:rPr>
            </w:pPr>
            <w:r w:rsidRPr="00C74CFF">
              <w:rPr>
                <w:lang w:val="en-GB"/>
              </w:rPr>
              <w:t>First meeting: February 2013</w:t>
            </w:r>
          </w:p>
          <w:p w14:paraId="2D0E3C0A" w14:textId="77777777" w:rsidR="00B40521" w:rsidRPr="00C74CFF" w:rsidRDefault="00B40521" w:rsidP="00285903">
            <w:pPr>
              <w:spacing w:line="288" w:lineRule="auto"/>
              <w:jc w:val="both"/>
              <w:rPr>
                <w:lang w:val="en-GB"/>
              </w:rPr>
            </w:pPr>
            <w:r w:rsidRPr="00C74CFF">
              <w:rPr>
                <w:lang w:val="en-GB"/>
              </w:rPr>
              <w:t>Second meeting: April 2013</w:t>
            </w:r>
          </w:p>
          <w:p w14:paraId="16221896" w14:textId="77777777" w:rsidR="00B40521" w:rsidRPr="00C74CFF" w:rsidRDefault="00B40521" w:rsidP="00285903">
            <w:pPr>
              <w:spacing w:line="288" w:lineRule="auto"/>
              <w:jc w:val="both"/>
              <w:rPr>
                <w:lang w:val="en-GB"/>
              </w:rPr>
            </w:pPr>
            <w:r w:rsidRPr="00C74CFF">
              <w:rPr>
                <w:lang w:val="en-GB"/>
              </w:rPr>
              <w:t>Third meeting: May 2013</w:t>
            </w:r>
          </w:p>
          <w:p w14:paraId="3515FAE0" w14:textId="77777777" w:rsidR="00B40521" w:rsidRPr="00C74CFF" w:rsidRDefault="00B40521" w:rsidP="00285903">
            <w:pPr>
              <w:spacing w:line="288" w:lineRule="auto"/>
              <w:jc w:val="both"/>
              <w:rPr>
                <w:lang w:val="en-GB"/>
              </w:rPr>
            </w:pPr>
            <w:r w:rsidRPr="00C74CFF">
              <w:rPr>
                <w:lang w:val="en-GB"/>
              </w:rPr>
              <w:t>Fourth meeting: October 2013</w:t>
            </w:r>
          </w:p>
          <w:p w14:paraId="274628AF" w14:textId="77777777" w:rsidR="00B40521" w:rsidRPr="00C74CFF" w:rsidRDefault="00B40521" w:rsidP="00285903">
            <w:pPr>
              <w:spacing w:line="288" w:lineRule="auto"/>
              <w:jc w:val="both"/>
              <w:rPr>
                <w:color w:val="000000"/>
                <w:lang w:val="en-GB"/>
              </w:rPr>
            </w:pPr>
            <w:r w:rsidRPr="00C74CFF">
              <w:rPr>
                <w:lang w:val="en-GB"/>
              </w:rPr>
              <w:t xml:space="preserve">Fifth meeting: January/February? </w:t>
            </w:r>
            <w:r w:rsidRPr="00C74CFF">
              <w:rPr>
                <w:color w:val="000000"/>
                <w:lang w:val="en-GB"/>
              </w:rPr>
              <w:t>2014</w:t>
            </w:r>
          </w:p>
          <w:p w14:paraId="49939C16" w14:textId="77777777" w:rsidR="00B40521" w:rsidRPr="00C74CFF" w:rsidRDefault="00B40521" w:rsidP="00285903">
            <w:pPr>
              <w:spacing w:line="288" w:lineRule="auto"/>
              <w:jc w:val="both"/>
              <w:rPr>
                <w:color w:val="000000"/>
                <w:lang w:val="en-GB"/>
              </w:rPr>
            </w:pPr>
            <w:r w:rsidRPr="00C74CFF">
              <w:rPr>
                <w:lang w:val="en-GB"/>
              </w:rPr>
              <w:t xml:space="preserve">Sixth meeting: April </w:t>
            </w:r>
            <w:r w:rsidRPr="00C74CFF">
              <w:rPr>
                <w:color w:val="000000"/>
                <w:lang w:val="en-GB"/>
              </w:rPr>
              <w:t>2014</w:t>
            </w:r>
          </w:p>
          <w:p w14:paraId="3ED7E204" w14:textId="77777777" w:rsidR="00B40521" w:rsidRPr="00C74CFF" w:rsidRDefault="00B40521" w:rsidP="00285903">
            <w:pPr>
              <w:spacing w:line="288" w:lineRule="auto"/>
              <w:jc w:val="both"/>
              <w:rPr>
                <w:highlight w:val="yellow"/>
                <w:lang w:val="en-GB"/>
              </w:rPr>
            </w:pPr>
          </w:p>
        </w:tc>
      </w:tr>
      <w:tr w:rsidR="00B40521" w:rsidRPr="00C74CFF" w14:paraId="419680E1" w14:textId="77777777" w:rsidTr="00285903">
        <w:trPr>
          <w:trHeight w:val="590"/>
        </w:trPr>
        <w:tc>
          <w:tcPr>
            <w:tcW w:w="10249" w:type="dxa"/>
          </w:tcPr>
          <w:p w14:paraId="4586E67F" w14:textId="77777777" w:rsidR="00B40521" w:rsidRPr="00C74CFF" w:rsidRDefault="00B40521" w:rsidP="00285903">
            <w:pPr>
              <w:spacing w:line="288" w:lineRule="auto"/>
              <w:jc w:val="both"/>
              <w:rPr>
                <w:b/>
                <w:lang w:val="en-GB"/>
              </w:rPr>
            </w:pPr>
            <w:r w:rsidRPr="00C74CFF">
              <w:rPr>
                <w:b/>
                <w:lang w:val="en-GB"/>
              </w:rPr>
              <w:t>Additional remarks</w:t>
            </w:r>
          </w:p>
          <w:p w14:paraId="634568A2" w14:textId="77777777" w:rsidR="00B40521" w:rsidRPr="00C74CFF" w:rsidRDefault="00B40521" w:rsidP="00285903">
            <w:pPr>
              <w:spacing w:line="288" w:lineRule="auto"/>
              <w:jc w:val="both"/>
              <w:rPr>
                <w:b/>
                <w:lang w:val="en-GB"/>
              </w:rPr>
            </w:pPr>
          </w:p>
          <w:p w14:paraId="78CBE82A" w14:textId="77777777" w:rsidR="00B40521" w:rsidRPr="00C74CFF" w:rsidRDefault="00B40521" w:rsidP="00285903">
            <w:pPr>
              <w:spacing w:line="288" w:lineRule="auto"/>
              <w:jc w:val="both"/>
              <w:rPr>
                <w:lang w:val="en-GB"/>
              </w:rPr>
            </w:pPr>
            <w:r w:rsidRPr="00C74CFF">
              <w:rPr>
                <w:lang w:val="en-GB"/>
              </w:rPr>
              <w:t>These terms of reference may be reviewed in the light of progress of the work, in agreement with the Structural Reforms Working Group</w:t>
            </w:r>
          </w:p>
        </w:tc>
      </w:tr>
    </w:tbl>
    <w:p w14:paraId="45DB07B0" w14:textId="77777777" w:rsidR="00B40521" w:rsidRPr="00C74CFF" w:rsidRDefault="00B40521" w:rsidP="00B40521">
      <w:pPr>
        <w:rPr>
          <w:lang w:val="en-GB"/>
        </w:rPr>
      </w:pPr>
    </w:p>
    <w:p w14:paraId="7EC2BD81" w14:textId="77777777" w:rsidR="00B40521" w:rsidRDefault="00B40521" w:rsidP="00B40521">
      <w:pPr>
        <w:ind w:left="-993"/>
        <w:rPr>
          <w:rFonts w:eastAsia="Times New Roman"/>
          <w:b/>
          <w:lang w:eastAsia="bs-Latn-BA"/>
        </w:rPr>
      </w:pPr>
    </w:p>
    <w:p w14:paraId="0FED0483" w14:textId="77777777" w:rsidR="00B40521" w:rsidRDefault="00B40521" w:rsidP="00B40521">
      <w:pPr>
        <w:ind w:left="-993"/>
        <w:rPr>
          <w:rFonts w:eastAsia="Times New Roman"/>
          <w:b/>
          <w:lang w:eastAsia="bs-Latn-BA"/>
        </w:rPr>
      </w:pPr>
    </w:p>
    <w:p w14:paraId="12D2D8CE" w14:textId="77777777" w:rsidR="00B40521" w:rsidRPr="009422BB" w:rsidRDefault="00B40521" w:rsidP="00B40521">
      <w:pPr>
        <w:ind w:left="-993"/>
        <w:rPr>
          <w:rFonts w:eastAsia="Times New Roman"/>
          <w:b/>
          <w:lang w:eastAsia="bs-Latn-BA"/>
        </w:rPr>
      </w:pPr>
      <w:r w:rsidRPr="009422BB">
        <w:rPr>
          <w:rFonts w:eastAsia="Times New Roman"/>
          <w:b/>
          <w:lang w:eastAsia="bs-Latn-BA"/>
        </w:rPr>
        <w:t>APPENDIX 4</w:t>
      </w:r>
    </w:p>
    <w:p w14:paraId="3DD407B1" w14:textId="77777777" w:rsidR="00B40521" w:rsidRPr="00040F88" w:rsidRDefault="00B40521" w:rsidP="00B40521">
      <w:pPr>
        <w:rPr>
          <w:rFonts w:eastAsia="Times New Roman"/>
          <w:b/>
          <w:sz w:val="28"/>
          <w:szCs w:val="28"/>
          <w:lang w:eastAsia="bs-Latn-BA"/>
        </w:rPr>
      </w:pPr>
    </w:p>
    <w:p w14:paraId="0A37D544" w14:textId="77777777" w:rsidR="00B40521" w:rsidRPr="00040F88" w:rsidRDefault="00B40521" w:rsidP="00B40521">
      <w:pPr>
        <w:ind w:left="-993"/>
        <w:rPr>
          <w:rFonts w:eastAsia="Times New Roman"/>
          <w:b/>
          <w:sz w:val="28"/>
          <w:szCs w:val="28"/>
          <w:lang w:eastAsia="bs-Latn-BA"/>
        </w:rPr>
      </w:pPr>
      <w:r w:rsidRPr="00040F88">
        <w:rPr>
          <w:rFonts w:eastAsia="Times New Roman"/>
          <w:b/>
          <w:sz w:val="28"/>
          <w:szCs w:val="28"/>
          <w:lang w:eastAsia="bs-Latn-BA"/>
        </w:rPr>
        <w:t>DRAFT TERMS OF REFERENCE FOR THE NETWORK OF NATIONAL QF CORRESPONDENTS 2012 – 15</w:t>
      </w:r>
    </w:p>
    <w:p w14:paraId="1AFD3B84" w14:textId="77777777" w:rsidR="00B40521" w:rsidRPr="00040F88" w:rsidRDefault="00B40521" w:rsidP="00B40521">
      <w:pPr>
        <w:rPr>
          <w:rFonts w:eastAsia="Times New Roman"/>
          <w:b/>
          <w:sz w:val="28"/>
          <w:szCs w:val="28"/>
          <w:lang w:eastAsia="bs-Latn-BA"/>
        </w:rPr>
      </w:pPr>
    </w:p>
    <w:p w14:paraId="7FE0F810" w14:textId="77777777" w:rsidR="00B40521" w:rsidRPr="00040F88" w:rsidRDefault="00B40521" w:rsidP="00B40521">
      <w:pPr>
        <w:ind w:left="-993"/>
        <w:rPr>
          <w:rFonts w:eastAsia="Times New Roman"/>
          <w:b/>
          <w:sz w:val="28"/>
          <w:szCs w:val="28"/>
          <w:lang w:eastAsia="bs-Latn-BA"/>
        </w:rPr>
      </w:pPr>
      <w:r w:rsidRPr="00040F88">
        <w:rPr>
          <w:rFonts w:eastAsia="Times New Roman"/>
          <w:b/>
          <w:sz w:val="28"/>
          <w:szCs w:val="28"/>
          <w:lang w:eastAsia="bs-Latn-BA"/>
        </w:rPr>
        <w:t>Submitted for consideration by the Network of national correspondents in its meeting in March 2013 and then the BFUG</w:t>
      </w:r>
    </w:p>
    <w:p w14:paraId="74997818" w14:textId="77777777" w:rsidR="00B40521" w:rsidRPr="00040F88" w:rsidRDefault="00B40521" w:rsidP="00B40521">
      <w:pPr>
        <w:ind w:left="-426"/>
        <w:rPr>
          <w:rFonts w:eastAsia="Times New Roman"/>
          <w:lang w:eastAsia="bs-Latn-BA"/>
        </w:rPr>
      </w:pPr>
    </w:p>
    <w:p w14:paraId="3EA11B58" w14:textId="77777777" w:rsidR="00B40521" w:rsidRPr="00040F88" w:rsidRDefault="00B40521" w:rsidP="00B40521">
      <w:pPr>
        <w:keepNext/>
        <w:spacing w:before="240" w:after="60"/>
        <w:ind w:left="-993"/>
        <w:outlineLvl w:val="0"/>
        <w:rPr>
          <w:rFonts w:eastAsia="Times New Roman"/>
          <w:b/>
          <w:bCs/>
          <w:kern w:val="32"/>
          <w:sz w:val="28"/>
          <w:szCs w:val="28"/>
          <w:lang w:eastAsia="nl-NL"/>
        </w:rPr>
      </w:pPr>
      <w:r w:rsidRPr="00040F88">
        <w:rPr>
          <w:rFonts w:eastAsia="Times New Roman"/>
          <w:b/>
          <w:bCs/>
          <w:kern w:val="32"/>
          <w:sz w:val="28"/>
          <w:szCs w:val="28"/>
          <w:lang w:eastAsia="nl-NL"/>
        </w:rPr>
        <w:t>Terms of Reference</w:t>
      </w:r>
    </w:p>
    <w:p w14:paraId="45A2C4BA" w14:textId="77777777" w:rsidR="00B40521" w:rsidRPr="00040F88" w:rsidRDefault="00B40521" w:rsidP="00B40521">
      <w:pPr>
        <w:spacing w:line="288" w:lineRule="auto"/>
        <w:rPr>
          <w:rFonts w:eastAsia="Times New Roman"/>
          <w:lang w:eastAsia="bs-Latn-BA"/>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207"/>
      </w:tblGrid>
      <w:tr w:rsidR="00B40521" w:rsidRPr="00040F88" w14:paraId="5E76394D" w14:textId="77777777" w:rsidTr="00285903">
        <w:trPr>
          <w:trHeight w:val="844"/>
        </w:trPr>
        <w:tc>
          <w:tcPr>
            <w:tcW w:w="10207" w:type="dxa"/>
          </w:tcPr>
          <w:p w14:paraId="1061F189" w14:textId="77777777" w:rsidR="00B40521" w:rsidRPr="00E75D98" w:rsidRDefault="00B40521" w:rsidP="00285903">
            <w:pPr>
              <w:spacing w:after="120" w:line="288" w:lineRule="auto"/>
              <w:rPr>
                <w:rFonts w:eastAsia="Times New Roman"/>
                <w:b/>
                <w:lang w:val="en-GB" w:eastAsia="bs-Latn-BA"/>
              </w:rPr>
            </w:pPr>
            <w:r w:rsidRPr="00E75D98">
              <w:rPr>
                <w:rFonts w:eastAsia="Times New Roman"/>
                <w:b/>
                <w:lang w:val="en-GB" w:eastAsia="bs-Latn-BA"/>
              </w:rPr>
              <w:t xml:space="preserve">Name </w:t>
            </w:r>
          </w:p>
          <w:p w14:paraId="187BBFB5" w14:textId="77777777" w:rsidR="00B40521" w:rsidRPr="00E75D98" w:rsidRDefault="00B40521" w:rsidP="00285903">
            <w:pPr>
              <w:spacing w:line="288" w:lineRule="auto"/>
              <w:jc w:val="both"/>
              <w:rPr>
                <w:rFonts w:eastAsia="Times New Roman"/>
                <w:b/>
                <w:lang w:val="en-GB" w:eastAsia="bs-Latn-BA"/>
              </w:rPr>
            </w:pPr>
            <w:r w:rsidRPr="00E75D98">
              <w:rPr>
                <w:rFonts w:eastAsia="MS Mincho"/>
                <w:b/>
                <w:lang w:val="en-GB" w:eastAsia="bs-Latn-BA"/>
              </w:rPr>
              <w:t>Network of National Correspondents on Qualifications Frameworks</w:t>
            </w:r>
          </w:p>
        </w:tc>
      </w:tr>
      <w:tr w:rsidR="00B40521" w:rsidRPr="00570078" w14:paraId="4B508FBC" w14:textId="77777777" w:rsidTr="00285903">
        <w:trPr>
          <w:trHeight w:val="844"/>
        </w:trPr>
        <w:tc>
          <w:tcPr>
            <w:tcW w:w="10207" w:type="dxa"/>
          </w:tcPr>
          <w:p w14:paraId="788121CD" w14:textId="77777777" w:rsidR="00B40521" w:rsidRPr="00E74D18" w:rsidRDefault="00B40521" w:rsidP="00285903">
            <w:pPr>
              <w:spacing w:after="120" w:line="288" w:lineRule="auto"/>
              <w:rPr>
                <w:rFonts w:eastAsia="Times New Roman"/>
                <w:b/>
                <w:lang w:val="fr-FR" w:eastAsia="bs-Latn-BA"/>
              </w:rPr>
            </w:pPr>
            <w:r w:rsidRPr="00E74D18">
              <w:rPr>
                <w:rFonts w:eastAsia="Times New Roman"/>
                <w:b/>
                <w:lang w:val="fr-FR" w:eastAsia="bs-Latn-BA"/>
              </w:rPr>
              <w:t xml:space="preserve">Contact persons </w:t>
            </w:r>
          </w:p>
          <w:p w14:paraId="0CFAA5B8" w14:textId="77777777" w:rsidR="00B40521" w:rsidRPr="00E74D18" w:rsidRDefault="00B40521" w:rsidP="00285903">
            <w:pPr>
              <w:spacing w:line="288" w:lineRule="auto"/>
              <w:rPr>
                <w:rFonts w:eastAsia="Times New Roman"/>
                <w:lang w:val="fr-FR" w:eastAsia="bs-Latn-BA"/>
              </w:rPr>
            </w:pPr>
            <w:r w:rsidRPr="00E74D18">
              <w:rPr>
                <w:rFonts w:eastAsia="Times New Roman"/>
                <w:lang w:val="fr-FR" w:eastAsia="bs-Latn-BA"/>
              </w:rPr>
              <w:t>Jean-Philippe R</w:t>
            </w:r>
            <w:r>
              <w:rPr>
                <w:rFonts w:eastAsia="Times New Roman"/>
                <w:lang w:val="fr-FR" w:eastAsia="bs-Latn-BA"/>
              </w:rPr>
              <w:t xml:space="preserve">estoueix </w:t>
            </w:r>
            <w:r w:rsidRPr="00E74D18">
              <w:rPr>
                <w:rFonts w:eastAsia="Times New Roman"/>
                <w:lang w:val="fr-FR" w:eastAsia="bs-Latn-BA"/>
              </w:rPr>
              <w:t>(</w:t>
            </w:r>
            <w:hyperlink r:id="rId26" w:history="1">
              <w:r w:rsidRPr="00E74D18">
                <w:rPr>
                  <w:rFonts w:eastAsia="Times New Roman"/>
                  <w:color w:val="0000FF"/>
                  <w:u w:val="single"/>
                  <w:lang w:val="fr-FR" w:eastAsia="bs-Latn-BA"/>
                </w:rPr>
                <w:t>jean-philippe.restoueix@coe.int</w:t>
              </w:r>
            </w:hyperlink>
            <w:r w:rsidRPr="00E74D18">
              <w:rPr>
                <w:rFonts w:eastAsia="Times New Roman"/>
                <w:lang w:val="fr-FR" w:eastAsia="bs-Latn-BA"/>
              </w:rPr>
              <w:t xml:space="preserve">) </w:t>
            </w:r>
          </w:p>
          <w:p w14:paraId="06B43B38" w14:textId="77777777" w:rsidR="00B40521" w:rsidRPr="00E74D18" w:rsidRDefault="00B40521" w:rsidP="00285903">
            <w:pPr>
              <w:spacing w:line="288" w:lineRule="auto"/>
              <w:rPr>
                <w:rFonts w:eastAsia="Times New Roman"/>
                <w:b/>
                <w:lang w:val="fr-FR" w:eastAsia="bs-Latn-BA"/>
              </w:rPr>
            </w:pPr>
          </w:p>
        </w:tc>
      </w:tr>
      <w:tr w:rsidR="00B40521" w:rsidRPr="00040F88" w14:paraId="0DFA2523" w14:textId="77777777" w:rsidTr="00285903">
        <w:trPr>
          <w:trHeight w:val="1084"/>
        </w:trPr>
        <w:tc>
          <w:tcPr>
            <w:tcW w:w="10207" w:type="dxa"/>
          </w:tcPr>
          <w:p w14:paraId="6CA70892" w14:textId="77777777" w:rsidR="00B40521" w:rsidRPr="00E75D98" w:rsidRDefault="00B40521" w:rsidP="00285903">
            <w:pPr>
              <w:spacing w:after="120" w:line="288" w:lineRule="auto"/>
              <w:rPr>
                <w:rFonts w:eastAsia="Times New Roman"/>
                <w:b/>
                <w:lang w:val="en-GB" w:eastAsia="bs-Latn-BA"/>
              </w:rPr>
            </w:pPr>
            <w:r w:rsidRPr="00E75D98">
              <w:rPr>
                <w:rFonts w:eastAsia="Times New Roman"/>
                <w:b/>
                <w:lang w:val="en-GB" w:eastAsia="bs-Latn-BA"/>
              </w:rPr>
              <w:t xml:space="preserve">Composition </w:t>
            </w:r>
          </w:p>
          <w:p w14:paraId="5F00AABE" w14:textId="77777777" w:rsidR="00B40521" w:rsidRPr="00E75D98" w:rsidRDefault="00B40521" w:rsidP="00B40521">
            <w:pPr>
              <w:numPr>
                <w:ilvl w:val="0"/>
                <w:numId w:val="1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val="en-GB" w:eastAsia="bs-Latn-BA"/>
              </w:rPr>
            </w:pPr>
            <w:r w:rsidRPr="00E75D98">
              <w:rPr>
                <w:rFonts w:eastAsia="Times New Roman"/>
                <w:lang w:val="en-GB" w:eastAsia="bs-Latn-BA"/>
              </w:rPr>
              <w:t>All countries of the EHEA are invited to appoint one or more members of the Network. Members should have responsibilities as concerns the development and implementation of the national qualifications framework in their home countries. In cases where countries develop comprehensive frameworks, the responsibilities of the national correspondent(s) should include the higher education part of the national framework. Where the national correspondents do not have overall responsibility for the development and implementation of the comprehensive framework, they should maintain close contacts with those exercising this responsibility and/or with the National Contact points of the European Qualifications Framework for lifelong learning (EQF).</w:t>
            </w:r>
          </w:p>
          <w:p w14:paraId="37A335D5" w14:textId="77777777" w:rsidR="00B40521" w:rsidRPr="00E75D98" w:rsidRDefault="00B40521" w:rsidP="00B40521">
            <w:pPr>
              <w:numPr>
                <w:ilvl w:val="0"/>
                <w:numId w:val="1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val="en-GB" w:eastAsia="bs-Latn-BA"/>
              </w:rPr>
            </w:pPr>
            <w:r w:rsidRPr="00E75D98">
              <w:rPr>
                <w:rFonts w:eastAsia="Times New Roman"/>
                <w:lang w:val="en-GB" w:eastAsia="bs-Latn-BA"/>
              </w:rPr>
              <w:t>The European Commission and CEDEFOP are invited to participate in the meetings of the Network with specific reference to their responsibility for the implementation of the European Qualifications Framework for lifelong learning (EQF) and the follow-up of developments of national qualifications framework for lifelong learning.</w:t>
            </w:r>
          </w:p>
          <w:p w14:paraId="0B54FB0F" w14:textId="77777777" w:rsidR="00B40521" w:rsidRPr="00E75D98" w:rsidRDefault="00B40521" w:rsidP="00B40521">
            <w:pPr>
              <w:numPr>
                <w:ilvl w:val="0"/>
                <w:numId w:val="1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val="en-GB" w:eastAsia="bs-Latn-BA"/>
              </w:rPr>
            </w:pPr>
            <w:r w:rsidRPr="00E75D98">
              <w:rPr>
                <w:rFonts w:eastAsia="Times New Roman"/>
                <w:lang w:val="en-GB" w:eastAsia="bs-Latn-BA"/>
              </w:rPr>
              <w:t>Consultative members of the BFUG as well as the ENIC Bureau/NARIC Advisory Board and the European Training Foundation are also invited to participate in the plenary meetings of the Network.</w:t>
            </w:r>
          </w:p>
          <w:p w14:paraId="56301749" w14:textId="77777777" w:rsidR="00B40521" w:rsidRPr="00E75D98" w:rsidRDefault="00B40521" w:rsidP="00B40521">
            <w:pPr>
              <w:numPr>
                <w:ilvl w:val="0"/>
                <w:numId w:val="1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val="en-GB" w:eastAsia="bs-Latn-BA"/>
              </w:rPr>
            </w:pPr>
            <w:r w:rsidRPr="00E75D98">
              <w:rPr>
                <w:rFonts w:eastAsia="Times New Roman"/>
                <w:lang w:val="en-GB" w:eastAsia="bs-Latn-BA"/>
              </w:rPr>
              <w:t xml:space="preserve">The Chair may invite individual experts or organizations to participate in meetings of the </w:t>
            </w:r>
            <w:r w:rsidRPr="00E75D98">
              <w:rPr>
                <w:rFonts w:eastAsia="Times New Roman"/>
                <w:lang w:val="en-GB" w:eastAsia="bs-Latn-BA"/>
              </w:rPr>
              <w:lastRenderedPageBreak/>
              <w:t xml:space="preserve">Network on an </w:t>
            </w:r>
            <w:r w:rsidRPr="00E75D98">
              <w:rPr>
                <w:rFonts w:eastAsia="Times New Roman"/>
                <w:i/>
                <w:lang w:val="en-GB" w:eastAsia="bs-Latn-BA"/>
              </w:rPr>
              <w:t>ad hoc</w:t>
            </w:r>
            <w:r w:rsidRPr="00E75D98">
              <w:rPr>
                <w:rFonts w:eastAsia="Times New Roman"/>
                <w:lang w:val="en-GB" w:eastAsia="bs-Latn-BA"/>
              </w:rPr>
              <w:t xml:space="preserve"> basis and with specific reference to their role in relation to one or more items of the agenda of that meeting.</w:t>
            </w:r>
          </w:p>
        </w:tc>
      </w:tr>
      <w:tr w:rsidR="00B40521" w:rsidRPr="00040F88" w14:paraId="5DA1906F" w14:textId="77777777" w:rsidTr="00285903">
        <w:trPr>
          <w:trHeight w:val="844"/>
        </w:trPr>
        <w:tc>
          <w:tcPr>
            <w:tcW w:w="10207" w:type="dxa"/>
          </w:tcPr>
          <w:p w14:paraId="506F6C7B" w14:textId="77777777" w:rsidR="00B40521" w:rsidRPr="00E75D98" w:rsidRDefault="00B40521" w:rsidP="00285903">
            <w:pPr>
              <w:spacing w:after="120" w:line="288" w:lineRule="auto"/>
              <w:rPr>
                <w:rFonts w:eastAsia="Times New Roman"/>
                <w:lang w:val="en-GB" w:eastAsia="bs-Latn-BA"/>
              </w:rPr>
            </w:pPr>
          </w:p>
        </w:tc>
      </w:tr>
      <w:tr w:rsidR="00B40521" w:rsidRPr="00040F88" w14:paraId="68B55274" w14:textId="77777777" w:rsidTr="00285903">
        <w:trPr>
          <w:trHeight w:val="844"/>
        </w:trPr>
        <w:tc>
          <w:tcPr>
            <w:tcW w:w="10207" w:type="dxa"/>
          </w:tcPr>
          <w:p w14:paraId="1A2EE5CB" w14:textId="77777777" w:rsidR="00B40521" w:rsidRPr="00E75D98" w:rsidRDefault="00B40521" w:rsidP="00285903">
            <w:pPr>
              <w:spacing w:after="120" w:line="288" w:lineRule="auto"/>
              <w:rPr>
                <w:rFonts w:eastAsia="Times New Roman"/>
                <w:b/>
                <w:lang w:val="en-GB" w:eastAsia="bs-Latn-BA"/>
              </w:rPr>
            </w:pPr>
            <w:r w:rsidRPr="00E75D98">
              <w:rPr>
                <w:rFonts w:eastAsia="Times New Roman"/>
                <w:b/>
                <w:lang w:val="en-GB" w:eastAsia="bs-Latn-BA"/>
              </w:rPr>
              <w:t xml:space="preserve">Purpose and/or outcome </w:t>
            </w:r>
          </w:p>
          <w:p w14:paraId="14324CB4" w14:textId="77777777" w:rsidR="00B40521" w:rsidRPr="00E75D98" w:rsidRDefault="00B40521" w:rsidP="00285903">
            <w:pPr>
              <w:spacing w:after="120" w:line="288" w:lineRule="auto"/>
              <w:jc w:val="both"/>
              <w:rPr>
                <w:rFonts w:eastAsia="Times New Roman"/>
                <w:highlight w:val="yellow"/>
                <w:lang w:val="en-GB" w:eastAsia="bs-Latn-BA"/>
              </w:rPr>
            </w:pPr>
            <w:r w:rsidRPr="00E75D98">
              <w:rPr>
                <w:rFonts w:eastAsia="Times New Roman"/>
                <w:lang w:val="en-GB" w:eastAsia="bs-Latn-BA"/>
              </w:rPr>
              <w:t>The Network should facilitate the sharing of experience in the development of national qualifications frameworks compatible with the overarching framework of qualifications of the EHEA (QF-EHEA) as well as with the EQF. It should provide a forum for national correspondents to exchange experience and to discuss issues of particular relevance to the development and implementation of national frameworks. The Network should seek to further cooperation with the National Coordination Points (NCPs) of the EQF. It should report to the BFUG on its activities and may submit suggestions on policy and practice concerning qualifications frameworks.</w:t>
            </w:r>
          </w:p>
        </w:tc>
      </w:tr>
      <w:tr w:rsidR="00B40521" w:rsidRPr="00040F88" w14:paraId="2329CE2A" w14:textId="77777777" w:rsidTr="00285903">
        <w:trPr>
          <w:trHeight w:val="844"/>
        </w:trPr>
        <w:tc>
          <w:tcPr>
            <w:tcW w:w="10207" w:type="dxa"/>
          </w:tcPr>
          <w:p w14:paraId="0F292DC5" w14:textId="77777777" w:rsidR="00B40521" w:rsidRPr="00E75D98" w:rsidRDefault="00B40521" w:rsidP="00285903">
            <w:pPr>
              <w:spacing w:after="120" w:line="288" w:lineRule="auto"/>
              <w:rPr>
                <w:rFonts w:eastAsia="Times New Roman"/>
                <w:b/>
                <w:lang w:eastAsia="bs-Latn-BA"/>
              </w:rPr>
            </w:pPr>
            <w:r w:rsidRPr="00E75D98">
              <w:rPr>
                <w:rFonts w:eastAsia="Times New Roman"/>
                <w:b/>
                <w:lang w:eastAsia="bs-Latn-BA"/>
              </w:rPr>
              <w:t>Reference to the Bucureşti Communiqué :</w:t>
            </w:r>
          </w:p>
          <w:p w14:paraId="39CD9B2F" w14:textId="77777777" w:rsidR="00B40521" w:rsidRPr="00E75D98" w:rsidRDefault="00B40521" w:rsidP="00285903">
            <w:pPr>
              <w:spacing w:after="120" w:line="288" w:lineRule="auto"/>
              <w:rPr>
                <w:rFonts w:eastAsia="Times New Roman"/>
                <w:lang w:eastAsia="bs-Latn-BA"/>
              </w:rPr>
            </w:pPr>
            <w:r w:rsidRPr="00E75D98">
              <w:rPr>
                <w:rFonts w:eastAsia="Times New Roman"/>
                <w:lang w:eastAsia="bs-Latn-BA"/>
              </w:rPr>
              <w:t>At the European level, in preparation of the Ministerial Conference in 2015 and together with relevant stakeholders, we will….</w:t>
            </w:r>
          </w:p>
          <w:p w14:paraId="1FC731E4" w14:textId="77777777" w:rsidR="00B40521" w:rsidRPr="00E75D98" w:rsidRDefault="00B40521" w:rsidP="00B40521">
            <w:pPr>
              <w:pStyle w:val="ListParagraph"/>
              <w:numPr>
                <w:ilvl w:val="0"/>
                <w:numId w:val="1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contextualSpacing/>
              <w:jc w:val="left"/>
              <w:rPr>
                <w:rFonts w:eastAsia="Times New Roman" w:hAnsi="Times New Roman" w:cs="Times New Roman"/>
                <w:lang w:eastAsia="bs-Latn-BA"/>
              </w:rPr>
            </w:pPr>
            <w:r w:rsidRPr="00E75D98">
              <w:rPr>
                <w:rFonts w:eastAsia="Times New Roman" w:hAnsi="Times New Roman" w:cs="Times New Roman"/>
                <w:lang w:eastAsia="bs-Latn-BA"/>
              </w:rPr>
              <w:t>Coordinate the work of ensuring that qualifications frameworks work in practice, emphasising their link to learning outcomes and explore how QF EHEA could take account of short cycles in national contexts</w:t>
            </w:r>
          </w:p>
          <w:p w14:paraId="37D1CD2C" w14:textId="77777777" w:rsidR="00B40521" w:rsidRPr="00E75D98" w:rsidRDefault="00B40521" w:rsidP="00285903">
            <w:pPr>
              <w:spacing w:after="120" w:line="288" w:lineRule="auto"/>
              <w:rPr>
                <w:rFonts w:eastAsia="Times New Roman"/>
                <w:lang w:eastAsia="bs-Latn-BA"/>
              </w:rPr>
            </w:pPr>
            <w:r w:rsidRPr="00E75D98">
              <w:rPr>
                <w:rFonts w:eastAsia="Times New Roman"/>
                <w:lang w:eastAsia="bs-Latn-BA"/>
              </w:rPr>
              <w:t>At national level, together with the relevant stakeholders, and especially with higher education institutions, we will…</w:t>
            </w:r>
          </w:p>
          <w:p w14:paraId="06B8E68E" w14:textId="77777777" w:rsidR="00B40521" w:rsidRPr="00E75D98" w:rsidRDefault="00B40521" w:rsidP="00B40521">
            <w:pPr>
              <w:pStyle w:val="ListParagraph"/>
              <w:numPr>
                <w:ilvl w:val="0"/>
                <w:numId w:val="1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contextualSpacing/>
              <w:jc w:val="left"/>
              <w:rPr>
                <w:rFonts w:eastAsia="Times New Roman" w:hAnsi="Times New Roman" w:cs="Times New Roman"/>
                <w:lang w:eastAsia="bs-Latn-BA"/>
              </w:rPr>
            </w:pPr>
            <w:r w:rsidRPr="00E75D98">
              <w:rPr>
                <w:rFonts w:eastAsia="Times New Roman" w:hAnsi="Times New Roman" w:cs="Times New Roman"/>
                <w:lang w:eastAsia="bs-Latn-BA"/>
              </w:rPr>
              <w:t>Ensure that qualifications frameworks, ECTS and Diploma Supplement implementation is based on learning outcomes;</w:t>
            </w:r>
          </w:p>
          <w:p w14:paraId="7E7199B1" w14:textId="77777777" w:rsidR="00B40521" w:rsidRPr="00E75D98" w:rsidRDefault="00B40521" w:rsidP="00B40521">
            <w:pPr>
              <w:pStyle w:val="ListParagraph"/>
              <w:numPr>
                <w:ilvl w:val="0"/>
                <w:numId w:val="1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contextualSpacing/>
              <w:jc w:val="left"/>
              <w:rPr>
                <w:rFonts w:eastAsia="Times New Roman" w:hAnsi="Times New Roman" w:cs="Times New Roman"/>
                <w:lang w:eastAsia="bs-Latn-BA"/>
              </w:rPr>
            </w:pPr>
            <w:r w:rsidRPr="00E75D98">
              <w:rPr>
                <w:rFonts w:eastAsia="Times New Roman" w:hAnsi="Times New Roman" w:cs="Times New Roman"/>
                <w:lang w:eastAsia="bs-Latn-BA"/>
              </w:rPr>
              <w:t>Invite countries that cannot finalise the implementation of national qualifications frameworks compatible with QF EHEA by the end of 2012 to redouble their efforts and submit a revised roadmap for this task.</w:t>
            </w:r>
          </w:p>
          <w:p w14:paraId="67221FC6" w14:textId="77777777" w:rsidR="00B40521" w:rsidRPr="00E75D98" w:rsidRDefault="00B40521" w:rsidP="00285903">
            <w:pPr>
              <w:spacing w:line="288" w:lineRule="auto"/>
              <w:rPr>
                <w:rFonts w:eastAsia="Times New Roman"/>
                <w:lang w:eastAsia="bs-Latn-BA"/>
              </w:rPr>
            </w:pPr>
          </w:p>
        </w:tc>
      </w:tr>
      <w:tr w:rsidR="00B40521" w:rsidRPr="00040F88" w14:paraId="61E3B30D" w14:textId="77777777" w:rsidTr="00285903">
        <w:trPr>
          <w:trHeight w:val="793"/>
        </w:trPr>
        <w:tc>
          <w:tcPr>
            <w:tcW w:w="10207" w:type="dxa"/>
          </w:tcPr>
          <w:p w14:paraId="15D6F5EE" w14:textId="77777777" w:rsidR="00B40521" w:rsidRPr="00E75D98" w:rsidRDefault="00B40521" w:rsidP="00285903">
            <w:pPr>
              <w:spacing w:line="288" w:lineRule="auto"/>
              <w:rPr>
                <w:rFonts w:eastAsia="Times New Roman"/>
                <w:b/>
                <w:lang w:val="en-GB" w:eastAsia="bs-Latn-BA"/>
              </w:rPr>
            </w:pPr>
            <w:r w:rsidRPr="00E75D98">
              <w:rPr>
                <w:rFonts w:eastAsia="Times New Roman"/>
                <w:b/>
                <w:lang w:val="en-GB" w:eastAsia="bs-Latn-BA"/>
              </w:rPr>
              <w:t xml:space="preserve">Specific tasks </w:t>
            </w:r>
          </w:p>
          <w:p w14:paraId="72A568AD"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val="en-GB" w:eastAsia="bs-Latn-BA"/>
              </w:rPr>
              <w:t>further contacts and cooperation between national correspondents of member countries;</w:t>
            </w:r>
          </w:p>
          <w:p w14:paraId="4EAD9E0C"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val="en-GB" w:eastAsia="bs-Latn-BA"/>
              </w:rPr>
              <w:t xml:space="preserve">further the exchange of experience and provide a platform for discussion of issues of particular relevance to the development and implementation of national frameworks </w:t>
            </w:r>
            <w:r w:rsidRPr="00E75D98">
              <w:rPr>
                <w:rFonts w:eastAsia="Times New Roman"/>
                <w:lang w:eastAsia="bs-Latn-BA"/>
              </w:rPr>
              <w:t>compatible with the QF-EHEA;</w:t>
            </w:r>
          </w:p>
          <w:p w14:paraId="75950D18"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eastAsia="bs-Latn-BA"/>
              </w:rPr>
              <w:t xml:space="preserve">as required, offer advice on the development and implementation of national frameworks </w:t>
            </w:r>
            <w:r w:rsidRPr="00E75D98">
              <w:rPr>
                <w:rFonts w:eastAsia="Times New Roman"/>
                <w:lang w:eastAsia="bs-Latn-BA"/>
              </w:rPr>
              <w:lastRenderedPageBreak/>
              <w:t>compatible with the QF-EHEA;</w:t>
            </w:r>
          </w:p>
          <w:p w14:paraId="722450A5"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eastAsia="bs-Latn-BA"/>
              </w:rPr>
              <w:t>further and stimulate cooperation with the EQF-LLL, in particular with its National Coordination Points;</w:t>
            </w:r>
          </w:p>
          <w:p w14:paraId="7636BEC0"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eastAsia="bs-Latn-BA"/>
              </w:rPr>
              <w:t>exchange experience with and provide mutual support for the self certification of national qualifications frameworks;</w:t>
            </w:r>
          </w:p>
          <w:p w14:paraId="2D40D2D9"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eastAsia="bs-Latn-BA"/>
              </w:rPr>
              <w:t>stimulate the organization of Bologna conferences and events on issues related to qualifications frameworks and its relation with other key elements of the process as learning outcomes, Quality assurance….</w:t>
            </w:r>
          </w:p>
          <w:p w14:paraId="2AE5957E"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eastAsia="Times New Roman"/>
                <w:lang w:eastAsia="bs-Latn-BA"/>
              </w:rPr>
            </w:pPr>
            <w:r w:rsidRPr="00E75D98">
              <w:rPr>
                <w:rFonts w:eastAsia="Times New Roman"/>
                <w:lang w:eastAsia="bs-Latn-BA"/>
              </w:rPr>
              <w:t>as appropriate, advice the BFUG on matters concerning qualifications frameworks;</w:t>
            </w:r>
          </w:p>
          <w:p w14:paraId="44A4C144" w14:textId="77777777" w:rsidR="00B40521" w:rsidRPr="00E75D98" w:rsidRDefault="00B40521" w:rsidP="00B40521">
            <w:pPr>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lang w:eastAsia="bs-Latn-BA"/>
              </w:rPr>
            </w:pPr>
            <w:r w:rsidRPr="00E75D98">
              <w:rPr>
                <w:rFonts w:eastAsia="Times New Roman"/>
                <w:lang w:eastAsia="bs-Latn-BA"/>
              </w:rPr>
              <w:t>coordinate requests for assistance, including as regards self certification of national frameworks against the overarching framework of qualifications of the EHEA.</w:t>
            </w:r>
          </w:p>
          <w:p w14:paraId="7F9713E8" w14:textId="77777777" w:rsidR="00B40521" w:rsidRPr="00E75D98" w:rsidRDefault="00B40521" w:rsidP="00285903">
            <w:pPr>
              <w:spacing w:line="288" w:lineRule="auto"/>
              <w:ind w:left="720"/>
              <w:jc w:val="both"/>
              <w:rPr>
                <w:rFonts w:eastAsia="Times New Roman"/>
                <w:lang w:eastAsia="bs-Latn-BA"/>
              </w:rPr>
            </w:pPr>
          </w:p>
        </w:tc>
      </w:tr>
      <w:tr w:rsidR="00B40521" w:rsidRPr="00040F88" w14:paraId="66796CCD" w14:textId="77777777" w:rsidTr="00285903">
        <w:trPr>
          <w:trHeight w:val="2379"/>
        </w:trPr>
        <w:tc>
          <w:tcPr>
            <w:tcW w:w="10207" w:type="dxa"/>
          </w:tcPr>
          <w:p w14:paraId="7758D8A7" w14:textId="77777777" w:rsidR="00B40521" w:rsidRPr="00E75D98" w:rsidRDefault="00B40521" w:rsidP="00285903">
            <w:pPr>
              <w:spacing w:after="120" w:line="288" w:lineRule="auto"/>
              <w:jc w:val="both"/>
              <w:rPr>
                <w:rFonts w:eastAsia="Times New Roman"/>
                <w:b/>
                <w:lang w:val="en-GB" w:eastAsia="bs-Latn-BA"/>
              </w:rPr>
            </w:pPr>
            <w:r w:rsidRPr="00E75D98">
              <w:rPr>
                <w:rFonts w:eastAsia="Times New Roman"/>
                <w:b/>
                <w:lang w:val="en-GB" w:eastAsia="bs-Latn-BA"/>
              </w:rPr>
              <w:lastRenderedPageBreak/>
              <w:t xml:space="preserve">Reporting </w:t>
            </w:r>
          </w:p>
          <w:p w14:paraId="267C8431" w14:textId="77777777" w:rsidR="00B40521" w:rsidRPr="00E75D98" w:rsidRDefault="00B40521" w:rsidP="00285903">
            <w:pPr>
              <w:spacing w:line="288" w:lineRule="auto"/>
              <w:jc w:val="both"/>
              <w:rPr>
                <w:rFonts w:eastAsia="Times New Roman"/>
                <w:lang w:val="en-GB" w:eastAsia="bs-Latn-BA"/>
              </w:rPr>
            </w:pPr>
            <w:r w:rsidRPr="00E75D98">
              <w:rPr>
                <w:rFonts w:eastAsia="Times New Roman"/>
                <w:u w:val="single"/>
                <w:lang w:val="en-GB" w:eastAsia="bs-Latn-BA"/>
              </w:rPr>
              <w:t>Minutes</w:t>
            </w:r>
            <w:r w:rsidRPr="00E75D98">
              <w:rPr>
                <w:rFonts w:eastAsia="Times New Roman"/>
                <w:lang w:val="en-GB" w:eastAsia="bs-Latn-BA"/>
              </w:rPr>
              <w:t xml:space="preserve"> of working group meetings will be made available to BFUG on the protected part of the website (by the Bologna Secretariat). </w:t>
            </w:r>
          </w:p>
          <w:p w14:paraId="11E819A8" w14:textId="77777777" w:rsidR="00B40521" w:rsidRPr="00E75D98" w:rsidRDefault="00B40521" w:rsidP="00285903">
            <w:pPr>
              <w:spacing w:line="288" w:lineRule="auto"/>
              <w:jc w:val="both"/>
              <w:rPr>
                <w:rFonts w:eastAsia="Times New Roman"/>
                <w:lang w:val="en-GB" w:eastAsia="bs-Latn-BA"/>
              </w:rPr>
            </w:pPr>
          </w:p>
          <w:p w14:paraId="102CEAF2" w14:textId="77777777" w:rsidR="00B40521" w:rsidRPr="00E75D98" w:rsidRDefault="00B40521" w:rsidP="00285903">
            <w:pPr>
              <w:spacing w:line="288" w:lineRule="auto"/>
              <w:jc w:val="both"/>
              <w:rPr>
                <w:rFonts w:eastAsia="Times New Roman"/>
                <w:lang w:val="en-GB" w:eastAsia="bs-Latn-BA"/>
              </w:rPr>
            </w:pPr>
            <w:r w:rsidRPr="00E75D98">
              <w:rPr>
                <w:rFonts w:eastAsia="Times New Roman"/>
                <w:u w:val="single"/>
                <w:lang w:val="en-GB" w:eastAsia="bs-Latn-BA"/>
              </w:rPr>
              <w:t>BFUG should also receive regular reports and updates</w:t>
            </w:r>
            <w:r w:rsidRPr="00E75D98">
              <w:rPr>
                <w:rFonts w:eastAsia="Times New Roman"/>
                <w:lang w:val="en-GB" w:eastAsia="bs-Latn-BA"/>
              </w:rPr>
              <w:t xml:space="preserve">. </w:t>
            </w:r>
          </w:p>
          <w:p w14:paraId="263E0023" w14:textId="77777777" w:rsidR="00B40521" w:rsidRPr="00E75D98" w:rsidRDefault="00B40521" w:rsidP="00285903">
            <w:pPr>
              <w:spacing w:line="288" w:lineRule="auto"/>
              <w:jc w:val="both"/>
              <w:rPr>
                <w:rFonts w:eastAsia="Times New Roman"/>
                <w:lang w:val="en-GB" w:eastAsia="bs-Latn-BA"/>
              </w:rPr>
            </w:pPr>
            <w:r w:rsidRPr="00E75D98">
              <w:rPr>
                <w:rFonts w:eastAsia="Times New Roman"/>
                <w:lang w:val="en-GB" w:eastAsia="bs-Latn-BA"/>
              </w:rPr>
              <w:t xml:space="preserve">To allow for good communication with BFUG as a whole and for the necessary consultations, progress reports should be submitted at least two weeks before each BFUG meeting. In between BFUG meetings, updates can be circulated by the Bologna Secretariat via e-mail.  </w:t>
            </w:r>
          </w:p>
          <w:p w14:paraId="3397F75D" w14:textId="77777777" w:rsidR="00B40521" w:rsidRPr="00E75D98" w:rsidRDefault="00B40521" w:rsidP="00285903">
            <w:pPr>
              <w:spacing w:line="288" w:lineRule="auto"/>
              <w:jc w:val="both"/>
              <w:rPr>
                <w:rFonts w:eastAsia="Times New Roman"/>
                <w:lang w:val="en-GB" w:eastAsia="bs-Latn-BA"/>
              </w:rPr>
            </w:pPr>
          </w:p>
          <w:p w14:paraId="67F96A8C" w14:textId="77777777" w:rsidR="00B40521" w:rsidRPr="00E75D98" w:rsidRDefault="00B40521" w:rsidP="00285903">
            <w:pPr>
              <w:spacing w:line="288" w:lineRule="auto"/>
              <w:jc w:val="both"/>
              <w:rPr>
                <w:rFonts w:eastAsia="Times New Roman"/>
                <w:lang w:val="en-GB" w:eastAsia="bs-Latn-BA"/>
              </w:rPr>
            </w:pPr>
          </w:p>
        </w:tc>
      </w:tr>
      <w:tr w:rsidR="00B40521" w:rsidRPr="00040F88" w14:paraId="25DDC61F" w14:textId="77777777" w:rsidTr="00285903">
        <w:trPr>
          <w:trHeight w:val="1339"/>
        </w:trPr>
        <w:tc>
          <w:tcPr>
            <w:tcW w:w="10207" w:type="dxa"/>
          </w:tcPr>
          <w:p w14:paraId="5B4FDC8C" w14:textId="77777777" w:rsidR="00B40521" w:rsidRPr="00E75D98" w:rsidRDefault="00B40521" w:rsidP="00285903">
            <w:pPr>
              <w:spacing w:after="120" w:line="288" w:lineRule="auto"/>
              <w:jc w:val="both"/>
              <w:rPr>
                <w:rFonts w:eastAsia="Times New Roman"/>
                <w:lang w:val="en-GB" w:eastAsia="bs-Latn-BA"/>
              </w:rPr>
            </w:pPr>
            <w:r w:rsidRPr="00E75D98">
              <w:rPr>
                <w:rFonts w:eastAsia="Times New Roman"/>
                <w:b/>
                <w:lang w:val="en-GB" w:eastAsia="bs-Latn-BA"/>
              </w:rPr>
              <w:t xml:space="preserve">Meeting schedule </w:t>
            </w:r>
          </w:p>
          <w:p w14:paraId="21CCCC2A" w14:textId="77777777" w:rsidR="00B40521" w:rsidRPr="00E75D98" w:rsidRDefault="00B40521" w:rsidP="00285903">
            <w:pPr>
              <w:spacing w:line="288" w:lineRule="auto"/>
              <w:jc w:val="both"/>
              <w:rPr>
                <w:rFonts w:eastAsia="Times New Roman"/>
                <w:lang w:val="en-GB" w:eastAsia="bs-Latn-BA"/>
              </w:rPr>
            </w:pPr>
            <w:r w:rsidRPr="00E75D98">
              <w:rPr>
                <w:rFonts w:eastAsia="Times New Roman"/>
                <w:lang w:val="en-GB" w:eastAsia="bs-Latn-BA"/>
              </w:rPr>
              <w:t xml:space="preserve">The Network will meet 2 – 3 times a year, as required. At least one yearly meeting should be held jointly with the National Contact Points of the EQF. It may be consulted through electronic correspondence, as appropriate. </w:t>
            </w:r>
          </w:p>
          <w:p w14:paraId="48C130EA" w14:textId="77777777" w:rsidR="00B40521" w:rsidRPr="00E75D98" w:rsidRDefault="00B40521" w:rsidP="00285903">
            <w:pPr>
              <w:spacing w:line="288" w:lineRule="auto"/>
              <w:rPr>
                <w:rFonts w:eastAsia="Times New Roman"/>
                <w:lang w:val="en-GB" w:eastAsia="bs-Latn-BA"/>
              </w:rPr>
            </w:pPr>
          </w:p>
          <w:p w14:paraId="367E49B0" w14:textId="77777777" w:rsidR="00B40521" w:rsidRPr="00E75D98" w:rsidRDefault="00B40521" w:rsidP="00285903">
            <w:pPr>
              <w:spacing w:line="288" w:lineRule="auto"/>
              <w:jc w:val="both"/>
              <w:rPr>
                <w:rFonts w:eastAsia="Times New Roman"/>
                <w:lang w:val="en-GB" w:eastAsia="bs-Latn-BA"/>
              </w:rPr>
            </w:pPr>
          </w:p>
        </w:tc>
      </w:tr>
      <w:tr w:rsidR="00B40521" w:rsidRPr="00040F88" w14:paraId="25C9215C" w14:textId="77777777" w:rsidTr="00285903">
        <w:trPr>
          <w:trHeight w:val="1084"/>
        </w:trPr>
        <w:tc>
          <w:tcPr>
            <w:tcW w:w="10207" w:type="dxa"/>
          </w:tcPr>
          <w:p w14:paraId="48065D4A" w14:textId="77777777" w:rsidR="00B40521" w:rsidRPr="00E75D98" w:rsidRDefault="00B40521" w:rsidP="00285903">
            <w:pPr>
              <w:spacing w:after="120" w:line="288" w:lineRule="auto"/>
              <w:rPr>
                <w:rFonts w:eastAsia="Times New Roman"/>
                <w:lang w:val="en-GB" w:eastAsia="bs-Latn-BA"/>
              </w:rPr>
            </w:pPr>
            <w:r w:rsidRPr="00E75D98">
              <w:rPr>
                <w:rFonts w:eastAsia="Times New Roman"/>
                <w:b/>
                <w:lang w:val="en-GB" w:eastAsia="bs-Latn-BA"/>
              </w:rPr>
              <w:t>Liaison with other Working Groups and networks ’activities</w:t>
            </w:r>
          </w:p>
          <w:p w14:paraId="3735CB68" w14:textId="77777777" w:rsidR="00B40521" w:rsidRPr="00E75D98" w:rsidRDefault="00B40521" w:rsidP="00285903">
            <w:pPr>
              <w:spacing w:after="120" w:line="288" w:lineRule="auto"/>
              <w:rPr>
                <w:rFonts w:eastAsia="Times New Roman"/>
                <w:lang w:val="en-GB" w:eastAsia="bs-Latn-BA"/>
              </w:rPr>
            </w:pPr>
            <w:r w:rsidRPr="00E75D98">
              <w:rPr>
                <w:rFonts w:eastAsia="Times New Roman"/>
                <w:lang w:val="en-GB" w:eastAsia="bs-Latn-BA"/>
              </w:rPr>
              <w:t>The Network of national correspondents will report to the Working Group on Structural Reforms. It may need to make contact with other structures and in particular the working groups responsible for Mobility and Internationationalisation andReporting on the implementation of the Bologna Process and shall consult with the Co-Chairs of the</w:t>
            </w:r>
            <w:r w:rsidRPr="00E75D98">
              <w:t xml:space="preserve"> </w:t>
            </w:r>
            <w:r w:rsidRPr="00E75D98">
              <w:rPr>
                <w:rFonts w:eastAsia="Times New Roman"/>
                <w:lang w:val="en-GB" w:eastAsia="bs-Latn-BA"/>
              </w:rPr>
              <w:t xml:space="preserve">Working Group on Structural Reforms on any such contacts. </w:t>
            </w:r>
          </w:p>
        </w:tc>
      </w:tr>
      <w:tr w:rsidR="00B40521" w:rsidRPr="00040F88" w14:paraId="58D0E8D1" w14:textId="77777777" w:rsidTr="00285903">
        <w:trPr>
          <w:trHeight w:val="844"/>
        </w:trPr>
        <w:tc>
          <w:tcPr>
            <w:tcW w:w="10207" w:type="dxa"/>
          </w:tcPr>
          <w:p w14:paraId="30119253" w14:textId="77777777" w:rsidR="00B40521" w:rsidRPr="00E75D98" w:rsidRDefault="00B40521" w:rsidP="00285903">
            <w:pPr>
              <w:spacing w:after="120" w:line="288" w:lineRule="auto"/>
              <w:jc w:val="both"/>
              <w:rPr>
                <w:rFonts w:eastAsia="Times New Roman"/>
                <w:b/>
                <w:lang w:val="en-GB" w:eastAsia="bs-Latn-BA"/>
              </w:rPr>
            </w:pPr>
            <w:r w:rsidRPr="00E75D98">
              <w:rPr>
                <w:rFonts w:eastAsia="Times New Roman"/>
                <w:b/>
                <w:lang w:val="en-GB" w:eastAsia="bs-Latn-BA"/>
              </w:rPr>
              <w:t xml:space="preserve">Additional remarks </w:t>
            </w:r>
          </w:p>
          <w:p w14:paraId="2D275411" w14:textId="77777777" w:rsidR="00B40521" w:rsidRPr="00E75D98" w:rsidRDefault="00B40521" w:rsidP="00285903">
            <w:pPr>
              <w:spacing w:line="288" w:lineRule="auto"/>
              <w:jc w:val="both"/>
              <w:rPr>
                <w:rFonts w:eastAsia="Times New Roman"/>
                <w:lang w:val="en-GB" w:eastAsia="bs-Latn-BA"/>
              </w:rPr>
            </w:pPr>
            <w:r w:rsidRPr="00E75D98">
              <w:rPr>
                <w:rFonts w:eastAsia="Times New Roman"/>
                <w:lang w:val="en-GB" w:eastAsia="bs-Latn-BA"/>
              </w:rPr>
              <w:t xml:space="preserve">Except in exceptional circumstances, members and observers shall cover the cost of their own </w:t>
            </w:r>
            <w:r w:rsidRPr="00E75D98">
              <w:rPr>
                <w:rFonts w:eastAsia="Times New Roman"/>
                <w:lang w:val="en-GB" w:eastAsia="bs-Latn-BA"/>
              </w:rPr>
              <w:lastRenderedPageBreak/>
              <w:t>participation.</w:t>
            </w:r>
          </w:p>
        </w:tc>
      </w:tr>
    </w:tbl>
    <w:p w14:paraId="61806F31" w14:textId="77777777" w:rsidR="00B40521" w:rsidRPr="00040F88" w:rsidRDefault="00B40521" w:rsidP="00B40521">
      <w:pPr>
        <w:spacing w:line="288" w:lineRule="auto"/>
        <w:rPr>
          <w:rFonts w:eastAsia="Times New Roman"/>
          <w:lang w:eastAsia="bs-Latn-BA"/>
        </w:rPr>
      </w:pPr>
    </w:p>
    <w:p w14:paraId="17369FC4" w14:textId="77777777" w:rsidR="00B40521" w:rsidRPr="00040F88" w:rsidRDefault="00B40521" w:rsidP="00B40521">
      <w:pPr>
        <w:rPr>
          <w:lang w:val="en-GB"/>
        </w:rPr>
      </w:pPr>
    </w:p>
    <w:p w14:paraId="259BEA70" w14:textId="77777777" w:rsidR="00B40521" w:rsidRDefault="00B40521" w:rsidP="00B40521"/>
    <w:p w14:paraId="697D820F" w14:textId="77777777" w:rsidR="00B40521" w:rsidRDefault="00B40521" w:rsidP="00B40521"/>
    <w:p w14:paraId="0EF35C35" w14:textId="77777777" w:rsidR="00B40521" w:rsidRPr="00EB2859" w:rsidRDefault="00B40521" w:rsidP="00B40521">
      <w:pPr>
        <w:ind w:left="-993"/>
        <w:rPr>
          <w:b/>
          <w:lang w:val="en-GB"/>
        </w:rPr>
      </w:pPr>
      <w:r w:rsidRPr="00E75D98">
        <w:rPr>
          <w:b/>
        </w:rPr>
        <w:t>APPENDIX 5</w:t>
      </w:r>
    </w:p>
    <w:p w14:paraId="2925202B" w14:textId="77777777" w:rsidR="00B40521" w:rsidRPr="00EB2859" w:rsidRDefault="00B40521" w:rsidP="00B40521">
      <w:pPr>
        <w:rPr>
          <w:b/>
          <w:lang w:val="en-GB"/>
        </w:rPr>
      </w:pPr>
    </w:p>
    <w:p w14:paraId="104FCCF8" w14:textId="77777777" w:rsidR="00B40521" w:rsidRDefault="00B40521" w:rsidP="00B40521">
      <w:pPr>
        <w:ind w:left="-993"/>
        <w:rPr>
          <w:b/>
          <w:sz w:val="28"/>
          <w:szCs w:val="28"/>
          <w:lang w:val="en-GB"/>
        </w:rPr>
      </w:pPr>
      <w:r w:rsidRPr="00EB2859">
        <w:rPr>
          <w:b/>
          <w:sz w:val="28"/>
          <w:szCs w:val="28"/>
          <w:lang w:val="en-GB"/>
        </w:rPr>
        <w:t>Terms of Reference on</w:t>
      </w:r>
      <w:r w:rsidRPr="00E75D98">
        <w:rPr>
          <w:b/>
          <w:sz w:val="28"/>
          <w:szCs w:val="28"/>
          <w:lang w:val="en-GB"/>
        </w:rPr>
        <w:t xml:space="preserve"> </w:t>
      </w:r>
      <w:r w:rsidRPr="00EB2859">
        <w:rPr>
          <w:b/>
          <w:sz w:val="28"/>
          <w:szCs w:val="28"/>
          <w:lang w:val="en-GB"/>
        </w:rPr>
        <w:t>Recognition of Prior Learning Network</w:t>
      </w:r>
    </w:p>
    <w:p w14:paraId="6076F42C" w14:textId="77777777" w:rsidR="00B40521" w:rsidRPr="00EB2859" w:rsidRDefault="00B40521" w:rsidP="00B40521">
      <w:pPr>
        <w:ind w:left="-993"/>
        <w:rPr>
          <w:b/>
          <w:sz w:val="28"/>
          <w:szCs w:val="28"/>
          <w:lang w:val="en-GB"/>
        </w:rPr>
      </w:pPr>
    </w:p>
    <w:tbl>
      <w:tblPr>
        <w:tblW w:w="10207" w:type="dxa"/>
        <w:tblInd w:w="-885" w:type="dxa"/>
        <w:tblLook w:val="01E0" w:firstRow="1" w:lastRow="1" w:firstColumn="1" w:lastColumn="1" w:noHBand="0" w:noVBand="0"/>
      </w:tblPr>
      <w:tblGrid>
        <w:gridCol w:w="10207"/>
      </w:tblGrid>
      <w:tr w:rsidR="00B40521" w:rsidRPr="00EB2859" w14:paraId="739F8260" w14:textId="77777777" w:rsidTr="00285903">
        <w:trPr>
          <w:trHeight w:val="362"/>
        </w:trPr>
        <w:tc>
          <w:tcPr>
            <w:tcW w:w="10207" w:type="dxa"/>
          </w:tcPr>
          <w:p w14:paraId="4E823106" w14:textId="77777777" w:rsidR="00B40521" w:rsidRPr="00EB2859" w:rsidRDefault="00B40521" w:rsidP="00285903">
            <w:pPr>
              <w:rPr>
                <w:b/>
                <w:sz w:val="28"/>
                <w:szCs w:val="28"/>
                <w:lang w:val="en-GB"/>
              </w:rPr>
            </w:pPr>
          </w:p>
        </w:tc>
      </w:tr>
      <w:tr w:rsidR="00B40521" w:rsidRPr="00EB2859" w14:paraId="094E11EC" w14:textId="77777777" w:rsidTr="0028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760"/>
        </w:trPr>
        <w:tc>
          <w:tcPr>
            <w:tcW w:w="10207" w:type="dxa"/>
          </w:tcPr>
          <w:p w14:paraId="49599CDA" w14:textId="77777777" w:rsidR="00B40521" w:rsidRPr="00EB2859" w:rsidRDefault="00B40521" w:rsidP="00285903">
            <w:pPr>
              <w:spacing w:after="120"/>
              <w:rPr>
                <w:lang w:val="en-GB"/>
              </w:rPr>
            </w:pPr>
            <w:r w:rsidRPr="00EB2859">
              <w:rPr>
                <w:b/>
                <w:lang w:val="en-GB"/>
              </w:rPr>
              <w:t>Contact person (Chair)</w:t>
            </w:r>
            <w:r w:rsidRPr="00EB2859">
              <w:rPr>
                <w:lang w:val="en-GB"/>
              </w:rPr>
              <w:t xml:space="preserve"> </w:t>
            </w:r>
          </w:p>
          <w:p w14:paraId="0DE33A54" w14:textId="77777777" w:rsidR="00B40521" w:rsidRPr="00EB2859" w:rsidRDefault="00B40521" w:rsidP="00285903">
            <w:pPr>
              <w:spacing w:after="120"/>
              <w:rPr>
                <w:b/>
                <w:lang w:val="en-GB"/>
              </w:rPr>
            </w:pPr>
            <w:r w:rsidRPr="00EB2859">
              <w:rPr>
                <w:b/>
                <w:lang w:val="en-GB"/>
              </w:rPr>
              <w:t xml:space="preserve">Marin Gross- </w:t>
            </w:r>
            <w:r w:rsidRPr="00EB2859">
              <w:rPr>
                <w:lang w:val="en-GB"/>
              </w:rPr>
              <w:t>Coordinator</w:t>
            </w:r>
          </w:p>
          <w:p w14:paraId="614167E7" w14:textId="77777777" w:rsidR="00B40521" w:rsidRPr="00EB2859" w:rsidRDefault="00B40521" w:rsidP="00285903">
            <w:pPr>
              <w:spacing w:after="120"/>
              <w:rPr>
                <w:rStyle w:val="Hyperlink"/>
                <w:b/>
                <w:lang w:val="en-GB"/>
              </w:rPr>
            </w:pPr>
            <w:r w:rsidRPr="00EB2859">
              <w:rPr>
                <w:lang w:val="en-GB"/>
              </w:rPr>
              <w:t xml:space="preserve">The network is Chaired by Estonia and there is a Steering Board that is coordinating the Network and is consisting of five members: </w:t>
            </w:r>
            <w:r w:rsidRPr="00EB2859">
              <w:rPr>
                <w:b/>
                <w:lang w:val="en-GB"/>
              </w:rPr>
              <w:t>Marin Gross</w:t>
            </w:r>
            <w:r>
              <w:rPr>
                <w:b/>
                <w:lang w:val="en-GB"/>
              </w:rPr>
              <w:t xml:space="preserve"> </w:t>
            </w:r>
            <w:r w:rsidRPr="00EB2859">
              <w:rPr>
                <w:b/>
                <w:lang w:val="en-GB"/>
              </w:rPr>
              <w:t>(Estonia)</w:t>
            </w:r>
            <w:r w:rsidRPr="00EB2859">
              <w:rPr>
                <w:lang w:val="en-GB"/>
              </w:rPr>
              <w:t xml:space="preserve">, </w:t>
            </w:r>
            <w:r w:rsidRPr="00EB2859">
              <w:rPr>
                <w:rStyle w:val="Hyperlink"/>
                <w:b/>
                <w:lang w:val="en-GB"/>
              </w:rPr>
              <w:t xml:space="preserve">Ruth Whittaker(Scotland), </w:t>
            </w:r>
            <w:r w:rsidRPr="00EB2859">
              <w:rPr>
                <w:b/>
                <w:color w:val="000000"/>
              </w:rPr>
              <w:t>Sylvie Bonichon (EURASHE), Mehmet Durman (Turkey), Deirdre Goggin (Ireland).</w:t>
            </w:r>
          </w:p>
          <w:p w14:paraId="253BFC62" w14:textId="77777777" w:rsidR="00B40521" w:rsidRPr="00EB2859" w:rsidRDefault="00B40521" w:rsidP="00285903">
            <w:pPr>
              <w:spacing w:after="120"/>
              <w:rPr>
                <w:lang w:val="en-GB"/>
              </w:rPr>
            </w:pPr>
          </w:p>
        </w:tc>
      </w:tr>
      <w:tr w:rsidR="00B40521" w:rsidRPr="00EB2859" w14:paraId="6ACCBC9B" w14:textId="77777777" w:rsidTr="0028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2209"/>
        </w:trPr>
        <w:tc>
          <w:tcPr>
            <w:tcW w:w="10207" w:type="dxa"/>
          </w:tcPr>
          <w:p w14:paraId="131247CE" w14:textId="77777777" w:rsidR="00B40521" w:rsidRPr="00EB2859" w:rsidRDefault="00B40521" w:rsidP="00285903">
            <w:pPr>
              <w:keepNext/>
              <w:spacing w:before="240" w:after="60"/>
              <w:rPr>
                <w:b/>
                <w:lang w:val="en-GB"/>
              </w:rPr>
            </w:pPr>
            <w:r w:rsidRPr="00EB2859">
              <w:rPr>
                <w:b/>
                <w:lang w:val="en-GB"/>
              </w:rPr>
              <w:t xml:space="preserve">Composition </w:t>
            </w:r>
          </w:p>
          <w:p w14:paraId="3F595EBC" w14:textId="77777777" w:rsidR="00B40521" w:rsidRPr="00EB2859" w:rsidRDefault="00B40521" w:rsidP="00285903">
            <w:pPr>
              <w:keepNext/>
              <w:keepLines/>
              <w:spacing w:before="200"/>
              <w:outlineLvl w:val="6"/>
              <w:rPr>
                <w:color w:val="FF0000"/>
                <w:lang w:val="en-GB"/>
              </w:rPr>
            </w:pPr>
            <w:r w:rsidRPr="00EB2859">
              <w:rPr>
                <w:color w:val="000000"/>
              </w:rPr>
              <w:t>Andorra,</w:t>
            </w:r>
            <w:r w:rsidRPr="00EB2859">
              <w:rPr>
                <w:lang w:val="en-GB"/>
              </w:rPr>
              <w:t xml:space="preserve"> </w:t>
            </w:r>
            <w:r w:rsidRPr="00EB2859">
              <w:rPr>
                <w:color w:val="000000"/>
              </w:rPr>
              <w:t>Armenia,</w:t>
            </w:r>
            <w:r w:rsidRPr="00EB2859">
              <w:t xml:space="preserve"> </w:t>
            </w:r>
            <w:r w:rsidRPr="00EB2859">
              <w:rPr>
                <w:color w:val="000000"/>
              </w:rPr>
              <w:t>Austria,</w:t>
            </w:r>
            <w:r w:rsidRPr="00EB2859">
              <w:t xml:space="preserve"> </w:t>
            </w:r>
            <w:r w:rsidRPr="00EB2859">
              <w:rPr>
                <w:color w:val="000000"/>
              </w:rPr>
              <w:t>Belgium/Flemish Community, Belgium/French Community Bulgaria,</w:t>
            </w:r>
            <w:r w:rsidRPr="00EB2859">
              <w:t xml:space="preserve"> </w:t>
            </w:r>
            <w:r w:rsidRPr="00EB2859">
              <w:rPr>
                <w:color w:val="000000"/>
              </w:rPr>
              <w:t xml:space="preserve">Croatia, Czech Republic, </w:t>
            </w:r>
            <w:r w:rsidRPr="00EB2859">
              <w:rPr>
                <w:lang w:val="en-GB"/>
              </w:rPr>
              <w:t xml:space="preserve">Estonia, </w:t>
            </w:r>
            <w:r w:rsidRPr="00EB2859">
              <w:rPr>
                <w:color w:val="000000"/>
              </w:rPr>
              <w:t>France, Germany, Iceland, Ireland, Latvia, Malta, Moldova, Poland, Romania, Slovakia, Sweden, Switzerland, Rectors’ Conference of the Swiss Universities, The Netherlands, Turkey, UK</w:t>
            </w:r>
            <w:r w:rsidRPr="00EB2859">
              <w:rPr>
                <w:color w:val="000000"/>
                <w:u w:val="single"/>
              </w:rPr>
              <w:t>,</w:t>
            </w:r>
            <w:r w:rsidRPr="00EB2859">
              <w:rPr>
                <w:color w:val="000000"/>
              </w:rPr>
              <w:t xml:space="preserve"> UK/Scotland, Scottish Social Services Council, European Commission, EUA, EURASHE, UNESCO.</w:t>
            </w:r>
          </w:p>
          <w:p w14:paraId="62943546" w14:textId="77777777" w:rsidR="00B40521" w:rsidRPr="00EB2859" w:rsidRDefault="00B40521" w:rsidP="00285903">
            <w:pPr>
              <w:rPr>
                <w:lang w:val="en-GB"/>
              </w:rPr>
            </w:pPr>
          </w:p>
        </w:tc>
      </w:tr>
      <w:tr w:rsidR="00B40521" w:rsidRPr="00EB2859" w14:paraId="224FD944" w14:textId="77777777" w:rsidTr="0028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844"/>
        </w:trPr>
        <w:tc>
          <w:tcPr>
            <w:tcW w:w="10207" w:type="dxa"/>
          </w:tcPr>
          <w:p w14:paraId="4B6C8204" w14:textId="77777777" w:rsidR="00B40521" w:rsidRPr="00EB2859" w:rsidRDefault="00B40521" w:rsidP="00285903">
            <w:pPr>
              <w:spacing w:after="120"/>
              <w:rPr>
                <w:b/>
                <w:lang w:val="en-GB"/>
              </w:rPr>
            </w:pPr>
            <w:r w:rsidRPr="00EB2859">
              <w:rPr>
                <w:b/>
                <w:lang w:val="en-GB"/>
              </w:rPr>
              <w:t xml:space="preserve">Purpose and/or outcome </w:t>
            </w:r>
          </w:p>
          <w:p w14:paraId="1CC4A919" w14:textId="77777777" w:rsidR="00B40521" w:rsidRPr="00EB2859" w:rsidRDefault="00B40521" w:rsidP="00B40521">
            <w:pPr>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after="60"/>
              <w:jc w:val="both"/>
              <w:rPr>
                <w:lang w:val="en-GB"/>
              </w:rPr>
            </w:pPr>
            <w:r w:rsidRPr="00EB2859">
              <w:rPr>
                <w:lang w:val="en-GB"/>
              </w:rPr>
              <w:t xml:space="preserve">To help promote and inform about practices and effective implementation and use of RPL across the EHEA. </w:t>
            </w:r>
          </w:p>
          <w:p w14:paraId="3F97EF29" w14:textId="77777777" w:rsidR="00B40521" w:rsidRPr="00EB2859" w:rsidRDefault="00B40521" w:rsidP="00B40521">
            <w:pPr>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after="60"/>
              <w:jc w:val="both"/>
              <w:rPr>
                <w:lang w:val="en-GB"/>
              </w:rPr>
            </w:pPr>
            <w:r w:rsidRPr="00EB2859">
              <w:rPr>
                <w:lang w:val="en-GB"/>
              </w:rPr>
              <w:t>To provide a platform for EHEA countries to share and learn from policies and practices on RPL development within the context of Lifelong Learning, widening participation and  workforce development</w:t>
            </w:r>
          </w:p>
          <w:p w14:paraId="42BED1E2" w14:textId="77777777" w:rsidR="00B40521" w:rsidRPr="00EB2859" w:rsidRDefault="00B40521" w:rsidP="00B40521">
            <w:pPr>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after="60"/>
              <w:jc w:val="both"/>
              <w:rPr>
                <w:lang w:val="en-GB"/>
              </w:rPr>
            </w:pPr>
            <w:r w:rsidRPr="00EB2859">
              <w:rPr>
                <w:lang w:val="en-GB"/>
              </w:rPr>
              <w:t>To build links and partnerships between EHEA countries at various stages in RPL development.</w:t>
            </w:r>
          </w:p>
          <w:p w14:paraId="2D86AAB6" w14:textId="77777777" w:rsidR="00B40521" w:rsidRPr="00EB2859" w:rsidRDefault="00B40521" w:rsidP="00285903">
            <w:pPr>
              <w:tabs>
                <w:tab w:val="left" w:pos="5280"/>
              </w:tabs>
              <w:spacing w:after="60"/>
              <w:rPr>
                <w:lang w:val="en-GB"/>
              </w:rPr>
            </w:pPr>
          </w:p>
        </w:tc>
      </w:tr>
      <w:tr w:rsidR="00B40521" w:rsidRPr="00EB2859" w14:paraId="0C41ADAB" w14:textId="77777777" w:rsidTr="0028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740"/>
        </w:trPr>
        <w:tc>
          <w:tcPr>
            <w:tcW w:w="10207" w:type="dxa"/>
          </w:tcPr>
          <w:p w14:paraId="6C4ED4AD" w14:textId="77777777" w:rsidR="00B40521" w:rsidRPr="00EB2859" w:rsidRDefault="00B40521" w:rsidP="00285903">
            <w:pPr>
              <w:spacing w:after="120"/>
              <w:rPr>
                <w:b/>
                <w:lang w:val="fr-FR"/>
              </w:rPr>
            </w:pPr>
            <w:r w:rsidRPr="00EB2859">
              <w:rPr>
                <w:b/>
                <w:lang w:val="en-GB"/>
              </w:rPr>
              <w:t>References</w:t>
            </w:r>
            <w:r w:rsidRPr="00EB2859">
              <w:rPr>
                <w:b/>
                <w:lang w:val="fr-FR"/>
              </w:rPr>
              <w:t xml:space="preserve"> to the  Bucharest Communiqué </w:t>
            </w:r>
          </w:p>
          <w:p w14:paraId="2741DBEC" w14:textId="77777777" w:rsidR="00B40521" w:rsidRPr="00EB2859" w:rsidRDefault="00B40521" w:rsidP="00B40521">
            <w:pPr>
              <w:keepNext/>
              <w:keepLines/>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before="200" w:after="60"/>
              <w:jc w:val="both"/>
              <w:outlineLvl w:val="6"/>
              <w:rPr>
                <w:lang w:val="en-GB"/>
              </w:rPr>
            </w:pPr>
            <w:r w:rsidRPr="00EB2859">
              <w:t xml:space="preserve">“We will step up our efforts towards underrepresented groups to develop the </w:t>
            </w:r>
            <w:r w:rsidRPr="00EB2859">
              <w:rPr>
                <w:bCs/>
              </w:rPr>
              <w:t>social dimension</w:t>
            </w:r>
            <w:r w:rsidRPr="00EB2859">
              <w:rPr>
                <w:b/>
                <w:bCs/>
              </w:rPr>
              <w:t xml:space="preserve"> </w:t>
            </w:r>
            <w:r w:rsidRPr="00EB2859">
              <w:t>of higher education, reduce inequalities and provide adequate student support services, counselling and guidance, flexible learning paths and alternative access routes, including recognition of prior learning. “</w:t>
            </w:r>
          </w:p>
          <w:p w14:paraId="249EB5F1" w14:textId="77777777" w:rsidR="00B40521" w:rsidRPr="00EB2859" w:rsidRDefault="00B40521" w:rsidP="00B40521">
            <w:pPr>
              <w:keepNext/>
              <w:keepLines/>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before="200" w:after="60"/>
              <w:jc w:val="both"/>
              <w:outlineLvl w:val="6"/>
              <w:rPr>
                <w:lang w:val="en-GB"/>
              </w:rPr>
            </w:pPr>
            <w:r w:rsidRPr="00EB2859">
              <w:lastRenderedPageBreak/>
              <w:t>„We will work to ensure that the ECTS Users’ Guide fully reflects the state of on-going work on learning outcomes and recognition of prior learning;“</w:t>
            </w:r>
          </w:p>
          <w:p w14:paraId="77B6A3C8" w14:textId="77777777" w:rsidR="00B40521" w:rsidRPr="00EB2859" w:rsidRDefault="00B40521" w:rsidP="00B40521">
            <w:pPr>
              <w:keepNext/>
              <w:keepLines/>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before="200" w:after="60"/>
              <w:jc w:val="both"/>
              <w:outlineLvl w:val="6"/>
              <w:rPr>
                <w:lang w:val="en-GB"/>
              </w:rPr>
            </w:pPr>
            <w:r w:rsidRPr="00EB2859">
              <w:t xml:space="preserve">Fair academic and professional </w:t>
            </w:r>
            <w:r w:rsidRPr="00EB2859">
              <w:rPr>
                <w:bCs/>
              </w:rPr>
              <w:t>recognition</w:t>
            </w:r>
            <w:r w:rsidRPr="00EB2859">
              <w:t>, including recognition of non-formal and informal learning, is at the core of the EHEA;</w:t>
            </w:r>
          </w:p>
          <w:p w14:paraId="34B62991" w14:textId="77777777" w:rsidR="00B40521" w:rsidRPr="00EB2859" w:rsidRDefault="00B40521" w:rsidP="00B40521">
            <w:pPr>
              <w:keepNext/>
              <w:keepLines/>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before="200" w:after="60"/>
              <w:jc w:val="both"/>
              <w:outlineLvl w:val="6"/>
              <w:rPr>
                <w:lang w:val="en-GB"/>
              </w:rPr>
            </w:pPr>
            <w:r w:rsidRPr="00EB2859">
              <w:t xml:space="preserve">Work to ensure that the ECTS Users’ Guide fully reflects the state of on-going work on learning outcomes and recognition of prior learning; </w:t>
            </w:r>
          </w:p>
          <w:p w14:paraId="4B656788" w14:textId="77777777" w:rsidR="00B40521" w:rsidRPr="00EB2859" w:rsidRDefault="00B40521" w:rsidP="00285903">
            <w:pPr>
              <w:rPr>
                <w:lang w:val="en-GB"/>
              </w:rPr>
            </w:pPr>
          </w:p>
        </w:tc>
      </w:tr>
      <w:tr w:rsidR="00B40521" w:rsidRPr="00EB2859" w14:paraId="4EB3C1EC" w14:textId="77777777" w:rsidTr="0028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844"/>
        </w:trPr>
        <w:tc>
          <w:tcPr>
            <w:tcW w:w="10207" w:type="dxa"/>
          </w:tcPr>
          <w:p w14:paraId="4EB023C1" w14:textId="77777777" w:rsidR="00B40521" w:rsidRPr="00EB2859" w:rsidRDefault="00B40521" w:rsidP="00285903">
            <w:pPr>
              <w:rPr>
                <w:b/>
                <w:lang w:val="en-GB"/>
              </w:rPr>
            </w:pPr>
            <w:r w:rsidRPr="00EB2859">
              <w:rPr>
                <w:b/>
                <w:lang w:val="en-GB"/>
              </w:rPr>
              <w:lastRenderedPageBreak/>
              <w:t xml:space="preserve">Specific tasks </w:t>
            </w:r>
          </w:p>
          <w:p w14:paraId="56588A83" w14:textId="77777777" w:rsidR="00B40521" w:rsidRPr="00EB2859" w:rsidRDefault="00B40521" w:rsidP="00285903">
            <w:pPr>
              <w:rPr>
                <w:b/>
                <w:lang w:val="en-GB"/>
              </w:rPr>
            </w:pPr>
          </w:p>
          <w:p w14:paraId="1DC6B6E8" w14:textId="77777777" w:rsidR="00B40521" w:rsidRPr="00EB2859" w:rsidRDefault="00B40521" w:rsidP="00B40521">
            <w:pPr>
              <w:pStyle w:val="ListParagraph"/>
              <w:numPr>
                <w:ilvl w:val="0"/>
                <w:numId w:val="140"/>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after="200" w:line="288" w:lineRule="auto"/>
              <w:contextualSpacing/>
              <w:jc w:val="left"/>
              <w:rPr>
                <w:rFonts w:hAnsi="Times New Roman"/>
              </w:rPr>
            </w:pPr>
            <w:r w:rsidRPr="00EB2859">
              <w:rPr>
                <w:rFonts w:hAnsi="Times New Roman"/>
              </w:rPr>
              <w:t>To elaborate strategies on how to develop and promote practice of RPL across the EHEA countries, including measures for removing various limitations leading to the award of complete HE qualifications.</w:t>
            </w:r>
          </w:p>
          <w:p w14:paraId="6B63AAA9" w14:textId="77777777" w:rsidR="00B40521" w:rsidRPr="00EB2859" w:rsidRDefault="00B40521" w:rsidP="00285903">
            <w:pPr>
              <w:tabs>
                <w:tab w:val="left" w:pos="5280"/>
              </w:tabs>
              <w:spacing w:line="288" w:lineRule="auto"/>
              <w:rPr>
                <w:lang w:val="en-GB"/>
              </w:rPr>
            </w:pPr>
          </w:p>
          <w:p w14:paraId="69970110" w14:textId="77777777" w:rsidR="00B40521" w:rsidRPr="00EB2859" w:rsidRDefault="00B40521" w:rsidP="00B40521">
            <w:pPr>
              <w:pStyle w:val="ListParagraph"/>
              <w:numPr>
                <w:ilvl w:val="0"/>
                <w:numId w:val="140"/>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after="200" w:line="288" w:lineRule="auto"/>
              <w:contextualSpacing/>
              <w:jc w:val="left"/>
              <w:rPr>
                <w:rFonts w:hAnsi="Times New Roman"/>
              </w:rPr>
            </w:pPr>
            <w:r w:rsidRPr="00EB2859">
              <w:rPr>
                <w:rFonts w:hAnsi="Times New Roman"/>
              </w:rPr>
              <w:t>To build links between EHEA countries at various stages in RPL development.</w:t>
            </w:r>
          </w:p>
          <w:p w14:paraId="6110C3C3" w14:textId="77777777" w:rsidR="00B40521" w:rsidRPr="00EB2859" w:rsidRDefault="006A7244" w:rsidP="00285903">
            <w:hyperlink w:history="1">
              <w:r w:rsidR="00B40521" w:rsidRPr="00E75D98">
                <w:rPr>
                  <w:rStyle w:val="Hyperlink"/>
                </w:rPr>
                <w:t>FOR SJUR.docx</w:t>
              </w:r>
            </w:hyperlink>
          </w:p>
          <w:p w14:paraId="5B3300D5" w14:textId="77777777" w:rsidR="00B40521" w:rsidRPr="00EB2859" w:rsidRDefault="00B40521" w:rsidP="00B40521">
            <w:pPr>
              <w:pStyle w:val="ListParagraph"/>
              <w:numPr>
                <w:ilvl w:val="0"/>
                <w:numId w:val="140"/>
              </w:numPr>
              <w:pBdr>
                <w:top w:val="none" w:sz="0" w:space="0" w:color="auto"/>
                <w:left w:val="none" w:sz="0" w:space="0" w:color="auto"/>
                <w:bottom w:val="none" w:sz="0" w:space="0" w:color="auto"/>
                <w:right w:val="none" w:sz="0" w:space="0" w:color="auto"/>
                <w:between w:val="none" w:sz="0" w:space="0" w:color="auto"/>
                <w:bar w:val="none" w:sz="0" w:color="auto"/>
              </w:pBdr>
              <w:tabs>
                <w:tab w:val="left" w:pos="5280"/>
              </w:tabs>
              <w:spacing w:after="60" w:line="276" w:lineRule="auto"/>
              <w:contextualSpacing/>
              <w:jc w:val="left"/>
              <w:rPr>
                <w:rFonts w:hAnsi="Times New Roman"/>
              </w:rPr>
            </w:pPr>
            <w:r w:rsidRPr="00EB2859">
              <w:rPr>
                <w:rFonts w:hAnsi="Times New Roman"/>
              </w:rPr>
              <w:t>To liaise with other relevant EHEA networks and working groups, in particular the BFUG Working Group on Structural Reforms.</w:t>
            </w:r>
          </w:p>
        </w:tc>
      </w:tr>
      <w:tr w:rsidR="00B40521" w:rsidRPr="00EB2859" w14:paraId="6DCE0CC5" w14:textId="77777777" w:rsidTr="00285903">
        <w:trPr>
          <w:trHeight w:val="1083"/>
        </w:trPr>
        <w:tc>
          <w:tcPr>
            <w:tcW w:w="10207" w:type="dxa"/>
          </w:tcPr>
          <w:p w14:paraId="61234CB4" w14:textId="77777777" w:rsidR="00B40521" w:rsidRPr="00EB2859" w:rsidRDefault="00B40521" w:rsidP="00285903">
            <w:pPr>
              <w:spacing w:after="120"/>
              <w:rPr>
                <w:b/>
                <w:lang w:val="en-GB"/>
              </w:rPr>
            </w:pPr>
            <w:r w:rsidRPr="00EB2859">
              <w:rPr>
                <w:b/>
                <w:lang w:val="en-GB"/>
              </w:rPr>
              <w:t xml:space="preserve">Reporting </w:t>
            </w:r>
          </w:p>
          <w:p w14:paraId="22428AA8" w14:textId="77777777" w:rsidR="00B40521" w:rsidRPr="00EB2859" w:rsidRDefault="00B40521" w:rsidP="00285903">
            <w:pPr>
              <w:rPr>
                <w:lang w:val="en-GB"/>
              </w:rPr>
            </w:pPr>
            <w:r w:rsidRPr="00EB2859">
              <w:rPr>
                <w:lang w:val="en-GB"/>
              </w:rPr>
              <w:t xml:space="preserve">  The RPL Network has to provide regular update to Structural reforms WG and its coordinator will liaise regularly with the Structural Reforms WG. </w:t>
            </w:r>
          </w:p>
        </w:tc>
      </w:tr>
      <w:tr w:rsidR="00B40521" w:rsidRPr="00EB2859" w14:paraId="3AE7A9B8" w14:textId="77777777" w:rsidTr="0028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trHeight w:val="1012"/>
        </w:trPr>
        <w:tc>
          <w:tcPr>
            <w:tcW w:w="10207" w:type="dxa"/>
          </w:tcPr>
          <w:p w14:paraId="14CCD52F" w14:textId="77777777" w:rsidR="00B40521" w:rsidRPr="00EB2859" w:rsidRDefault="00B40521" w:rsidP="00285903">
            <w:pPr>
              <w:spacing w:after="120"/>
              <w:rPr>
                <w:lang w:val="en-GB"/>
              </w:rPr>
            </w:pPr>
            <w:r w:rsidRPr="00EB2859">
              <w:rPr>
                <w:b/>
                <w:lang w:val="en-GB"/>
              </w:rPr>
              <w:t>Meeting schedule  of the RPL Network:</w:t>
            </w:r>
          </w:p>
          <w:p w14:paraId="111B2A0B" w14:textId="77777777" w:rsidR="00B40521" w:rsidRPr="00EB2859" w:rsidRDefault="00B40521" w:rsidP="00285903">
            <w:pPr>
              <w:rPr>
                <w:lang w:val="en-GB"/>
              </w:rPr>
            </w:pPr>
          </w:p>
          <w:p w14:paraId="5A28A3CA" w14:textId="77777777" w:rsidR="00B40521" w:rsidRPr="00EB2859" w:rsidRDefault="00B40521" w:rsidP="00285903">
            <w:pPr>
              <w:rPr>
                <w:lang w:val="en-GB"/>
              </w:rPr>
            </w:pPr>
            <w:r w:rsidRPr="00EB2859">
              <w:rPr>
                <w:lang w:val="en-GB"/>
              </w:rPr>
              <w:t>The Network will meet once per year, more often if required.</w:t>
            </w:r>
          </w:p>
          <w:p w14:paraId="64205446" w14:textId="77777777" w:rsidR="00B40521" w:rsidRPr="00EB2859" w:rsidRDefault="00B40521" w:rsidP="00285903">
            <w:pPr>
              <w:keepNext/>
              <w:keepLines/>
              <w:spacing w:before="200"/>
              <w:outlineLvl w:val="6"/>
              <w:rPr>
                <w:lang w:val="en-GB"/>
              </w:rPr>
            </w:pPr>
            <w:r w:rsidRPr="00EB2859">
              <w:rPr>
                <w:lang w:val="en-GB"/>
              </w:rPr>
              <w:t>The Steering Board will aim to meet once per year before the Network meeting.</w:t>
            </w:r>
          </w:p>
          <w:p w14:paraId="474DDDBE" w14:textId="77777777" w:rsidR="00B40521" w:rsidRPr="00EB2859" w:rsidRDefault="00B40521" w:rsidP="00285903">
            <w:pPr>
              <w:rPr>
                <w:lang w:val="en-GB"/>
              </w:rPr>
            </w:pPr>
          </w:p>
          <w:p w14:paraId="11409379" w14:textId="77777777" w:rsidR="00B40521" w:rsidRPr="00EB2859" w:rsidRDefault="00B40521" w:rsidP="00285903">
            <w:pPr>
              <w:rPr>
                <w:lang w:val="en-GB"/>
              </w:rPr>
            </w:pPr>
            <w:r w:rsidRPr="00EB2859">
              <w:rPr>
                <w:lang w:val="en-GB"/>
              </w:rPr>
              <w:t>13 December 2012, Prague</w:t>
            </w:r>
          </w:p>
          <w:p w14:paraId="75664D70" w14:textId="77777777" w:rsidR="00B40521" w:rsidRPr="00EB2859" w:rsidRDefault="00B40521" w:rsidP="00285903">
            <w:pPr>
              <w:rPr>
                <w:lang w:val="en-GB"/>
              </w:rPr>
            </w:pPr>
            <w:r w:rsidRPr="00EB2859">
              <w:rPr>
                <w:lang w:val="en-GB"/>
              </w:rPr>
              <w:t>26 September 2013, Poland</w:t>
            </w:r>
          </w:p>
          <w:p w14:paraId="70B5C2A3" w14:textId="77777777" w:rsidR="00B40521" w:rsidRPr="00EB2859" w:rsidRDefault="00B40521" w:rsidP="00285903">
            <w:pPr>
              <w:rPr>
                <w:lang w:val="en-GB"/>
              </w:rPr>
            </w:pPr>
            <w:r w:rsidRPr="00EB2859">
              <w:rPr>
                <w:color w:val="000000"/>
              </w:rPr>
              <w:t>17-18 December in Tallin, Estonia</w:t>
            </w:r>
          </w:p>
          <w:p w14:paraId="07F8D849" w14:textId="77777777" w:rsidR="00B40521" w:rsidRPr="00EB2859" w:rsidRDefault="00B40521" w:rsidP="00285903">
            <w:pPr>
              <w:tabs>
                <w:tab w:val="center" w:pos="4536"/>
                <w:tab w:val="right" w:pos="9072"/>
              </w:tabs>
              <w:rPr>
                <w:lang w:val="en-GB"/>
              </w:rPr>
            </w:pPr>
          </w:p>
          <w:p w14:paraId="708E1FBD" w14:textId="77777777" w:rsidR="00B40521" w:rsidRPr="00EB2859" w:rsidRDefault="00B40521" w:rsidP="00285903">
            <w:pPr>
              <w:rPr>
                <w:b/>
                <w:lang w:val="en-GB"/>
              </w:rPr>
            </w:pPr>
            <w:r w:rsidRPr="00EB2859">
              <w:rPr>
                <w:b/>
                <w:lang w:val="en-GB"/>
              </w:rPr>
              <w:t>Other events of the RPL Network:</w:t>
            </w:r>
          </w:p>
          <w:p w14:paraId="176490D8" w14:textId="77777777" w:rsidR="00B40521" w:rsidRPr="00EB2859" w:rsidRDefault="00B40521" w:rsidP="00285903">
            <w:pPr>
              <w:tabs>
                <w:tab w:val="center" w:pos="4536"/>
                <w:tab w:val="right" w:pos="9072"/>
              </w:tabs>
              <w:rPr>
                <w:b/>
                <w:lang w:val="en-GB"/>
              </w:rPr>
            </w:pPr>
          </w:p>
          <w:p w14:paraId="081579A0" w14:textId="77777777" w:rsidR="00B40521" w:rsidRPr="00EB2859" w:rsidRDefault="00B40521" w:rsidP="00285903">
            <w:pPr>
              <w:rPr>
                <w:b/>
                <w:lang w:val="en-GB"/>
              </w:rPr>
            </w:pPr>
            <w:r w:rsidRPr="00EB2859">
              <w:rPr>
                <w:lang w:val="en-GB"/>
              </w:rPr>
              <w:t>14 December ‘EURASHE Seminar on Recognition of Prior Learning (RPL): Flexible Ties within Higher Education’, organized by EURASHE in cooperation with the European RPL Network, the Czech Ministry of Education, Youth and Sports (MŠMT) and the Czech Association of Schools of Professional Higher Education (CASPHE).</w:t>
            </w:r>
          </w:p>
        </w:tc>
      </w:tr>
    </w:tbl>
    <w:p w14:paraId="6466D354" w14:textId="77777777" w:rsidR="00B40521" w:rsidRPr="00EB2859" w:rsidRDefault="00B40521" w:rsidP="00B40521">
      <w:pPr>
        <w:spacing w:after="120"/>
        <w:rPr>
          <w:b/>
          <w:lang w:val="en-GB"/>
        </w:rPr>
      </w:pPr>
    </w:p>
    <w:p w14:paraId="57C63566" w14:textId="77777777" w:rsidR="00B40521" w:rsidRDefault="00B40521" w:rsidP="00B40521"/>
    <w:p w14:paraId="69FB7BDE" w14:textId="77777777" w:rsidR="00B40521" w:rsidRDefault="00B40521" w:rsidP="00B40521"/>
    <w:p w14:paraId="6FCBF07A" w14:textId="77777777" w:rsidR="00B40521" w:rsidRDefault="00B40521" w:rsidP="00B40521"/>
    <w:p w14:paraId="7DD569AF" w14:textId="77777777" w:rsidR="00B40521" w:rsidRDefault="00B40521" w:rsidP="00B40521"/>
    <w:p w14:paraId="7F445808" w14:textId="77777777" w:rsidR="00B40521" w:rsidRDefault="00B40521" w:rsidP="00B40521"/>
    <w:p w14:paraId="7BF215AD" w14:textId="77777777" w:rsidR="00B40521" w:rsidRDefault="00B40521" w:rsidP="00B40521"/>
    <w:p w14:paraId="113687E9" w14:textId="77777777" w:rsidR="00B40521" w:rsidRDefault="00B40521" w:rsidP="00B40521"/>
    <w:p w14:paraId="7408A512" w14:textId="77777777" w:rsidR="00B40521" w:rsidRDefault="00B40521" w:rsidP="00B40521"/>
    <w:p w14:paraId="0AB1A2EC" w14:textId="77777777" w:rsidR="00B40521" w:rsidRPr="000455C6" w:rsidRDefault="00B40521" w:rsidP="00891521">
      <w:pPr>
        <w:rPr>
          <w:b/>
          <w:lang w:val="en-GB"/>
        </w:rPr>
      </w:pPr>
      <w:r w:rsidRPr="000455C6">
        <w:rPr>
          <w:b/>
          <w:lang w:val="en-GB"/>
        </w:rPr>
        <w:t>APPENDIX 6</w:t>
      </w:r>
    </w:p>
    <w:p w14:paraId="5BC3E31E" w14:textId="77777777" w:rsidR="00B40521" w:rsidRPr="00E016C3" w:rsidRDefault="00B40521" w:rsidP="00B40521">
      <w:pPr>
        <w:rPr>
          <w:b/>
          <w:sz w:val="28"/>
          <w:szCs w:val="28"/>
          <w:lang w:val="en-GB"/>
        </w:rPr>
      </w:pPr>
    </w:p>
    <w:p w14:paraId="04ECD643" w14:textId="77777777" w:rsidR="00B40521" w:rsidRPr="00E016C3" w:rsidRDefault="00B40521" w:rsidP="00891521">
      <w:pPr>
        <w:rPr>
          <w:b/>
          <w:sz w:val="28"/>
          <w:szCs w:val="28"/>
          <w:lang w:val="en-GB"/>
        </w:rPr>
      </w:pPr>
      <w:r w:rsidRPr="00E016C3">
        <w:rPr>
          <w:b/>
          <w:sz w:val="28"/>
          <w:szCs w:val="28"/>
          <w:lang w:val="en-GB"/>
        </w:rPr>
        <w:t>EHEA WORKING GROUP ON STRUCTURAL REFORMS</w:t>
      </w:r>
    </w:p>
    <w:p w14:paraId="0CE46C16" w14:textId="77777777" w:rsidR="00B40521" w:rsidRPr="00E016C3" w:rsidRDefault="00B40521" w:rsidP="00891521">
      <w:pPr>
        <w:rPr>
          <w:sz w:val="28"/>
          <w:szCs w:val="28"/>
          <w:lang w:val="en-GB"/>
        </w:rPr>
      </w:pPr>
    </w:p>
    <w:p w14:paraId="32132DC2" w14:textId="77777777" w:rsidR="00B40521" w:rsidRPr="00A37EF4" w:rsidRDefault="00B40521" w:rsidP="00891521">
      <w:pPr>
        <w:rPr>
          <w:i/>
          <w:lang w:val="en-GB"/>
        </w:rPr>
      </w:pPr>
      <w:r w:rsidRPr="00A37EF4">
        <w:rPr>
          <w:i/>
          <w:lang w:val="en-GB"/>
        </w:rPr>
        <w:t>Note: the composition and participation has varied somewhat in the course of the period</w:t>
      </w:r>
    </w:p>
    <w:p w14:paraId="24CF33EF" w14:textId="77777777" w:rsidR="00B40521" w:rsidRPr="00E016C3" w:rsidRDefault="00B40521" w:rsidP="00891521">
      <w:pPr>
        <w:rPr>
          <w:sz w:val="28"/>
          <w:szCs w:val="28"/>
          <w:lang w:val="en-GB"/>
        </w:rPr>
      </w:pPr>
    </w:p>
    <w:p w14:paraId="3C08241A" w14:textId="77777777" w:rsidR="00B40521" w:rsidRPr="00E016C3" w:rsidRDefault="00B40521" w:rsidP="00891521">
      <w:pPr>
        <w:rPr>
          <w:b/>
          <w:lang w:val="en-GB"/>
        </w:rPr>
      </w:pPr>
      <w:r w:rsidRPr="00E016C3">
        <w:rPr>
          <w:b/>
          <w:lang w:val="en-GB"/>
        </w:rPr>
        <w:t>Chairs</w:t>
      </w:r>
    </w:p>
    <w:p w14:paraId="1F5DCFD7" w14:textId="77777777" w:rsidR="00B40521" w:rsidRPr="00E016C3" w:rsidRDefault="00B40521" w:rsidP="00891521">
      <w:pPr>
        <w:rPr>
          <w:lang w:val="en-GB"/>
        </w:rPr>
      </w:pPr>
      <w:r w:rsidRPr="00E016C3">
        <w:rPr>
          <w:lang w:val="en-GB"/>
        </w:rPr>
        <w:t xml:space="preserve"> </w:t>
      </w:r>
    </w:p>
    <w:tbl>
      <w:tblPr>
        <w:tblStyle w:val="TableGrid"/>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B40521" w:rsidRPr="00E016C3" w14:paraId="3987FAC6" w14:textId="77777777" w:rsidTr="00285903">
        <w:tc>
          <w:tcPr>
            <w:tcW w:w="4258" w:type="dxa"/>
          </w:tcPr>
          <w:p w14:paraId="6CFB2F23" w14:textId="77777777" w:rsidR="00B40521" w:rsidRPr="00E016C3" w:rsidRDefault="00B40521" w:rsidP="00891521">
            <w:pPr>
              <w:ind w:left="885"/>
              <w:rPr>
                <w:rFonts w:ascii="Times New Roman" w:hAnsi="Times New Roman" w:cs="Times New Roman"/>
                <w:lang w:val="en-GB"/>
              </w:rPr>
            </w:pPr>
            <w:r w:rsidRPr="00E016C3">
              <w:rPr>
                <w:rFonts w:ascii="Times New Roman" w:hAnsi="Times New Roman" w:cs="Times New Roman"/>
                <w:lang w:val="en-GB"/>
              </w:rPr>
              <w:t>Council of Europe</w:t>
            </w:r>
          </w:p>
        </w:tc>
        <w:tc>
          <w:tcPr>
            <w:tcW w:w="4258" w:type="dxa"/>
          </w:tcPr>
          <w:p w14:paraId="7B4C4F37"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lang w:val="en-GB"/>
              </w:rPr>
              <w:t>Sjur B</w:t>
            </w:r>
            <w:r>
              <w:rPr>
                <w:rFonts w:ascii="Times New Roman" w:hAnsi="Times New Roman" w:cs="Times New Roman"/>
                <w:lang w:val="en-GB"/>
              </w:rPr>
              <w:t>ergan (coordinator)</w:t>
            </w:r>
          </w:p>
        </w:tc>
      </w:tr>
      <w:tr w:rsidR="00B40521" w:rsidRPr="00E016C3" w14:paraId="3C6D2D5D" w14:textId="77777777" w:rsidTr="00285903">
        <w:tc>
          <w:tcPr>
            <w:tcW w:w="4258" w:type="dxa"/>
          </w:tcPr>
          <w:p w14:paraId="30AC5945" w14:textId="77777777" w:rsidR="00B40521" w:rsidRPr="00E016C3" w:rsidRDefault="00B40521" w:rsidP="00891521">
            <w:pPr>
              <w:ind w:left="885"/>
              <w:rPr>
                <w:rFonts w:ascii="Times New Roman" w:hAnsi="Times New Roman" w:cs="Times New Roman"/>
                <w:lang w:val="en-GB"/>
              </w:rPr>
            </w:pPr>
            <w:r w:rsidRPr="00E016C3">
              <w:rPr>
                <w:rFonts w:ascii="Times New Roman" w:hAnsi="Times New Roman" w:cs="Times New Roman"/>
                <w:lang w:val="en-GB"/>
              </w:rPr>
              <w:t>Belgium, Flemish Community</w:t>
            </w:r>
          </w:p>
        </w:tc>
        <w:tc>
          <w:tcPr>
            <w:tcW w:w="4258" w:type="dxa"/>
          </w:tcPr>
          <w:p w14:paraId="5EE96FA6"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Noël V</w:t>
            </w:r>
            <w:r>
              <w:rPr>
                <w:rFonts w:ascii="Times New Roman" w:hAnsi="Times New Roman" w:cs="Times New Roman"/>
                <w:color w:val="000000"/>
                <w:lang w:val="en-GB"/>
              </w:rPr>
              <w:t>ercruysse</w:t>
            </w:r>
          </w:p>
        </w:tc>
      </w:tr>
      <w:tr w:rsidR="00B40521" w:rsidRPr="00E016C3" w14:paraId="52411C83" w14:textId="77777777" w:rsidTr="00285903">
        <w:tc>
          <w:tcPr>
            <w:tcW w:w="4258" w:type="dxa"/>
          </w:tcPr>
          <w:p w14:paraId="43721E81" w14:textId="77777777" w:rsidR="00B40521" w:rsidRPr="00E016C3" w:rsidRDefault="00B40521" w:rsidP="00891521">
            <w:pPr>
              <w:ind w:left="885"/>
              <w:rPr>
                <w:rFonts w:ascii="Times New Roman" w:hAnsi="Times New Roman" w:cs="Times New Roman"/>
                <w:lang w:val="en-GB"/>
              </w:rPr>
            </w:pPr>
            <w:r w:rsidRPr="00E016C3">
              <w:rPr>
                <w:rFonts w:ascii="Times New Roman" w:hAnsi="Times New Roman" w:cs="Times New Roman"/>
                <w:lang w:val="en-GB"/>
              </w:rPr>
              <w:t>Poland</w:t>
            </w:r>
          </w:p>
        </w:tc>
        <w:tc>
          <w:tcPr>
            <w:tcW w:w="4258" w:type="dxa"/>
          </w:tcPr>
          <w:p w14:paraId="0C090CEA" w14:textId="77777777" w:rsidR="00B40521" w:rsidRPr="00E016C3" w:rsidRDefault="00B40521" w:rsidP="00891521">
            <w:pPr>
              <w:rPr>
                <w:rFonts w:ascii="Times New Roman" w:hAnsi="Times New Roman" w:cs="Times New Roman"/>
                <w:lang w:val="en-GB"/>
              </w:rPr>
            </w:pPr>
            <w:r>
              <w:rPr>
                <w:rFonts w:ascii="Times New Roman" w:hAnsi="Times New Roman" w:cs="Times New Roman"/>
                <w:color w:val="000000"/>
                <w:lang w:val="en-GB"/>
              </w:rPr>
              <w:t xml:space="preserve">Bartłomiej </w:t>
            </w:r>
            <w:r w:rsidRPr="00E016C3">
              <w:rPr>
                <w:rFonts w:ascii="Times New Roman" w:hAnsi="Times New Roman" w:cs="Times New Roman"/>
                <w:color w:val="000000"/>
                <w:lang w:val="en-GB"/>
              </w:rPr>
              <w:t xml:space="preserve">Banaszak  </w:t>
            </w:r>
          </w:p>
        </w:tc>
      </w:tr>
      <w:tr w:rsidR="00B40521" w:rsidRPr="00E016C3" w14:paraId="3A3B2347" w14:textId="77777777" w:rsidTr="00285903">
        <w:tc>
          <w:tcPr>
            <w:tcW w:w="4258" w:type="dxa"/>
          </w:tcPr>
          <w:p w14:paraId="26EFAD93" w14:textId="77777777" w:rsidR="00B40521" w:rsidRPr="00E016C3" w:rsidRDefault="00B40521" w:rsidP="00891521">
            <w:pPr>
              <w:ind w:left="885"/>
              <w:rPr>
                <w:rFonts w:ascii="Times New Roman" w:hAnsi="Times New Roman" w:cs="Times New Roman"/>
                <w:lang w:val="en-GB"/>
              </w:rPr>
            </w:pPr>
            <w:r w:rsidRPr="00E016C3">
              <w:rPr>
                <w:rFonts w:ascii="Times New Roman" w:hAnsi="Times New Roman" w:cs="Times New Roman"/>
                <w:lang w:val="en-GB"/>
              </w:rPr>
              <w:t>Holy See</w:t>
            </w:r>
          </w:p>
        </w:tc>
        <w:tc>
          <w:tcPr>
            <w:tcW w:w="4258" w:type="dxa"/>
          </w:tcPr>
          <w:p w14:paraId="53E2AE07" w14:textId="77777777" w:rsidR="00B40521" w:rsidRPr="00E016C3" w:rsidRDefault="00B40521" w:rsidP="00891521">
            <w:pPr>
              <w:rPr>
                <w:rFonts w:ascii="Times New Roman" w:hAnsi="Times New Roman" w:cs="Times New Roman"/>
                <w:lang w:val="en-GB"/>
              </w:rPr>
            </w:pPr>
            <w:r>
              <w:rPr>
                <w:rFonts w:ascii="Times New Roman" w:hAnsi="Times New Roman" w:cs="Times New Roman"/>
                <w:color w:val="000000"/>
                <w:lang w:val="en-GB"/>
              </w:rPr>
              <w:t>Fr.</w:t>
            </w:r>
            <w:r w:rsidRPr="00E016C3">
              <w:rPr>
                <w:rFonts w:ascii="Times New Roman" w:hAnsi="Times New Roman" w:cs="Times New Roman"/>
                <w:color w:val="000000"/>
                <w:lang w:val="en-GB"/>
              </w:rPr>
              <w:t xml:space="preserve"> Friedrich Bechina</w:t>
            </w:r>
            <w:r>
              <w:rPr>
                <w:rFonts w:ascii="Times New Roman" w:hAnsi="Times New Roman" w:cs="Times New Roman"/>
                <w:color w:val="000000"/>
                <w:lang w:val="en-GB"/>
              </w:rPr>
              <w:t>, FSO</w:t>
            </w:r>
            <w:r w:rsidRPr="00E016C3">
              <w:rPr>
                <w:rFonts w:ascii="Times New Roman" w:hAnsi="Times New Roman" w:cs="Times New Roman"/>
                <w:color w:val="000000"/>
                <w:lang w:val="en-GB"/>
              </w:rPr>
              <w:t xml:space="preserve">    </w:t>
            </w:r>
          </w:p>
        </w:tc>
      </w:tr>
    </w:tbl>
    <w:p w14:paraId="09C52161" w14:textId="77777777" w:rsidR="00B40521" w:rsidRPr="00E016C3" w:rsidRDefault="00B40521" w:rsidP="00891521">
      <w:pPr>
        <w:rPr>
          <w:lang w:val="en-GB"/>
        </w:rPr>
      </w:pPr>
    </w:p>
    <w:p w14:paraId="6A9E3DC2" w14:textId="77777777" w:rsidR="00B40521" w:rsidRPr="00E016C3" w:rsidRDefault="00B40521" w:rsidP="00891521">
      <w:pPr>
        <w:rPr>
          <w:lang w:val="en-GB"/>
        </w:rPr>
      </w:pPr>
    </w:p>
    <w:p w14:paraId="53B42C2B" w14:textId="77777777" w:rsidR="00B40521" w:rsidRPr="00E016C3" w:rsidRDefault="00B40521" w:rsidP="00891521">
      <w:pPr>
        <w:rPr>
          <w:b/>
          <w:lang w:val="en-GB"/>
        </w:rPr>
      </w:pPr>
      <w:r w:rsidRPr="00E016C3">
        <w:rPr>
          <w:b/>
          <w:lang w:val="en-GB"/>
        </w:rPr>
        <w:t>Participants-countries</w:t>
      </w:r>
    </w:p>
    <w:p w14:paraId="420F4EA7" w14:textId="77777777" w:rsidR="00B40521" w:rsidRPr="00E016C3" w:rsidRDefault="00B40521" w:rsidP="00891521">
      <w:pPr>
        <w:rPr>
          <w:lang w:val="en-GB"/>
        </w:rPr>
      </w:pPr>
    </w:p>
    <w:tbl>
      <w:tblPr>
        <w:tblStyle w:val="TableGrid"/>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B40521" w:rsidRPr="00E016C3" w14:paraId="3B2DE45F" w14:textId="77777777" w:rsidTr="00285903">
        <w:tc>
          <w:tcPr>
            <w:tcW w:w="4258" w:type="dxa"/>
          </w:tcPr>
          <w:p w14:paraId="60493F1F"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Armenia</w:t>
            </w:r>
          </w:p>
        </w:tc>
        <w:tc>
          <w:tcPr>
            <w:tcW w:w="4258" w:type="dxa"/>
          </w:tcPr>
          <w:p w14:paraId="75077C06"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lang w:val="en-GB"/>
              </w:rPr>
              <w:t>Arkadi P</w:t>
            </w:r>
            <w:r>
              <w:rPr>
                <w:rFonts w:ascii="Times New Roman" w:hAnsi="Times New Roman" w:cs="Times New Roman"/>
                <w:lang w:val="en-GB"/>
              </w:rPr>
              <w:t>apoyan</w:t>
            </w:r>
          </w:p>
        </w:tc>
      </w:tr>
      <w:tr w:rsidR="00B40521" w:rsidRPr="00E016C3" w14:paraId="5976F198" w14:textId="77777777" w:rsidTr="00285903">
        <w:tc>
          <w:tcPr>
            <w:tcW w:w="4258" w:type="dxa"/>
          </w:tcPr>
          <w:p w14:paraId="6A9EE374"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Austria</w:t>
            </w:r>
          </w:p>
        </w:tc>
        <w:tc>
          <w:tcPr>
            <w:tcW w:w="4258" w:type="dxa"/>
          </w:tcPr>
          <w:p w14:paraId="6C88DC43"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lang w:val="en-GB"/>
              </w:rPr>
              <w:t>Regina A</w:t>
            </w:r>
            <w:r>
              <w:rPr>
                <w:rFonts w:ascii="Times New Roman" w:hAnsi="Times New Roman" w:cs="Times New Roman"/>
                <w:lang w:val="en-GB"/>
              </w:rPr>
              <w:t>ichner</w:t>
            </w:r>
          </w:p>
        </w:tc>
      </w:tr>
      <w:tr w:rsidR="00B40521" w:rsidRPr="00E016C3" w14:paraId="534760D2" w14:textId="77777777" w:rsidTr="00285903">
        <w:tc>
          <w:tcPr>
            <w:tcW w:w="4258" w:type="dxa"/>
          </w:tcPr>
          <w:p w14:paraId="431F4CC7"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Belgium, French Community</w:t>
            </w:r>
          </w:p>
        </w:tc>
        <w:tc>
          <w:tcPr>
            <w:tcW w:w="4258" w:type="dxa"/>
          </w:tcPr>
          <w:p w14:paraId="22D15219"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Kevin G</w:t>
            </w:r>
            <w:r>
              <w:rPr>
                <w:rFonts w:ascii="Times New Roman" w:hAnsi="Times New Roman" w:cs="Times New Roman"/>
                <w:color w:val="000000"/>
                <w:lang w:val="en-GB"/>
              </w:rPr>
              <w:t>uillaume</w:t>
            </w:r>
          </w:p>
        </w:tc>
      </w:tr>
      <w:tr w:rsidR="00B40521" w:rsidRPr="00E016C3" w14:paraId="7805C49B" w14:textId="77777777" w:rsidTr="00285903">
        <w:tc>
          <w:tcPr>
            <w:tcW w:w="4258" w:type="dxa"/>
          </w:tcPr>
          <w:p w14:paraId="745A4D06"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Bulgaria</w:t>
            </w:r>
          </w:p>
        </w:tc>
        <w:tc>
          <w:tcPr>
            <w:tcW w:w="4258" w:type="dxa"/>
          </w:tcPr>
          <w:p w14:paraId="4749DF3B"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Yana Dimitrova Y</w:t>
            </w:r>
            <w:r>
              <w:rPr>
                <w:rFonts w:ascii="Times New Roman" w:hAnsi="Times New Roman" w:cs="Times New Roman"/>
                <w:color w:val="000000"/>
                <w:lang w:val="en-GB"/>
              </w:rPr>
              <w:t>otova</w:t>
            </w:r>
          </w:p>
        </w:tc>
      </w:tr>
      <w:tr w:rsidR="00B40521" w:rsidRPr="00E016C3" w14:paraId="4FCEBD2B" w14:textId="77777777" w:rsidTr="00285903">
        <w:tc>
          <w:tcPr>
            <w:tcW w:w="4258" w:type="dxa"/>
          </w:tcPr>
          <w:p w14:paraId="105456E9"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Croatia</w:t>
            </w:r>
          </w:p>
        </w:tc>
        <w:tc>
          <w:tcPr>
            <w:tcW w:w="4258" w:type="dxa"/>
          </w:tcPr>
          <w:p w14:paraId="0E96F201"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Ana Tecilazić G</w:t>
            </w:r>
            <w:r>
              <w:rPr>
                <w:rFonts w:ascii="Times New Roman" w:hAnsi="Times New Roman" w:cs="Times New Roman"/>
                <w:color w:val="000000"/>
                <w:lang w:val="en-GB"/>
              </w:rPr>
              <w:t>oršić</w:t>
            </w:r>
          </w:p>
        </w:tc>
      </w:tr>
      <w:tr w:rsidR="00B40521" w:rsidRPr="00E016C3" w14:paraId="46E424C1" w14:textId="77777777" w:rsidTr="00285903">
        <w:tc>
          <w:tcPr>
            <w:tcW w:w="4258" w:type="dxa"/>
          </w:tcPr>
          <w:p w14:paraId="493C0C49"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Czech Republic</w:t>
            </w:r>
          </w:p>
        </w:tc>
        <w:tc>
          <w:tcPr>
            <w:tcW w:w="4258" w:type="dxa"/>
          </w:tcPr>
          <w:p w14:paraId="1FB03B6A"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Věra  Š</w:t>
            </w:r>
            <w:r>
              <w:rPr>
                <w:rFonts w:ascii="Times New Roman" w:hAnsi="Times New Roman" w:cs="Times New Roman"/>
                <w:color w:val="000000"/>
                <w:lang w:val="en-GB"/>
              </w:rPr>
              <w:t>ťastná</w:t>
            </w:r>
          </w:p>
        </w:tc>
      </w:tr>
      <w:tr w:rsidR="00B40521" w:rsidRPr="00E016C3" w14:paraId="3E9F0A7F" w14:textId="77777777" w:rsidTr="00285903">
        <w:tc>
          <w:tcPr>
            <w:tcW w:w="4258" w:type="dxa"/>
          </w:tcPr>
          <w:p w14:paraId="3962D263"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Denmark</w:t>
            </w:r>
          </w:p>
        </w:tc>
        <w:tc>
          <w:tcPr>
            <w:tcW w:w="4258" w:type="dxa"/>
          </w:tcPr>
          <w:p w14:paraId="1F2DE460"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Allan Bruun P</w:t>
            </w:r>
            <w:r>
              <w:rPr>
                <w:rFonts w:ascii="Times New Roman" w:hAnsi="Times New Roman" w:cs="Times New Roman"/>
                <w:color w:val="000000"/>
                <w:lang w:val="en-GB"/>
              </w:rPr>
              <w:t>edersen</w:t>
            </w:r>
          </w:p>
        </w:tc>
      </w:tr>
      <w:tr w:rsidR="00B40521" w:rsidRPr="00E016C3" w14:paraId="1D6E867F" w14:textId="77777777" w:rsidTr="00285903">
        <w:tc>
          <w:tcPr>
            <w:tcW w:w="4258" w:type="dxa"/>
          </w:tcPr>
          <w:p w14:paraId="766278E2"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Finland</w:t>
            </w:r>
          </w:p>
        </w:tc>
        <w:tc>
          <w:tcPr>
            <w:tcW w:w="4258" w:type="dxa"/>
          </w:tcPr>
          <w:p w14:paraId="3AC472A2" w14:textId="77777777" w:rsidR="00B40521" w:rsidRPr="00E016C3" w:rsidRDefault="00B40521" w:rsidP="00891521">
            <w:pPr>
              <w:rPr>
                <w:rFonts w:ascii="Times New Roman" w:hAnsi="Times New Roman" w:cs="Times New Roman"/>
                <w:lang w:val="en-GB"/>
              </w:rPr>
            </w:pPr>
            <w:r w:rsidRPr="00E016C3">
              <w:rPr>
                <w:rFonts w:ascii="Times New Roman" w:hAnsi="Times New Roman" w:cs="Times New Roman"/>
                <w:color w:val="000000"/>
                <w:lang w:val="en-GB"/>
              </w:rPr>
              <w:t>Carita B</w:t>
            </w:r>
            <w:r>
              <w:rPr>
                <w:rFonts w:ascii="Times New Roman" w:hAnsi="Times New Roman" w:cs="Times New Roman"/>
                <w:color w:val="000000"/>
                <w:lang w:val="en-GB"/>
              </w:rPr>
              <w:t>lomqvist</w:t>
            </w:r>
          </w:p>
        </w:tc>
      </w:tr>
      <w:tr w:rsidR="00B40521" w:rsidRPr="00E016C3" w14:paraId="28E1ADB4" w14:textId="77777777" w:rsidTr="00285903">
        <w:tc>
          <w:tcPr>
            <w:tcW w:w="4258" w:type="dxa"/>
          </w:tcPr>
          <w:p w14:paraId="342A8137"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France</w:t>
            </w:r>
          </w:p>
        </w:tc>
        <w:tc>
          <w:tcPr>
            <w:tcW w:w="4258" w:type="dxa"/>
          </w:tcPr>
          <w:p w14:paraId="5DABF4F8"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Patricia P</w:t>
            </w:r>
            <w:r>
              <w:rPr>
                <w:rFonts w:ascii="Times New Roman" w:hAnsi="Times New Roman" w:cs="Times New Roman"/>
                <w:color w:val="000000"/>
                <w:lang w:val="en-GB"/>
              </w:rPr>
              <w:t>ol</w:t>
            </w:r>
          </w:p>
        </w:tc>
      </w:tr>
      <w:tr w:rsidR="00B40521" w:rsidRPr="00E016C3" w14:paraId="09B95B09" w14:textId="77777777" w:rsidTr="00285903">
        <w:tc>
          <w:tcPr>
            <w:tcW w:w="4258" w:type="dxa"/>
          </w:tcPr>
          <w:p w14:paraId="74D1A389"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Georgia</w:t>
            </w:r>
          </w:p>
        </w:tc>
        <w:tc>
          <w:tcPr>
            <w:tcW w:w="4258" w:type="dxa"/>
          </w:tcPr>
          <w:p w14:paraId="297BB41C" w14:textId="77777777" w:rsidR="00B40521" w:rsidRPr="00E016C3" w:rsidRDefault="00B40521" w:rsidP="00891521">
            <w:pPr>
              <w:widowControl w:val="0"/>
              <w:autoSpaceDE w:val="0"/>
              <w:autoSpaceDN w:val="0"/>
              <w:adjustRightInd w:val="0"/>
              <w:rPr>
                <w:rFonts w:ascii="Times New Roman" w:hAnsi="Times New Roman" w:cs="Times New Roman"/>
                <w:lang w:val="en-GB"/>
              </w:rPr>
            </w:pPr>
            <w:r w:rsidRPr="00E016C3">
              <w:rPr>
                <w:noProof/>
                <w:lang w:val="ru-RU" w:eastAsia="ru-RU"/>
              </w:rPr>
              <w:drawing>
                <wp:inline distT="0" distB="0" distL="0" distR="0" wp14:anchorId="1BBA5574" wp14:editId="566CFBB6">
                  <wp:extent cx="12700" cy="12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016C3">
              <w:rPr>
                <w:rFonts w:ascii="Times New Roman" w:hAnsi="Times New Roman" w:cs="Times New Roman"/>
                <w:lang w:val="en-GB"/>
              </w:rPr>
              <w:t>Elene J</w:t>
            </w:r>
            <w:r>
              <w:rPr>
                <w:rFonts w:ascii="Times New Roman" w:hAnsi="Times New Roman" w:cs="Times New Roman"/>
                <w:lang w:val="en-GB"/>
              </w:rPr>
              <w:t>ibladze</w:t>
            </w:r>
          </w:p>
        </w:tc>
      </w:tr>
      <w:tr w:rsidR="00B40521" w:rsidRPr="00E016C3" w14:paraId="41500AE2" w14:textId="77777777" w:rsidTr="00285903">
        <w:tc>
          <w:tcPr>
            <w:tcW w:w="4258" w:type="dxa"/>
          </w:tcPr>
          <w:p w14:paraId="26E618FA"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Germany</w:t>
            </w:r>
          </w:p>
        </w:tc>
        <w:tc>
          <w:tcPr>
            <w:tcW w:w="4258" w:type="dxa"/>
          </w:tcPr>
          <w:p w14:paraId="6458E4D7"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Olaf B</w:t>
            </w:r>
            <w:r>
              <w:rPr>
                <w:rFonts w:ascii="Times New Roman" w:hAnsi="Times New Roman" w:cs="Times New Roman"/>
                <w:color w:val="000000"/>
                <w:lang w:val="en-GB"/>
              </w:rPr>
              <w:t>artz</w:t>
            </w:r>
          </w:p>
        </w:tc>
      </w:tr>
      <w:tr w:rsidR="00B40521" w:rsidRPr="00E016C3" w14:paraId="40CE3D4A" w14:textId="77777777" w:rsidTr="00285903">
        <w:tc>
          <w:tcPr>
            <w:tcW w:w="4258" w:type="dxa"/>
          </w:tcPr>
          <w:p w14:paraId="36BE66D4"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Greece</w:t>
            </w:r>
          </w:p>
        </w:tc>
        <w:tc>
          <w:tcPr>
            <w:tcW w:w="4258" w:type="dxa"/>
          </w:tcPr>
          <w:p w14:paraId="417BADFB"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Christos S</w:t>
            </w:r>
            <w:r>
              <w:rPr>
                <w:rFonts w:ascii="Times New Roman" w:hAnsi="Times New Roman" w:cs="Times New Roman"/>
                <w:color w:val="000000"/>
                <w:lang w:val="en-GB"/>
              </w:rPr>
              <w:t>kouras</w:t>
            </w:r>
          </w:p>
        </w:tc>
      </w:tr>
      <w:tr w:rsidR="00B40521" w:rsidRPr="00E016C3" w14:paraId="4D252906" w14:textId="77777777" w:rsidTr="00285903">
        <w:tc>
          <w:tcPr>
            <w:tcW w:w="4258" w:type="dxa"/>
          </w:tcPr>
          <w:p w14:paraId="4312282F"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Hungary</w:t>
            </w:r>
          </w:p>
        </w:tc>
        <w:tc>
          <w:tcPr>
            <w:tcW w:w="4258" w:type="dxa"/>
          </w:tcPr>
          <w:p w14:paraId="2A9C66EC"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Erzsébet S</w:t>
            </w:r>
            <w:r>
              <w:rPr>
                <w:rFonts w:ascii="Times New Roman" w:hAnsi="Times New Roman" w:cs="Times New Roman"/>
                <w:color w:val="000000"/>
                <w:lang w:val="en-GB"/>
              </w:rPr>
              <w:t>zlamka</w:t>
            </w:r>
          </w:p>
        </w:tc>
      </w:tr>
      <w:tr w:rsidR="00B40521" w:rsidRPr="00E016C3" w14:paraId="49D81238" w14:textId="77777777" w:rsidTr="00285903">
        <w:tc>
          <w:tcPr>
            <w:tcW w:w="4258" w:type="dxa"/>
          </w:tcPr>
          <w:p w14:paraId="25A3BB59"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Ireland</w:t>
            </w:r>
          </w:p>
        </w:tc>
        <w:tc>
          <w:tcPr>
            <w:tcW w:w="4258" w:type="dxa"/>
          </w:tcPr>
          <w:p w14:paraId="15571BF4"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Bryan M</w:t>
            </w:r>
            <w:r>
              <w:rPr>
                <w:rFonts w:ascii="Times New Roman" w:hAnsi="Times New Roman" w:cs="Times New Roman"/>
                <w:color w:val="000000"/>
                <w:lang w:val="en-GB"/>
              </w:rPr>
              <w:t>aguire</w:t>
            </w:r>
          </w:p>
        </w:tc>
      </w:tr>
      <w:tr w:rsidR="00B40521" w:rsidRPr="00E016C3" w14:paraId="187B48C2" w14:textId="77777777" w:rsidTr="00285903">
        <w:tc>
          <w:tcPr>
            <w:tcW w:w="4258" w:type="dxa"/>
          </w:tcPr>
          <w:p w14:paraId="013FB920"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Kazakhstan</w:t>
            </w:r>
          </w:p>
        </w:tc>
        <w:tc>
          <w:tcPr>
            <w:tcW w:w="4258" w:type="dxa"/>
          </w:tcPr>
          <w:p w14:paraId="04ADBEBF"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Kymbat  B</w:t>
            </w:r>
            <w:r>
              <w:rPr>
                <w:rFonts w:ascii="Times New Roman" w:hAnsi="Times New Roman" w:cs="Times New Roman"/>
                <w:color w:val="000000"/>
                <w:lang w:val="en-GB"/>
              </w:rPr>
              <w:t>eisekina</w:t>
            </w:r>
            <w:r w:rsidRPr="00E016C3">
              <w:rPr>
                <w:rFonts w:ascii="Times New Roman" w:hAnsi="Times New Roman" w:cs="Times New Roman"/>
                <w:color w:val="000000"/>
                <w:lang w:val="en-GB"/>
              </w:rPr>
              <w:t xml:space="preserve">   </w:t>
            </w:r>
          </w:p>
        </w:tc>
      </w:tr>
      <w:tr w:rsidR="00B40521" w:rsidRPr="00E016C3" w14:paraId="1B6689EF" w14:textId="77777777" w:rsidTr="00285903">
        <w:tc>
          <w:tcPr>
            <w:tcW w:w="4258" w:type="dxa"/>
          </w:tcPr>
          <w:p w14:paraId="4CA2EF42"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Lithuania</w:t>
            </w:r>
          </w:p>
        </w:tc>
        <w:tc>
          <w:tcPr>
            <w:tcW w:w="4258" w:type="dxa"/>
          </w:tcPr>
          <w:p w14:paraId="21C19B10"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Aurelija V</w:t>
            </w:r>
            <w:r>
              <w:rPr>
                <w:rFonts w:ascii="Times New Roman" w:hAnsi="Times New Roman" w:cs="Times New Roman"/>
                <w:color w:val="000000"/>
                <w:lang w:val="en-GB"/>
              </w:rPr>
              <w:t>aleikienė</w:t>
            </w:r>
          </w:p>
        </w:tc>
      </w:tr>
      <w:tr w:rsidR="00B40521" w:rsidRPr="00E016C3" w14:paraId="167DC017" w14:textId="77777777" w:rsidTr="00285903">
        <w:tc>
          <w:tcPr>
            <w:tcW w:w="4258" w:type="dxa"/>
          </w:tcPr>
          <w:p w14:paraId="47C6567D"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Moldova</w:t>
            </w:r>
          </w:p>
        </w:tc>
        <w:tc>
          <w:tcPr>
            <w:tcW w:w="4258" w:type="dxa"/>
          </w:tcPr>
          <w:p w14:paraId="1EF0C9E3"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Larisa  B</w:t>
            </w:r>
            <w:r>
              <w:rPr>
                <w:rFonts w:ascii="Times New Roman" w:hAnsi="Times New Roman" w:cs="Times New Roman"/>
                <w:color w:val="000000"/>
                <w:lang w:val="en-GB"/>
              </w:rPr>
              <w:t>ugaian</w:t>
            </w:r>
            <w:r w:rsidRPr="00E016C3">
              <w:rPr>
                <w:rFonts w:ascii="Times New Roman" w:hAnsi="Times New Roman" w:cs="Times New Roman"/>
                <w:color w:val="000000"/>
                <w:lang w:val="en-GB"/>
              </w:rPr>
              <w:t xml:space="preserve">  </w:t>
            </w:r>
          </w:p>
        </w:tc>
      </w:tr>
      <w:tr w:rsidR="00B40521" w:rsidRPr="00E016C3" w14:paraId="13665CE7" w14:textId="77777777" w:rsidTr="00285903">
        <w:tc>
          <w:tcPr>
            <w:tcW w:w="4258" w:type="dxa"/>
          </w:tcPr>
          <w:p w14:paraId="713EF5CA"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Netherlands</w:t>
            </w:r>
          </w:p>
        </w:tc>
        <w:tc>
          <w:tcPr>
            <w:tcW w:w="4258" w:type="dxa"/>
          </w:tcPr>
          <w:p w14:paraId="17683282" w14:textId="77777777" w:rsidR="00B40521" w:rsidRPr="00E016C3" w:rsidRDefault="00B40521" w:rsidP="00891521">
            <w:pPr>
              <w:rPr>
                <w:rFonts w:ascii="Times New Roman" w:hAnsi="Times New Roman" w:cs="Times New Roman"/>
                <w:color w:val="000000"/>
                <w:lang w:val="en-GB"/>
              </w:rPr>
            </w:pPr>
            <w:r w:rsidRPr="00E016C3">
              <w:rPr>
                <w:rFonts w:ascii="Times New Roman" w:hAnsi="Times New Roman" w:cs="Times New Roman"/>
                <w:color w:val="000000"/>
                <w:lang w:val="en-GB"/>
              </w:rPr>
              <w:t>Mark F</w:t>
            </w:r>
            <w:r>
              <w:rPr>
                <w:rFonts w:ascii="Times New Roman" w:hAnsi="Times New Roman" w:cs="Times New Roman"/>
                <w:color w:val="000000"/>
                <w:lang w:val="en-GB"/>
              </w:rPr>
              <w:t>rederiks</w:t>
            </w:r>
            <w:r w:rsidRPr="00E016C3">
              <w:rPr>
                <w:rFonts w:ascii="Times New Roman" w:hAnsi="Times New Roman" w:cs="Times New Roman"/>
                <w:color w:val="000000"/>
                <w:lang w:val="en-GB"/>
              </w:rPr>
              <w:t xml:space="preserve">    </w:t>
            </w:r>
          </w:p>
        </w:tc>
      </w:tr>
      <w:tr w:rsidR="00B40521" w:rsidRPr="00E016C3" w14:paraId="71872278" w14:textId="77777777" w:rsidTr="00285903">
        <w:tc>
          <w:tcPr>
            <w:tcW w:w="4258" w:type="dxa"/>
          </w:tcPr>
          <w:p w14:paraId="5906BBD2"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Portugal</w:t>
            </w:r>
          </w:p>
        </w:tc>
        <w:tc>
          <w:tcPr>
            <w:tcW w:w="4258" w:type="dxa"/>
          </w:tcPr>
          <w:p w14:paraId="72604014" w14:textId="77777777" w:rsidR="00B40521" w:rsidRPr="00E016C3" w:rsidRDefault="00B40521" w:rsidP="00891521">
            <w:pPr>
              <w:widowControl w:val="0"/>
              <w:autoSpaceDE w:val="0"/>
              <w:autoSpaceDN w:val="0"/>
              <w:adjustRightInd w:val="0"/>
              <w:rPr>
                <w:rFonts w:ascii="Times New Roman" w:hAnsi="Times New Roman" w:cs="Times New Roman"/>
                <w:lang w:val="en-GB"/>
              </w:rPr>
            </w:pPr>
            <w:r w:rsidRPr="00E016C3">
              <w:rPr>
                <w:rFonts w:ascii="Times New Roman" w:hAnsi="Times New Roman" w:cs="Times New Roman"/>
                <w:lang w:val="en-GB"/>
              </w:rPr>
              <w:t>Priscila Alexandra C</w:t>
            </w:r>
            <w:r>
              <w:rPr>
                <w:rFonts w:ascii="Times New Roman" w:hAnsi="Times New Roman" w:cs="Times New Roman"/>
                <w:lang w:val="en-GB"/>
              </w:rPr>
              <w:t>outo</w:t>
            </w:r>
          </w:p>
        </w:tc>
      </w:tr>
      <w:tr w:rsidR="00B40521" w:rsidRPr="00E016C3" w14:paraId="2AF4DA58" w14:textId="77777777" w:rsidTr="00285903">
        <w:trPr>
          <w:trHeight w:val="90"/>
        </w:trPr>
        <w:tc>
          <w:tcPr>
            <w:tcW w:w="4258" w:type="dxa"/>
          </w:tcPr>
          <w:p w14:paraId="68424250"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Romania</w:t>
            </w:r>
          </w:p>
        </w:tc>
        <w:tc>
          <w:tcPr>
            <w:tcW w:w="4258" w:type="dxa"/>
          </w:tcPr>
          <w:p w14:paraId="50F6E67B" w14:textId="77777777" w:rsidR="00B40521" w:rsidRPr="00E016C3" w:rsidRDefault="00B40521" w:rsidP="00891521">
            <w:pPr>
              <w:widowControl w:val="0"/>
              <w:autoSpaceDE w:val="0"/>
              <w:autoSpaceDN w:val="0"/>
              <w:adjustRightInd w:val="0"/>
              <w:rPr>
                <w:rFonts w:ascii="Times New Roman" w:hAnsi="Times New Roman" w:cs="Times New Roman"/>
                <w:lang w:val="en-GB"/>
              </w:rPr>
            </w:pPr>
            <w:r w:rsidRPr="00E016C3">
              <w:rPr>
                <w:rFonts w:ascii="Times New Roman" w:hAnsi="Times New Roman" w:cs="Times New Roman"/>
                <w:color w:val="000000"/>
                <w:lang w:val="en-GB"/>
              </w:rPr>
              <w:t>Iordan P</w:t>
            </w:r>
            <w:r>
              <w:rPr>
                <w:rFonts w:ascii="Times New Roman" w:hAnsi="Times New Roman" w:cs="Times New Roman"/>
                <w:color w:val="000000"/>
                <w:lang w:val="en-GB"/>
              </w:rPr>
              <w:t>etrescu</w:t>
            </w:r>
            <w:r w:rsidRPr="00E016C3">
              <w:rPr>
                <w:rFonts w:ascii="Times New Roman" w:hAnsi="Times New Roman" w:cs="Times New Roman"/>
                <w:color w:val="000000"/>
                <w:lang w:val="en-GB"/>
              </w:rPr>
              <w:t xml:space="preserve"> </w:t>
            </w:r>
          </w:p>
        </w:tc>
      </w:tr>
      <w:tr w:rsidR="00B40521" w:rsidRPr="00E016C3" w14:paraId="3534168F" w14:textId="77777777" w:rsidTr="00285903">
        <w:trPr>
          <w:trHeight w:val="90"/>
        </w:trPr>
        <w:tc>
          <w:tcPr>
            <w:tcW w:w="4258" w:type="dxa"/>
          </w:tcPr>
          <w:p w14:paraId="0E693DC2"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Slovak Republic</w:t>
            </w:r>
          </w:p>
        </w:tc>
        <w:tc>
          <w:tcPr>
            <w:tcW w:w="4258" w:type="dxa"/>
          </w:tcPr>
          <w:p w14:paraId="76730281"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Peter P</w:t>
            </w:r>
            <w:r>
              <w:rPr>
                <w:rFonts w:ascii="Times New Roman" w:hAnsi="Times New Roman" w:cs="Times New Roman"/>
                <w:color w:val="000000"/>
                <w:lang w:val="en-GB"/>
              </w:rPr>
              <w:t>lâvcan</w:t>
            </w:r>
          </w:p>
        </w:tc>
      </w:tr>
      <w:tr w:rsidR="00B40521" w:rsidRPr="00E016C3" w14:paraId="7B0F8D19" w14:textId="77777777" w:rsidTr="00285903">
        <w:trPr>
          <w:trHeight w:val="90"/>
        </w:trPr>
        <w:tc>
          <w:tcPr>
            <w:tcW w:w="4258" w:type="dxa"/>
          </w:tcPr>
          <w:p w14:paraId="2A5243FE"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Spain</w:t>
            </w:r>
          </w:p>
        </w:tc>
        <w:tc>
          <w:tcPr>
            <w:tcW w:w="4258" w:type="dxa"/>
          </w:tcPr>
          <w:p w14:paraId="31072B29"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Margarita L</w:t>
            </w:r>
            <w:r>
              <w:rPr>
                <w:rFonts w:ascii="Times New Roman" w:hAnsi="Times New Roman" w:cs="Times New Roman"/>
                <w:color w:val="000000"/>
                <w:lang w:val="en-GB"/>
              </w:rPr>
              <w:t>ezcano</w:t>
            </w:r>
          </w:p>
        </w:tc>
      </w:tr>
      <w:tr w:rsidR="00B40521" w:rsidRPr="00E016C3" w14:paraId="667CA341" w14:textId="77777777" w:rsidTr="00285903">
        <w:trPr>
          <w:trHeight w:val="90"/>
        </w:trPr>
        <w:tc>
          <w:tcPr>
            <w:tcW w:w="4258" w:type="dxa"/>
          </w:tcPr>
          <w:p w14:paraId="1EA4E3AE"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Switzerland</w:t>
            </w:r>
          </w:p>
        </w:tc>
        <w:tc>
          <w:tcPr>
            <w:tcW w:w="4258" w:type="dxa"/>
          </w:tcPr>
          <w:p w14:paraId="36BF5DC2"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Eva G</w:t>
            </w:r>
            <w:r>
              <w:rPr>
                <w:rFonts w:ascii="Times New Roman" w:hAnsi="Times New Roman" w:cs="Times New Roman"/>
                <w:color w:val="000000"/>
                <w:lang w:val="en-GB"/>
              </w:rPr>
              <w:t>rob</w:t>
            </w:r>
          </w:p>
        </w:tc>
      </w:tr>
      <w:tr w:rsidR="00B40521" w:rsidRPr="00E016C3" w14:paraId="672F8D50" w14:textId="77777777" w:rsidTr="00285903">
        <w:trPr>
          <w:trHeight w:val="90"/>
        </w:trPr>
        <w:tc>
          <w:tcPr>
            <w:tcW w:w="4258" w:type="dxa"/>
          </w:tcPr>
          <w:p w14:paraId="568FF544"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lastRenderedPageBreak/>
              <w:t>Sweden</w:t>
            </w:r>
          </w:p>
        </w:tc>
        <w:tc>
          <w:tcPr>
            <w:tcW w:w="4258" w:type="dxa"/>
          </w:tcPr>
          <w:p w14:paraId="6BC106D2"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Sara Bringle</w:t>
            </w:r>
          </w:p>
        </w:tc>
      </w:tr>
      <w:tr w:rsidR="00B40521" w:rsidRPr="00E016C3" w14:paraId="502511D2" w14:textId="77777777" w:rsidTr="00285903">
        <w:trPr>
          <w:trHeight w:val="90"/>
        </w:trPr>
        <w:tc>
          <w:tcPr>
            <w:tcW w:w="4258" w:type="dxa"/>
          </w:tcPr>
          <w:p w14:paraId="264D2CFA"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Turkey</w:t>
            </w:r>
          </w:p>
        </w:tc>
        <w:tc>
          <w:tcPr>
            <w:tcW w:w="4258" w:type="dxa"/>
          </w:tcPr>
          <w:p w14:paraId="79C33068"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Canan U</w:t>
            </w:r>
            <w:r>
              <w:rPr>
                <w:rFonts w:ascii="Times New Roman" w:hAnsi="Times New Roman" w:cs="Times New Roman"/>
                <w:color w:val="000000"/>
                <w:lang w:val="en-GB"/>
              </w:rPr>
              <w:t>nvan</w:t>
            </w:r>
          </w:p>
        </w:tc>
      </w:tr>
      <w:tr w:rsidR="00B40521" w:rsidRPr="00E016C3" w14:paraId="09A72374" w14:textId="77777777" w:rsidTr="00285903">
        <w:trPr>
          <w:trHeight w:val="90"/>
        </w:trPr>
        <w:tc>
          <w:tcPr>
            <w:tcW w:w="4258" w:type="dxa"/>
          </w:tcPr>
          <w:p w14:paraId="392991DC"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United Kingdom</w:t>
            </w:r>
          </w:p>
        </w:tc>
        <w:tc>
          <w:tcPr>
            <w:tcW w:w="4258" w:type="dxa"/>
          </w:tcPr>
          <w:p w14:paraId="0ACD8655"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Carol</w:t>
            </w:r>
            <w:r>
              <w:rPr>
                <w:rFonts w:ascii="Times New Roman" w:hAnsi="Times New Roman" w:cs="Times New Roman"/>
                <w:color w:val="000000"/>
                <w:lang w:val="en-GB"/>
              </w:rPr>
              <w:t>yn</w:t>
            </w:r>
            <w:r w:rsidRPr="00E016C3">
              <w:rPr>
                <w:rFonts w:ascii="Times New Roman" w:hAnsi="Times New Roman" w:cs="Times New Roman"/>
                <w:color w:val="000000"/>
                <w:lang w:val="en-GB"/>
              </w:rPr>
              <w:t xml:space="preserve"> C</w:t>
            </w:r>
            <w:r>
              <w:rPr>
                <w:rFonts w:ascii="Times New Roman" w:hAnsi="Times New Roman" w:cs="Times New Roman"/>
                <w:color w:val="000000"/>
                <w:lang w:val="en-GB"/>
              </w:rPr>
              <w:t>ampbell</w:t>
            </w:r>
          </w:p>
        </w:tc>
      </w:tr>
      <w:tr w:rsidR="00B40521" w:rsidRPr="00E016C3" w14:paraId="3F6E393E" w14:textId="77777777" w:rsidTr="00285903">
        <w:trPr>
          <w:trHeight w:val="132"/>
        </w:trPr>
        <w:tc>
          <w:tcPr>
            <w:tcW w:w="4258" w:type="dxa"/>
          </w:tcPr>
          <w:p w14:paraId="6C07D1EF" w14:textId="77777777" w:rsidR="00B40521" w:rsidRPr="00E016C3" w:rsidRDefault="00B40521" w:rsidP="00891521">
            <w:pPr>
              <w:ind w:left="743"/>
              <w:rPr>
                <w:rFonts w:ascii="Times New Roman" w:hAnsi="Times New Roman" w:cs="Times New Roman"/>
                <w:lang w:val="en-GB"/>
              </w:rPr>
            </w:pPr>
            <w:r w:rsidRPr="00E016C3">
              <w:rPr>
                <w:rFonts w:ascii="Times New Roman" w:hAnsi="Times New Roman" w:cs="Times New Roman"/>
                <w:lang w:val="en-GB"/>
              </w:rPr>
              <w:t>Ukraine</w:t>
            </w:r>
          </w:p>
        </w:tc>
        <w:tc>
          <w:tcPr>
            <w:tcW w:w="4258" w:type="dxa"/>
          </w:tcPr>
          <w:p w14:paraId="030DB1E4" w14:textId="77777777" w:rsidR="00B40521" w:rsidRPr="00E016C3" w:rsidRDefault="00B40521" w:rsidP="00891521">
            <w:pPr>
              <w:widowControl w:val="0"/>
              <w:autoSpaceDE w:val="0"/>
              <w:autoSpaceDN w:val="0"/>
              <w:adjustRightInd w:val="0"/>
              <w:rPr>
                <w:rFonts w:ascii="Times New Roman" w:hAnsi="Times New Roman" w:cs="Times New Roman"/>
                <w:color w:val="000000"/>
                <w:lang w:val="en-GB"/>
              </w:rPr>
            </w:pPr>
            <w:r w:rsidRPr="00E016C3">
              <w:rPr>
                <w:rFonts w:ascii="Times New Roman" w:hAnsi="Times New Roman" w:cs="Times New Roman"/>
                <w:color w:val="000000"/>
                <w:lang w:val="en-GB"/>
              </w:rPr>
              <w:t>Ivan B</w:t>
            </w:r>
            <w:r>
              <w:rPr>
                <w:rFonts w:ascii="Times New Roman" w:hAnsi="Times New Roman" w:cs="Times New Roman"/>
                <w:color w:val="000000"/>
                <w:lang w:val="en-GB"/>
              </w:rPr>
              <w:t>abyn</w:t>
            </w:r>
          </w:p>
        </w:tc>
      </w:tr>
    </w:tbl>
    <w:p w14:paraId="0296C8F6" w14:textId="77777777" w:rsidR="00B40521" w:rsidRPr="00E016C3" w:rsidRDefault="00B40521" w:rsidP="00891521">
      <w:pPr>
        <w:rPr>
          <w:lang w:val="en-GB"/>
        </w:rPr>
      </w:pPr>
    </w:p>
    <w:p w14:paraId="6DA829C8" w14:textId="77777777" w:rsidR="00B40521" w:rsidRPr="00E016C3" w:rsidRDefault="00B40521" w:rsidP="00891521">
      <w:pPr>
        <w:rPr>
          <w:lang w:val="en-GB"/>
        </w:rPr>
      </w:pPr>
    </w:p>
    <w:p w14:paraId="6757C223" w14:textId="77777777" w:rsidR="00B40521" w:rsidRDefault="00B40521" w:rsidP="00B40521">
      <w:pPr>
        <w:tabs>
          <w:tab w:val="left" w:pos="2740"/>
        </w:tabs>
        <w:rPr>
          <w:b/>
          <w:lang w:val="en-GB"/>
        </w:rPr>
      </w:pPr>
    </w:p>
    <w:p w14:paraId="2CBF9973" w14:textId="77777777" w:rsidR="00B40521" w:rsidRDefault="00B40521" w:rsidP="00B40521">
      <w:pPr>
        <w:tabs>
          <w:tab w:val="left" w:pos="2740"/>
        </w:tabs>
        <w:rPr>
          <w:b/>
          <w:lang w:val="en-GB"/>
        </w:rPr>
      </w:pPr>
    </w:p>
    <w:p w14:paraId="4D6E975C" w14:textId="77777777" w:rsidR="00B40521" w:rsidRDefault="00B40521" w:rsidP="00B40521">
      <w:pPr>
        <w:tabs>
          <w:tab w:val="left" w:pos="2740"/>
        </w:tabs>
        <w:rPr>
          <w:b/>
          <w:lang w:val="en-GB"/>
        </w:rPr>
      </w:pPr>
    </w:p>
    <w:p w14:paraId="26B1824F" w14:textId="77777777" w:rsidR="00B40521" w:rsidRPr="00E016C3" w:rsidRDefault="00B40521" w:rsidP="00891521">
      <w:pPr>
        <w:tabs>
          <w:tab w:val="left" w:pos="-709"/>
          <w:tab w:val="left" w:pos="2740"/>
        </w:tabs>
        <w:rPr>
          <w:b/>
          <w:lang w:val="en-GB"/>
        </w:rPr>
      </w:pPr>
      <w:r>
        <w:rPr>
          <w:b/>
          <w:lang w:val="en-GB"/>
        </w:rPr>
        <w:t>Participants-organiz</w:t>
      </w:r>
      <w:r w:rsidRPr="00E016C3">
        <w:rPr>
          <w:b/>
          <w:lang w:val="en-GB"/>
        </w:rPr>
        <w:t>ations</w:t>
      </w:r>
    </w:p>
    <w:p w14:paraId="02E0DB08" w14:textId="77777777" w:rsidR="00B40521" w:rsidRPr="00E016C3" w:rsidRDefault="00B40521" w:rsidP="00891521">
      <w:pPr>
        <w:tabs>
          <w:tab w:val="left" w:pos="2740"/>
        </w:tabs>
        <w:rPr>
          <w:lang w:val="en-GB"/>
        </w:rPr>
      </w:pPr>
    </w:p>
    <w:tbl>
      <w:tblPr>
        <w:tblStyle w:val="TableGrid"/>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B40521" w:rsidRPr="00E016C3" w14:paraId="38D6DD51" w14:textId="77777777" w:rsidTr="00285903">
        <w:tc>
          <w:tcPr>
            <w:tcW w:w="4258" w:type="dxa"/>
          </w:tcPr>
          <w:p w14:paraId="073F7C94"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color w:val="000000"/>
                <w:lang w:val="en-GB"/>
              </w:rPr>
              <w:t>BUSINESSEUROPE</w:t>
            </w:r>
          </w:p>
        </w:tc>
        <w:tc>
          <w:tcPr>
            <w:tcW w:w="4258" w:type="dxa"/>
          </w:tcPr>
          <w:p w14:paraId="299AF5DD"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Isabel R</w:t>
            </w:r>
            <w:r>
              <w:rPr>
                <w:rFonts w:ascii="Times New Roman" w:hAnsi="Times New Roman" w:cs="Times New Roman"/>
                <w:color w:val="000000"/>
                <w:lang w:val="en-GB"/>
              </w:rPr>
              <w:t>ohner</w:t>
            </w:r>
          </w:p>
        </w:tc>
      </w:tr>
      <w:tr w:rsidR="00B40521" w:rsidRPr="00E016C3" w14:paraId="3026B147" w14:textId="77777777" w:rsidTr="00285903">
        <w:tc>
          <w:tcPr>
            <w:tcW w:w="4258" w:type="dxa"/>
          </w:tcPr>
          <w:p w14:paraId="25F5464E"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European Commission</w:t>
            </w:r>
          </w:p>
        </w:tc>
        <w:tc>
          <w:tcPr>
            <w:tcW w:w="4258" w:type="dxa"/>
          </w:tcPr>
          <w:p w14:paraId="4D96E046"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Frank P</w:t>
            </w:r>
            <w:r>
              <w:rPr>
                <w:rFonts w:ascii="Times New Roman" w:hAnsi="Times New Roman" w:cs="Times New Roman"/>
                <w:color w:val="000000"/>
                <w:lang w:val="en-GB"/>
              </w:rPr>
              <w:t>etrikowski</w:t>
            </w:r>
            <w:r w:rsidRPr="00E016C3">
              <w:rPr>
                <w:rFonts w:ascii="Times New Roman" w:hAnsi="Times New Roman" w:cs="Times New Roman"/>
                <w:color w:val="000000"/>
                <w:lang w:val="en-GB"/>
              </w:rPr>
              <w:t xml:space="preserve">  </w:t>
            </w:r>
          </w:p>
        </w:tc>
      </w:tr>
      <w:tr w:rsidR="00B40521" w:rsidRPr="00E016C3" w14:paraId="4822A7BA" w14:textId="77777777" w:rsidTr="00285903">
        <w:tc>
          <w:tcPr>
            <w:tcW w:w="4258" w:type="dxa"/>
          </w:tcPr>
          <w:p w14:paraId="576BAE15"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European Commission</w:t>
            </w:r>
            <w:r>
              <w:rPr>
                <w:rFonts w:ascii="Times New Roman" w:hAnsi="Times New Roman" w:cs="Times New Roman"/>
                <w:lang w:val="en-GB"/>
              </w:rPr>
              <w:t xml:space="preserve"> (EQF)</w:t>
            </w:r>
          </w:p>
        </w:tc>
        <w:tc>
          <w:tcPr>
            <w:tcW w:w="4258" w:type="dxa"/>
          </w:tcPr>
          <w:p w14:paraId="59024BCC"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Anita K</w:t>
            </w:r>
            <w:r>
              <w:rPr>
                <w:rFonts w:ascii="Times New Roman" w:hAnsi="Times New Roman" w:cs="Times New Roman"/>
                <w:color w:val="000000"/>
                <w:lang w:val="en-GB"/>
              </w:rPr>
              <w:t>rémó</w:t>
            </w:r>
            <w:r w:rsidRPr="00E016C3">
              <w:rPr>
                <w:rFonts w:ascii="Times New Roman" w:hAnsi="Times New Roman" w:cs="Times New Roman"/>
                <w:color w:val="000000"/>
                <w:lang w:val="en-GB"/>
              </w:rPr>
              <w:t xml:space="preserve">  </w:t>
            </w:r>
          </w:p>
        </w:tc>
      </w:tr>
      <w:tr w:rsidR="00B40521" w:rsidRPr="00E016C3" w14:paraId="10DFF1C8" w14:textId="77777777" w:rsidTr="00285903">
        <w:trPr>
          <w:trHeight w:val="293"/>
        </w:trPr>
        <w:tc>
          <w:tcPr>
            <w:tcW w:w="4258" w:type="dxa"/>
          </w:tcPr>
          <w:p w14:paraId="74896382"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color w:val="000000"/>
                <w:lang w:val="en-GB"/>
              </w:rPr>
              <w:t xml:space="preserve">Educational International  </w:t>
            </w:r>
          </w:p>
        </w:tc>
        <w:tc>
          <w:tcPr>
            <w:tcW w:w="4258" w:type="dxa"/>
          </w:tcPr>
          <w:p w14:paraId="55BB635E"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Karin Å</w:t>
            </w:r>
            <w:r>
              <w:rPr>
                <w:rFonts w:ascii="Times New Roman" w:hAnsi="Times New Roman" w:cs="Times New Roman"/>
                <w:color w:val="000000"/>
                <w:lang w:val="en-GB"/>
              </w:rPr>
              <w:t>mossa</w:t>
            </w:r>
            <w:r w:rsidRPr="00E016C3">
              <w:rPr>
                <w:rFonts w:ascii="Times New Roman" w:hAnsi="Times New Roman" w:cs="Times New Roman"/>
                <w:color w:val="000000"/>
                <w:lang w:val="en-GB"/>
              </w:rPr>
              <w:t xml:space="preserve">  </w:t>
            </w:r>
          </w:p>
        </w:tc>
      </w:tr>
      <w:tr w:rsidR="00B40521" w:rsidRPr="00E016C3" w14:paraId="307683D1" w14:textId="77777777" w:rsidTr="00285903">
        <w:tc>
          <w:tcPr>
            <w:tcW w:w="4258" w:type="dxa"/>
          </w:tcPr>
          <w:p w14:paraId="7A4B36F5"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color w:val="000000"/>
                <w:lang w:val="en-GB"/>
              </w:rPr>
              <w:t>ENQA</w:t>
            </w:r>
          </w:p>
        </w:tc>
        <w:tc>
          <w:tcPr>
            <w:tcW w:w="4258" w:type="dxa"/>
          </w:tcPr>
          <w:p w14:paraId="328842C6"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Padraig W</w:t>
            </w:r>
            <w:r>
              <w:rPr>
                <w:rFonts w:ascii="Times New Roman" w:hAnsi="Times New Roman" w:cs="Times New Roman"/>
                <w:color w:val="000000"/>
                <w:lang w:val="en-GB"/>
              </w:rPr>
              <w:t>alsh (Achim Hopbach until end 2012)</w:t>
            </w:r>
            <w:r w:rsidRPr="00E016C3">
              <w:rPr>
                <w:rFonts w:ascii="Times New Roman" w:hAnsi="Times New Roman" w:cs="Times New Roman"/>
                <w:color w:val="000000"/>
                <w:lang w:val="en-GB"/>
              </w:rPr>
              <w:t xml:space="preserve">   </w:t>
            </w:r>
          </w:p>
        </w:tc>
      </w:tr>
      <w:tr w:rsidR="00B40521" w:rsidRPr="00E016C3" w14:paraId="19C78D66" w14:textId="77777777" w:rsidTr="00285903">
        <w:tc>
          <w:tcPr>
            <w:tcW w:w="4258" w:type="dxa"/>
          </w:tcPr>
          <w:p w14:paraId="4DABB341"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EQAR</w:t>
            </w:r>
          </w:p>
        </w:tc>
        <w:tc>
          <w:tcPr>
            <w:tcW w:w="4258" w:type="dxa"/>
          </w:tcPr>
          <w:p w14:paraId="4F08A5A5"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Colin T</w:t>
            </w:r>
            <w:r>
              <w:rPr>
                <w:rFonts w:ascii="Times New Roman" w:hAnsi="Times New Roman" w:cs="Times New Roman"/>
                <w:color w:val="000000"/>
                <w:lang w:val="en-GB"/>
              </w:rPr>
              <w:t>ück</w:t>
            </w:r>
            <w:r w:rsidRPr="00E016C3">
              <w:rPr>
                <w:rFonts w:ascii="Times New Roman" w:hAnsi="Times New Roman" w:cs="Times New Roman"/>
                <w:color w:val="000000"/>
                <w:lang w:val="en-GB"/>
              </w:rPr>
              <w:t xml:space="preserve">              </w:t>
            </w:r>
          </w:p>
        </w:tc>
      </w:tr>
      <w:tr w:rsidR="00B40521" w:rsidRPr="00E016C3" w14:paraId="02EF1AD4" w14:textId="77777777" w:rsidTr="00285903">
        <w:tc>
          <w:tcPr>
            <w:tcW w:w="4258" w:type="dxa"/>
          </w:tcPr>
          <w:p w14:paraId="17884F75"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ESU</w:t>
            </w:r>
          </w:p>
        </w:tc>
        <w:tc>
          <w:tcPr>
            <w:tcW w:w="4258" w:type="dxa"/>
          </w:tcPr>
          <w:p w14:paraId="635D0754"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Nevena V</w:t>
            </w:r>
            <w:r>
              <w:rPr>
                <w:rFonts w:ascii="Times New Roman" w:hAnsi="Times New Roman" w:cs="Times New Roman"/>
                <w:color w:val="000000"/>
                <w:lang w:val="en-GB"/>
              </w:rPr>
              <w:t>uksanović</w:t>
            </w:r>
            <w:r w:rsidRPr="00E016C3">
              <w:rPr>
                <w:rFonts w:ascii="Times New Roman" w:hAnsi="Times New Roman" w:cs="Times New Roman"/>
                <w:color w:val="000000"/>
                <w:lang w:val="en-GB"/>
              </w:rPr>
              <w:t xml:space="preserve">    </w:t>
            </w:r>
          </w:p>
        </w:tc>
      </w:tr>
      <w:tr w:rsidR="00B40521" w:rsidRPr="00E016C3" w14:paraId="726BE88A" w14:textId="77777777" w:rsidTr="00285903">
        <w:tc>
          <w:tcPr>
            <w:tcW w:w="4258" w:type="dxa"/>
          </w:tcPr>
          <w:p w14:paraId="29E4ED6A"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EUA</w:t>
            </w:r>
          </w:p>
        </w:tc>
        <w:tc>
          <w:tcPr>
            <w:tcW w:w="4258" w:type="dxa"/>
          </w:tcPr>
          <w:p w14:paraId="4E74D067"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Michael G</w:t>
            </w:r>
            <w:r>
              <w:rPr>
                <w:rFonts w:ascii="Times New Roman" w:hAnsi="Times New Roman" w:cs="Times New Roman"/>
                <w:color w:val="000000"/>
                <w:lang w:val="en-GB"/>
              </w:rPr>
              <w:t>äbel/Tia Loukkola</w:t>
            </w:r>
            <w:r w:rsidRPr="00E016C3">
              <w:rPr>
                <w:rFonts w:ascii="Times New Roman" w:hAnsi="Times New Roman" w:cs="Times New Roman"/>
                <w:color w:val="000000"/>
                <w:lang w:val="en-GB"/>
              </w:rPr>
              <w:t xml:space="preserve">    </w:t>
            </w:r>
          </w:p>
        </w:tc>
      </w:tr>
      <w:tr w:rsidR="00B40521" w:rsidRPr="00E016C3" w14:paraId="1E3FB2FF" w14:textId="77777777" w:rsidTr="00285903">
        <w:trPr>
          <w:trHeight w:val="191"/>
        </w:trPr>
        <w:tc>
          <w:tcPr>
            <w:tcW w:w="4258" w:type="dxa"/>
          </w:tcPr>
          <w:p w14:paraId="30C4F044"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EURASHE</w:t>
            </w:r>
          </w:p>
        </w:tc>
        <w:tc>
          <w:tcPr>
            <w:tcW w:w="4258" w:type="dxa"/>
          </w:tcPr>
          <w:p w14:paraId="0E423D8B"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color w:val="000000"/>
                <w:lang w:val="en-GB"/>
              </w:rPr>
              <w:t>Stefan D</w:t>
            </w:r>
            <w:r>
              <w:rPr>
                <w:rFonts w:ascii="Times New Roman" w:hAnsi="Times New Roman" w:cs="Times New Roman"/>
                <w:color w:val="000000"/>
                <w:lang w:val="en-GB"/>
              </w:rPr>
              <w:t>elplace</w:t>
            </w:r>
          </w:p>
        </w:tc>
      </w:tr>
      <w:tr w:rsidR="00B40521" w:rsidRPr="00E016C3" w14:paraId="11F5ADF1" w14:textId="77777777" w:rsidTr="00285903">
        <w:tc>
          <w:tcPr>
            <w:tcW w:w="4258" w:type="dxa"/>
          </w:tcPr>
          <w:p w14:paraId="0CC2AEA4"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Bologna Secretariat</w:t>
            </w:r>
          </w:p>
        </w:tc>
        <w:tc>
          <w:tcPr>
            <w:tcW w:w="4258" w:type="dxa"/>
          </w:tcPr>
          <w:p w14:paraId="23B2806D"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lang w:val="en-GB"/>
              </w:rPr>
              <w:t>Gayane H</w:t>
            </w:r>
            <w:r>
              <w:rPr>
                <w:rFonts w:ascii="Times New Roman" w:hAnsi="Times New Roman" w:cs="Times New Roman"/>
                <w:lang w:val="en-GB"/>
              </w:rPr>
              <w:t>arutyunyan</w:t>
            </w:r>
          </w:p>
        </w:tc>
      </w:tr>
      <w:tr w:rsidR="00B40521" w:rsidRPr="00E016C3" w14:paraId="3862E4BC" w14:textId="77777777" w:rsidTr="00285903">
        <w:tc>
          <w:tcPr>
            <w:tcW w:w="4258" w:type="dxa"/>
          </w:tcPr>
          <w:p w14:paraId="191EAFF3" w14:textId="77777777" w:rsidR="00B40521" w:rsidRPr="00E016C3" w:rsidRDefault="00B40521" w:rsidP="00891521">
            <w:pPr>
              <w:tabs>
                <w:tab w:val="left" w:pos="2740"/>
              </w:tabs>
              <w:ind w:left="601"/>
              <w:rPr>
                <w:rFonts w:ascii="Times New Roman" w:hAnsi="Times New Roman" w:cs="Times New Roman"/>
                <w:lang w:val="en-GB"/>
              </w:rPr>
            </w:pPr>
            <w:r w:rsidRPr="00E016C3">
              <w:rPr>
                <w:rFonts w:ascii="Times New Roman" w:hAnsi="Times New Roman" w:cs="Times New Roman"/>
                <w:lang w:val="en-GB"/>
              </w:rPr>
              <w:t>Bologna Secretariat</w:t>
            </w:r>
          </w:p>
        </w:tc>
        <w:tc>
          <w:tcPr>
            <w:tcW w:w="4258" w:type="dxa"/>
          </w:tcPr>
          <w:p w14:paraId="4950B5FF" w14:textId="77777777" w:rsidR="00B40521" w:rsidRPr="00E016C3" w:rsidRDefault="00B40521" w:rsidP="00891521">
            <w:pPr>
              <w:tabs>
                <w:tab w:val="left" w:pos="2740"/>
              </w:tabs>
              <w:rPr>
                <w:rFonts w:ascii="Times New Roman" w:hAnsi="Times New Roman" w:cs="Times New Roman"/>
                <w:lang w:val="en-GB"/>
              </w:rPr>
            </w:pPr>
            <w:r w:rsidRPr="00E016C3">
              <w:rPr>
                <w:rFonts w:ascii="Times New Roman" w:hAnsi="Times New Roman" w:cs="Times New Roman"/>
                <w:lang w:val="en-GB"/>
              </w:rPr>
              <w:t>Ani H</w:t>
            </w:r>
            <w:r>
              <w:rPr>
                <w:rFonts w:ascii="Times New Roman" w:hAnsi="Times New Roman" w:cs="Times New Roman"/>
                <w:lang w:val="en-GB"/>
              </w:rPr>
              <w:t>akobyan</w:t>
            </w:r>
          </w:p>
        </w:tc>
      </w:tr>
    </w:tbl>
    <w:p w14:paraId="44EDC5C1" w14:textId="77777777" w:rsidR="00B40521" w:rsidRPr="00E016C3" w:rsidRDefault="00B40521" w:rsidP="00B40521">
      <w:pPr>
        <w:tabs>
          <w:tab w:val="left" w:pos="2740"/>
        </w:tabs>
        <w:rPr>
          <w:lang w:val="en-GB"/>
        </w:rPr>
      </w:pPr>
    </w:p>
    <w:p w14:paraId="70C86590" w14:textId="77777777" w:rsidR="00B40521" w:rsidRDefault="00B40521" w:rsidP="00B40521"/>
    <w:p w14:paraId="52ED2718" w14:textId="77777777" w:rsidR="00B40521" w:rsidRDefault="00B40521" w:rsidP="00B40521"/>
    <w:p w14:paraId="6F019F34" w14:textId="77777777" w:rsidR="00B40521" w:rsidRDefault="00B40521" w:rsidP="00B40521"/>
    <w:p w14:paraId="2C4585C7" w14:textId="77777777" w:rsidR="00B40521" w:rsidRDefault="00B40521" w:rsidP="00B40521"/>
    <w:p w14:paraId="0229EEC0" w14:textId="77777777" w:rsidR="00B40521" w:rsidRDefault="00B40521" w:rsidP="00B40521"/>
    <w:p w14:paraId="1DB8EBDB" w14:textId="77777777" w:rsidR="00B40521" w:rsidRDefault="00B40521" w:rsidP="00B40521"/>
    <w:p w14:paraId="5A3CFB90" w14:textId="77777777" w:rsidR="00B40521" w:rsidRDefault="00B40521" w:rsidP="00B40521"/>
    <w:p w14:paraId="708BAD55" w14:textId="77777777" w:rsidR="00B40521" w:rsidRDefault="00B40521" w:rsidP="00B40521"/>
    <w:p w14:paraId="398596E8" w14:textId="77777777" w:rsidR="00B40521" w:rsidRDefault="00B40521" w:rsidP="00B40521"/>
    <w:p w14:paraId="54FB1407" w14:textId="77777777" w:rsidR="00B40521" w:rsidRDefault="00B40521" w:rsidP="00B40521"/>
    <w:p w14:paraId="3F3C30E7" w14:textId="77777777" w:rsidR="00B40521" w:rsidRDefault="00B40521" w:rsidP="00B40521"/>
    <w:p w14:paraId="032CD807" w14:textId="77777777" w:rsidR="00B40521" w:rsidRDefault="00B40521" w:rsidP="00B40521"/>
    <w:p w14:paraId="6A682A4E" w14:textId="77777777" w:rsidR="00B40521" w:rsidRDefault="00B40521" w:rsidP="00B40521"/>
    <w:p w14:paraId="392BE128" w14:textId="77777777" w:rsidR="00B40521" w:rsidRDefault="00B40521" w:rsidP="00B40521"/>
    <w:p w14:paraId="63699ECF" w14:textId="77777777" w:rsidR="00B40521" w:rsidRDefault="00B40521" w:rsidP="00B40521"/>
    <w:p w14:paraId="65FE5EE3" w14:textId="77777777" w:rsidR="00B40521" w:rsidRDefault="00B40521" w:rsidP="00B40521"/>
    <w:p w14:paraId="6A8B15AF" w14:textId="77777777" w:rsidR="00B40521" w:rsidRDefault="00B40521" w:rsidP="00B40521"/>
    <w:p w14:paraId="74CBD800" w14:textId="77777777" w:rsidR="00B40521" w:rsidRDefault="00B40521" w:rsidP="00B40521"/>
    <w:p w14:paraId="4B2A7AC0" w14:textId="77777777" w:rsidR="00B40521" w:rsidRDefault="00B40521" w:rsidP="00B40521"/>
    <w:p w14:paraId="37B3F03E" w14:textId="77777777" w:rsidR="00B40521" w:rsidRDefault="00B40521" w:rsidP="00B40521"/>
    <w:p w14:paraId="0D1441DC" w14:textId="77777777" w:rsidR="00B40521" w:rsidRDefault="00B40521" w:rsidP="00B40521"/>
    <w:p w14:paraId="5D2F4566" w14:textId="77777777" w:rsidR="00B40521" w:rsidRDefault="00B40521" w:rsidP="00B40521"/>
    <w:p w14:paraId="798647E5" w14:textId="77777777" w:rsidR="00B40521" w:rsidRDefault="00B40521" w:rsidP="00B40521"/>
    <w:p w14:paraId="2F812756" w14:textId="77777777" w:rsidR="00B40521" w:rsidRDefault="00B40521" w:rsidP="00B40521"/>
    <w:p w14:paraId="08CECD8F" w14:textId="77777777" w:rsidR="00B40521" w:rsidRDefault="00B40521" w:rsidP="00B40521"/>
    <w:p w14:paraId="00B0AD16" w14:textId="77777777" w:rsidR="00B40521" w:rsidRDefault="00B40521" w:rsidP="00B40521"/>
    <w:p w14:paraId="14ECD912" w14:textId="77777777" w:rsidR="00B40521" w:rsidRDefault="00B40521" w:rsidP="00B40521"/>
    <w:p w14:paraId="5D50443B" w14:textId="77777777" w:rsidR="00B40521" w:rsidRDefault="00B40521" w:rsidP="00B40521"/>
    <w:p w14:paraId="6B5675B8" w14:textId="77777777" w:rsidR="00B40521" w:rsidRDefault="00B40521" w:rsidP="00B40521"/>
    <w:p w14:paraId="6EEEF3C0" w14:textId="77777777" w:rsidR="00B40521" w:rsidRDefault="00B40521" w:rsidP="00B40521"/>
    <w:p w14:paraId="6009F9C5" w14:textId="77777777" w:rsidR="00B40521" w:rsidRPr="002D2F0E" w:rsidRDefault="00B40521" w:rsidP="00891521">
      <w:pPr>
        <w:rPr>
          <w:b/>
        </w:rPr>
      </w:pPr>
      <w:r w:rsidRPr="002D2F0E">
        <w:rPr>
          <w:b/>
        </w:rPr>
        <w:t>APPENDIX 7</w:t>
      </w:r>
    </w:p>
    <w:p w14:paraId="79BFDF7E" w14:textId="77777777" w:rsidR="00B40521" w:rsidRPr="000200F2" w:rsidRDefault="00B40521" w:rsidP="00891521">
      <w:pPr>
        <w:rPr>
          <w:b/>
        </w:rPr>
      </w:pPr>
    </w:p>
    <w:p w14:paraId="50EDD850" w14:textId="77777777" w:rsidR="00B40521" w:rsidRPr="000200F2" w:rsidRDefault="00B40521" w:rsidP="00891521">
      <w:pPr>
        <w:rPr>
          <w:b/>
          <w:lang w:val="en-GB"/>
        </w:rPr>
      </w:pPr>
      <w:r w:rsidRPr="000200F2">
        <w:rPr>
          <w:b/>
        </w:rPr>
        <w:t>Bologna conferences, mini-seminars, peer learning activities and events on issues related to structural reforms</w:t>
      </w:r>
    </w:p>
    <w:tbl>
      <w:tblPr>
        <w:tblStyle w:val="TableGrid"/>
        <w:tblpPr w:leftFromText="180" w:rightFromText="180" w:vertAnchor="text" w:horzAnchor="page" w:tblpX="649" w:tblpY="496"/>
        <w:tblOverlap w:val="never"/>
        <w:tblW w:w="10173" w:type="dxa"/>
        <w:tblLayout w:type="fixed"/>
        <w:tblLook w:val="04A0" w:firstRow="1" w:lastRow="0" w:firstColumn="1" w:lastColumn="0" w:noHBand="0" w:noVBand="1"/>
      </w:tblPr>
      <w:tblGrid>
        <w:gridCol w:w="3227"/>
        <w:gridCol w:w="1417"/>
        <w:gridCol w:w="2127"/>
        <w:gridCol w:w="3402"/>
      </w:tblGrid>
      <w:tr w:rsidR="00B40521" w:rsidRPr="00903618" w14:paraId="5B6EEBDE" w14:textId="77777777" w:rsidTr="00285903">
        <w:tc>
          <w:tcPr>
            <w:tcW w:w="3227" w:type="dxa"/>
          </w:tcPr>
          <w:p w14:paraId="4F90527F" w14:textId="77777777" w:rsidR="00B40521" w:rsidRPr="0069524E" w:rsidRDefault="00B40521" w:rsidP="00891521">
            <w:pPr>
              <w:rPr>
                <w:rFonts w:ascii="Times New Roman" w:hAnsi="Times New Roman" w:cs="Times New Roman"/>
                <w:b/>
                <w:lang w:val="en-GB"/>
              </w:rPr>
            </w:pPr>
            <w:r w:rsidRPr="0069524E">
              <w:rPr>
                <w:rFonts w:ascii="Times New Roman" w:hAnsi="Times New Roman" w:cs="Times New Roman"/>
                <w:b/>
                <w:lang w:val="en-GB"/>
              </w:rPr>
              <w:t>Event   Event</w:t>
            </w:r>
          </w:p>
        </w:tc>
        <w:tc>
          <w:tcPr>
            <w:tcW w:w="1417" w:type="dxa"/>
          </w:tcPr>
          <w:p w14:paraId="6EB9BF61" w14:textId="77777777" w:rsidR="00B40521" w:rsidRPr="0069524E" w:rsidRDefault="00B40521" w:rsidP="00891521">
            <w:pPr>
              <w:rPr>
                <w:rFonts w:ascii="Times New Roman" w:hAnsi="Times New Roman" w:cs="Times New Roman"/>
                <w:b/>
                <w:lang w:val="en-GB"/>
              </w:rPr>
            </w:pPr>
            <w:r w:rsidRPr="0069524E">
              <w:rPr>
                <w:rFonts w:ascii="Times New Roman" w:hAnsi="Times New Roman" w:cs="Times New Roman"/>
                <w:b/>
                <w:lang w:val="en-GB"/>
              </w:rPr>
              <w:t xml:space="preserve">Date </w:t>
            </w:r>
          </w:p>
        </w:tc>
        <w:tc>
          <w:tcPr>
            <w:tcW w:w="2127" w:type="dxa"/>
          </w:tcPr>
          <w:p w14:paraId="66EFE5FF" w14:textId="77777777" w:rsidR="00B40521" w:rsidRPr="0069524E" w:rsidRDefault="00B40521" w:rsidP="00891521">
            <w:pPr>
              <w:rPr>
                <w:rFonts w:ascii="Times New Roman" w:hAnsi="Times New Roman" w:cs="Times New Roman"/>
                <w:b/>
                <w:lang w:val="en-GB"/>
              </w:rPr>
            </w:pPr>
            <w:r>
              <w:rPr>
                <w:rFonts w:ascii="Times New Roman" w:hAnsi="Times New Roman" w:cs="Times New Roman"/>
                <w:b/>
                <w:lang w:val="en-GB"/>
              </w:rPr>
              <w:t>Host/organiz</w:t>
            </w:r>
            <w:r w:rsidRPr="0069524E">
              <w:rPr>
                <w:rFonts w:ascii="Times New Roman" w:hAnsi="Times New Roman" w:cs="Times New Roman"/>
                <w:b/>
                <w:lang w:val="en-GB"/>
              </w:rPr>
              <w:t>er</w:t>
            </w:r>
          </w:p>
        </w:tc>
        <w:tc>
          <w:tcPr>
            <w:tcW w:w="3402" w:type="dxa"/>
          </w:tcPr>
          <w:p w14:paraId="1C5747EC" w14:textId="77777777" w:rsidR="00B40521" w:rsidRPr="0069524E" w:rsidRDefault="00B40521" w:rsidP="00891521">
            <w:pPr>
              <w:rPr>
                <w:rFonts w:ascii="Times New Roman" w:hAnsi="Times New Roman" w:cs="Times New Roman"/>
                <w:b/>
                <w:lang w:val="en-GB"/>
              </w:rPr>
            </w:pPr>
            <w:r w:rsidRPr="0069524E">
              <w:rPr>
                <w:rFonts w:ascii="Times New Roman" w:hAnsi="Times New Roman" w:cs="Times New Roman"/>
                <w:b/>
                <w:lang w:val="en-GB"/>
              </w:rPr>
              <w:t>Purpose/envisaged outcome</w:t>
            </w:r>
          </w:p>
        </w:tc>
      </w:tr>
      <w:tr w:rsidR="00B40521" w:rsidRPr="00903618" w14:paraId="189149E1" w14:textId="77777777" w:rsidTr="00285903">
        <w:tc>
          <w:tcPr>
            <w:tcW w:w="3227" w:type="dxa"/>
          </w:tcPr>
          <w:p w14:paraId="495B9A42"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color w:val="010D2D"/>
                <w:lang w:val="en-GB"/>
              </w:rPr>
              <w:t>Conference on the anniversary of the Lisbon Recognition Convention and ENIC-NARIC meeting</w:t>
            </w:r>
          </w:p>
        </w:tc>
        <w:tc>
          <w:tcPr>
            <w:tcW w:w="1417" w:type="dxa"/>
          </w:tcPr>
          <w:p w14:paraId="5A39C46B"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19.06.2012-20.06.2012</w:t>
            </w:r>
          </w:p>
        </w:tc>
        <w:tc>
          <w:tcPr>
            <w:tcW w:w="2127" w:type="dxa"/>
          </w:tcPr>
          <w:p w14:paraId="75313308"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Toledo, Spain</w:t>
            </w:r>
          </w:p>
        </w:tc>
        <w:tc>
          <w:tcPr>
            <w:tcW w:w="3402" w:type="dxa"/>
          </w:tcPr>
          <w:p w14:paraId="7B7FA4E7" w14:textId="77777777" w:rsidR="00B40521" w:rsidRDefault="00B40521" w:rsidP="00891521">
            <w:pPr>
              <w:rPr>
                <w:rFonts w:ascii="Times New Roman" w:hAnsi="Times New Roman" w:cs="Times New Roman"/>
                <w:lang w:val="en-GB"/>
              </w:rPr>
            </w:pPr>
            <w:r>
              <w:rPr>
                <w:rFonts w:ascii="Times New Roman" w:hAnsi="Times New Roman" w:cs="Times New Roman"/>
                <w:lang w:val="en-GB"/>
              </w:rPr>
              <w:t>Taking stock of the implementation of the Lisbon Recognition Convention</w:t>
            </w:r>
          </w:p>
          <w:p w14:paraId="6AE61A71" w14:textId="77777777" w:rsidR="00B40521" w:rsidRPr="00903618" w:rsidRDefault="00B40521" w:rsidP="00891521">
            <w:pPr>
              <w:rPr>
                <w:rFonts w:ascii="Times New Roman" w:hAnsi="Times New Roman" w:cs="Times New Roman"/>
                <w:lang w:val="en-GB"/>
              </w:rPr>
            </w:pPr>
            <w:r>
              <w:rPr>
                <w:rFonts w:ascii="Times New Roman" w:hAnsi="Times New Roman" w:cs="Times New Roman"/>
                <w:lang w:val="en-GB"/>
              </w:rPr>
              <w:t xml:space="preserve">Sjur Bergan and Carita Blomqvist (eds.): </w:t>
            </w:r>
            <w:r w:rsidRPr="00CC2024">
              <w:rPr>
                <w:rFonts w:ascii="Times New Roman" w:hAnsi="Times New Roman" w:cs="Times New Roman"/>
                <w:i/>
                <w:lang w:val="en-GB"/>
              </w:rPr>
              <w:t>The Lisbon Recognition Convention at 15: Making fair recognition a reality</w:t>
            </w:r>
            <w:r>
              <w:rPr>
                <w:rFonts w:ascii="Times New Roman" w:hAnsi="Times New Roman" w:cs="Times New Roman"/>
                <w:lang w:val="en-GB"/>
              </w:rPr>
              <w:t xml:space="preserve"> Strasbourg 2014: Council of Europe Higher Education Series no. 19</w:t>
            </w:r>
          </w:p>
        </w:tc>
      </w:tr>
      <w:tr w:rsidR="00B40521" w:rsidRPr="00903618" w14:paraId="448C06BE" w14:textId="77777777" w:rsidTr="00285903">
        <w:tc>
          <w:tcPr>
            <w:tcW w:w="3227" w:type="dxa"/>
          </w:tcPr>
          <w:p w14:paraId="18CBF4B6"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EURASHE International Seminar on Quality Assurance</w:t>
            </w:r>
          </w:p>
        </w:tc>
        <w:tc>
          <w:tcPr>
            <w:tcW w:w="1417" w:type="dxa"/>
          </w:tcPr>
          <w:p w14:paraId="6377B7E4"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27.09.2012-28.09.2012</w:t>
            </w:r>
          </w:p>
        </w:tc>
        <w:tc>
          <w:tcPr>
            <w:tcW w:w="2127" w:type="dxa"/>
          </w:tcPr>
          <w:p w14:paraId="02D69480"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Nicosia, Cyprus</w:t>
            </w:r>
          </w:p>
        </w:tc>
        <w:tc>
          <w:tcPr>
            <w:tcW w:w="3402" w:type="dxa"/>
          </w:tcPr>
          <w:p w14:paraId="7D0BB0D6" w14:textId="77777777" w:rsidR="00B40521" w:rsidRPr="00903618" w:rsidRDefault="00B40521" w:rsidP="00891521">
            <w:pPr>
              <w:rPr>
                <w:rFonts w:ascii="Times New Roman" w:hAnsi="Times New Roman" w:cs="Times New Roman"/>
                <w:lang w:val="en-GB"/>
              </w:rPr>
            </w:pPr>
          </w:p>
        </w:tc>
      </w:tr>
      <w:tr w:rsidR="00B40521" w:rsidRPr="00903618" w14:paraId="302D49D6" w14:textId="77777777" w:rsidTr="00285903">
        <w:tc>
          <w:tcPr>
            <w:tcW w:w="3227" w:type="dxa"/>
          </w:tcPr>
          <w:p w14:paraId="4AEB8150"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Research-based Education: Strategy and Implementation</w:t>
            </w:r>
          </w:p>
          <w:p w14:paraId="47CCAF2E" w14:textId="77777777" w:rsidR="00B40521" w:rsidRPr="00903618" w:rsidRDefault="00B40521" w:rsidP="00891521">
            <w:pPr>
              <w:ind w:right="208"/>
              <w:rPr>
                <w:rFonts w:ascii="Times New Roman" w:hAnsi="Times New Roman" w:cs="Times New Roman"/>
                <w:i/>
                <w:color w:val="1F497D" w:themeColor="text2"/>
                <w:lang w:val="en-GB"/>
              </w:rPr>
            </w:pPr>
            <w:r w:rsidRPr="00903618">
              <w:rPr>
                <w:rFonts w:ascii="Times New Roman" w:hAnsi="Times New Roman" w:cs="Times New Roman"/>
                <w:i/>
                <w:color w:val="1F497D" w:themeColor="text2"/>
                <w:lang w:val="en-GB"/>
              </w:rPr>
              <w:t>http://budapest2012.bolognaexperts.net</w:t>
            </w:r>
          </w:p>
        </w:tc>
        <w:tc>
          <w:tcPr>
            <w:tcW w:w="1417" w:type="dxa"/>
          </w:tcPr>
          <w:p w14:paraId="12695EBE"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05.11.2012-</w:t>
            </w:r>
          </w:p>
          <w:p w14:paraId="6F644921"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07.11.2012</w:t>
            </w:r>
          </w:p>
        </w:tc>
        <w:tc>
          <w:tcPr>
            <w:tcW w:w="2127" w:type="dxa"/>
          </w:tcPr>
          <w:p w14:paraId="75567A56"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Eötvös Loránd University (ELTE), Budapest, Hungary</w:t>
            </w:r>
          </w:p>
        </w:tc>
        <w:tc>
          <w:tcPr>
            <w:tcW w:w="3402" w:type="dxa"/>
          </w:tcPr>
          <w:p w14:paraId="11A01F1E"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Seminar conclusions:</w:t>
            </w:r>
          </w:p>
          <w:p w14:paraId="46D68EB3" w14:textId="77777777" w:rsidR="00B40521" w:rsidRPr="00903618" w:rsidRDefault="00B40521" w:rsidP="00891521">
            <w:pPr>
              <w:rPr>
                <w:rFonts w:ascii="Times New Roman" w:hAnsi="Times New Roman" w:cs="Times New Roman"/>
                <w:i/>
                <w:color w:val="1F497D" w:themeColor="text2"/>
                <w:lang w:val="en-GB"/>
              </w:rPr>
            </w:pPr>
            <w:r w:rsidRPr="00903618">
              <w:rPr>
                <w:rFonts w:ascii="Times New Roman" w:hAnsi="Times New Roman" w:cs="Times New Roman"/>
                <w:i/>
                <w:color w:val="1F497D" w:themeColor="text2"/>
                <w:lang w:val="en-GB"/>
              </w:rPr>
              <w:t>http://budapest2012.bolognaexperts.net/sites/default/files/report_budapest_final.pdf</w:t>
            </w:r>
          </w:p>
        </w:tc>
      </w:tr>
      <w:tr w:rsidR="00B40521" w:rsidRPr="00903618" w14:paraId="526832D4" w14:textId="77777777" w:rsidTr="00285903">
        <w:tc>
          <w:tcPr>
            <w:tcW w:w="3227" w:type="dxa"/>
          </w:tcPr>
          <w:p w14:paraId="5476644B"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Strengthening students’ role in quality assurance – defining students’ quality concept – QUEST Final Conference</w:t>
            </w:r>
          </w:p>
        </w:tc>
        <w:tc>
          <w:tcPr>
            <w:tcW w:w="1417" w:type="dxa"/>
          </w:tcPr>
          <w:p w14:paraId="5CF26B02"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30.11.2012-01.12.2012</w:t>
            </w:r>
          </w:p>
        </w:tc>
        <w:tc>
          <w:tcPr>
            <w:tcW w:w="2127" w:type="dxa"/>
          </w:tcPr>
          <w:p w14:paraId="5B001CCB"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Malta</w:t>
            </w:r>
          </w:p>
        </w:tc>
        <w:tc>
          <w:tcPr>
            <w:tcW w:w="3402" w:type="dxa"/>
          </w:tcPr>
          <w:p w14:paraId="2E5D7542"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ESU together w</w:t>
            </w:r>
            <w:r>
              <w:rPr>
                <w:rFonts w:ascii="Times New Roman" w:hAnsi="Times New Roman" w:cs="Times New Roman"/>
                <w:lang w:val="en-GB"/>
              </w:rPr>
              <w:t>ith its</w:t>
            </w:r>
            <w:r w:rsidRPr="00903618">
              <w:rPr>
                <w:rFonts w:ascii="Times New Roman" w:hAnsi="Times New Roman" w:cs="Times New Roman"/>
                <w:lang w:val="en-GB"/>
              </w:rPr>
              <w:t xml:space="preserve"> Maltese member KSU is hosting </w:t>
            </w:r>
            <w:r>
              <w:rPr>
                <w:rFonts w:ascii="Times New Roman" w:hAnsi="Times New Roman" w:cs="Times New Roman"/>
                <w:lang w:val="en-GB"/>
              </w:rPr>
              <w:t xml:space="preserve">the </w:t>
            </w:r>
            <w:r w:rsidRPr="00903618">
              <w:rPr>
                <w:rFonts w:ascii="Times New Roman" w:hAnsi="Times New Roman" w:cs="Times New Roman"/>
                <w:lang w:val="en-GB"/>
              </w:rPr>
              <w:t>final conference</w:t>
            </w:r>
            <w:r>
              <w:rPr>
                <w:rFonts w:ascii="Times New Roman" w:hAnsi="Times New Roman" w:cs="Times New Roman"/>
                <w:lang w:val="en-GB"/>
              </w:rPr>
              <w:t xml:space="preserve"> of the </w:t>
            </w:r>
            <w:r w:rsidRPr="00903618">
              <w:rPr>
                <w:rFonts w:ascii="Times New Roman" w:hAnsi="Times New Roman" w:cs="Times New Roman"/>
                <w:lang w:val="en-GB"/>
              </w:rPr>
              <w:t>QUEST project. QUEST for quality for students project, funded by LLLP, aims at providing research conclusions, how students perceive quality and what kind of actions should be taken to mainstream it.</w:t>
            </w:r>
          </w:p>
        </w:tc>
      </w:tr>
      <w:tr w:rsidR="00B40521" w:rsidRPr="00903618" w14:paraId="3C95E3BF" w14:textId="77777777" w:rsidTr="00285903">
        <w:tc>
          <w:tcPr>
            <w:tcW w:w="3227" w:type="dxa"/>
          </w:tcPr>
          <w:p w14:paraId="0272BE4B"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International Seminar on Recognition of Prior Learning</w:t>
            </w:r>
          </w:p>
        </w:tc>
        <w:tc>
          <w:tcPr>
            <w:tcW w:w="1417" w:type="dxa"/>
          </w:tcPr>
          <w:p w14:paraId="06FAFD78"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06.12.2012</w:t>
            </w:r>
          </w:p>
        </w:tc>
        <w:tc>
          <w:tcPr>
            <w:tcW w:w="2127" w:type="dxa"/>
          </w:tcPr>
          <w:p w14:paraId="65DA9D3D"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Zagreb, Croatia</w:t>
            </w:r>
          </w:p>
        </w:tc>
        <w:tc>
          <w:tcPr>
            <w:tcW w:w="3402" w:type="dxa"/>
          </w:tcPr>
          <w:p w14:paraId="0ECF2A49"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 xml:space="preserve">The main aim was to bring together some of the findings from the RPL related Project ‘University Recognition of Prior Learning Centres – Bridging </w:t>
            </w:r>
            <w:r w:rsidRPr="00903618">
              <w:rPr>
                <w:rFonts w:ascii="Times New Roman" w:hAnsi="Times New Roman" w:cs="Times New Roman"/>
                <w:lang w:val="en-GB"/>
              </w:rPr>
              <w:lastRenderedPageBreak/>
              <w:t>Higher Education with Vocational Education and Training’, providing the opportunity to learn about the RPL practice in some leading European countries and to discuss some critical implementation issues as well.</w:t>
            </w:r>
          </w:p>
        </w:tc>
      </w:tr>
      <w:tr w:rsidR="00B40521" w:rsidRPr="00903618" w14:paraId="1EDF78A2" w14:textId="77777777" w:rsidTr="00285903">
        <w:tc>
          <w:tcPr>
            <w:tcW w:w="3227" w:type="dxa"/>
          </w:tcPr>
          <w:p w14:paraId="5D4EFD30"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lastRenderedPageBreak/>
              <w:t>Conference on Rankings and the Visibility of Quality Outcomes in the European Higher Education Area</w:t>
            </w:r>
          </w:p>
        </w:tc>
        <w:tc>
          <w:tcPr>
            <w:tcW w:w="1417" w:type="dxa"/>
          </w:tcPr>
          <w:p w14:paraId="3A53FC5F"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30.01.2013-31.01.2013</w:t>
            </w:r>
          </w:p>
        </w:tc>
        <w:tc>
          <w:tcPr>
            <w:tcW w:w="2127" w:type="dxa"/>
          </w:tcPr>
          <w:p w14:paraId="43058B7F"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Dublin, Ireland</w:t>
            </w:r>
          </w:p>
        </w:tc>
        <w:tc>
          <w:tcPr>
            <w:tcW w:w="3402" w:type="dxa"/>
          </w:tcPr>
          <w:p w14:paraId="46C56FD0"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For more information please follow the link provided below:</w:t>
            </w:r>
          </w:p>
          <w:p w14:paraId="1F5F4EE3" w14:textId="77777777" w:rsidR="00B40521" w:rsidRPr="00903618" w:rsidRDefault="00B40521" w:rsidP="00891521">
            <w:pPr>
              <w:rPr>
                <w:rFonts w:ascii="Times New Roman" w:hAnsi="Times New Roman" w:cs="Times New Roman"/>
                <w:i/>
                <w:color w:val="1F497D" w:themeColor="text2"/>
                <w:lang w:val="en-GB"/>
              </w:rPr>
            </w:pPr>
            <w:r w:rsidRPr="00903618">
              <w:rPr>
                <w:rFonts w:ascii="Times New Roman" w:hAnsi="Times New Roman" w:cs="Times New Roman"/>
                <w:i/>
                <w:color w:val="1F497D" w:themeColor="text2"/>
                <w:lang w:val="en-GB"/>
              </w:rPr>
              <w:t>http://www.ehea.info/event-details.aspx?evId=418</w:t>
            </w:r>
          </w:p>
          <w:p w14:paraId="26622984" w14:textId="77777777" w:rsidR="00B40521" w:rsidRPr="00903618" w:rsidRDefault="00B40521" w:rsidP="00891521">
            <w:pPr>
              <w:rPr>
                <w:rFonts w:ascii="Times New Roman" w:hAnsi="Times New Roman" w:cs="Times New Roman"/>
                <w:lang w:val="en-GB"/>
              </w:rPr>
            </w:pPr>
          </w:p>
        </w:tc>
      </w:tr>
      <w:tr w:rsidR="00B40521" w:rsidRPr="00903618" w14:paraId="3A5144E1" w14:textId="77777777" w:rsidTr="00285903">
        <w:trPr>
          <w:trHeight w:val="3534"/>
        </w:trPr>
        <w:tc>
          <w:tcPr>
            <w:tcW w:w="3227" w:type="dxa"/>
          </w:tcPr>
          <w:p w14:paraId="7E23A3DB"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rPr>
              <w:t>Conference on quality assurance in qualifications frameworks</w:t>
            </w:r>
          </w:p>
        </w:tc>
        <w:tc>
          <w:tcPr>
            <w:tcW w:w="1417" w:type="dxa"/>
          </w:tcPr>
          <w:p w14:paraId="385213ED"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12.03.2013-13.03.2013</w:t>
            </w:r>
          </w:p>
        </w:tc>
        <w:tc>
          <w:tcPr>
            <w:tcW w:w="2127" w:type="dxa"/>
          </w:tcPr>
          <w:p w14:paraId="3FD33F3E" w14:textId="77777777" w:rsidR="00B40521" w:rsidRPr="00903618" w:rsidRDefault="00B40521" w:rsidP="00891521">
            <w:pPr>
              <w:rPr>
                <w:rFonts w:ascii="Times New Roman" w:hAnsi="Times New Roman" w:cs="Times New Roman"/>
                <w:color w:val="010D2D"/>
                <w:lang w:val="en-GB"/>
              </w:rPr>
            </w:pPr>
            <w:r w:rsidRPr="00903618">
              <w:rPr>
                <w:rFonts w:ascii="Times New Roman" w:hAnsi="Times New Roman" w:cs="Times New Roman"/>
                <w:color w:val="010D2D"/>
                <w:lang w:val="en-GB"/>
              </w:rPr>
              <w:t>Dublin, Ireland</w:t>
            </w:r>
          </w:p>
        </w:tc>
        <w:tc>
          <w:tcPr>
            <w:tcW w:w="3402" w:type="dxa"/>
          </w:tcPr>
          <w:p w14:paraId="262E06B1" w14:textId="77777777" w:rsidR="00B40521" w:rsidRPr="00903618" w:rsidRDefault="00B40521" w:rsidP="00891521">
            <w:pPr>
              <w:rPr>
                <w:rFonts w:ascii="Times New Roman" w:hAnsi="Times New Roman" w:cs="Times New Roman"/>
                <w:color w:val="262626"/>
              </w:rPr>
            </w:pPr>
            <w:r>
              <w:rPr>
                <w:rFonts w:ascii="Times New Roman" w:hAnsi="Times New Roman" w:cs="Times New Roman"/>
                <w:color w:val="262626"/>
              </w:rPr>
              <w:t>This conference explored</w:t>
            </w:r>
            <w:r w:rsidRPr="00903618">
              <w:rPr>
                <w:rFonts w:ascii="Times New Roman" w:hAnsi="Times New Roman" w:cs="Times New Roman"/>
                <w:color w:val="262626"/>
              </w:rPr>
              <w:t xml:space="preserve"> how policy and its implementation can be coordinated within national systems and at European level to support educational reform, the creation of jobs and growth and citizen mobility. </w:t>
            </w:r>
          </w:p>
          <w:p w14:paraId="4EC36D9F"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color w:val="262626"/>
              </w:rPr>
              <w:t xml:space="preserve">See more at: </w:t>
            </w:r>
            <w:r w:rsidRPr="00903618">
              <w:rPr>
                <w:rFonts w:ascii="Times New Roman" w:hAnsi="Times New Roman" w:cs="Times New Roman"/>
                <w:i/>
                <w:color w:val="1F497D" w:themeColor="text2"/>
              </w:rPr>
              <w:t>http://www.eu2013.ie/events/event-items/conferenceonqualityassuranceinqualificationsframeworks-20121201/</w:t>
            </w:r>
          </w:p>
        </w:tc>
      </w:tr>
      <w:tr w:rsidR="00B40521" w:rsidRPr="00903618" w14:paraId="1FEF66BB" w14:textId="77777777" w:rsidTr="00285903">
        <w:tc>
          <w:tcPr>
            <w:tcW w:w="3227" w:type="dxa"/>
          </w:tcPr>
          <w:p w14:paraId="5ACC3697"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Seminar on the validation of non-formal and informal learning</w:t>
            </w:r>
          </w:p>
        </w:tc>
        <w:tc>
          <w:tcPr>
            <w:tcW w:w="1417" w:type="dxa"/>
          </w:tcPr>
          <w:p w14:paraId="67572A4D"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09.04.2013-10.04.2013</w:t>
            </w:r>
          </w:p>
        </w:tc>
        <w:tc>
          <w:tcPr>
            <w:tcW w:w="2127" w:type="dxa"/>
          </w:tcPr>
          <w:p w14:paraId="15FEB7F2"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Mechelen, Belgium</w:t>
            </w:r>
          </w:p>
        </w:tc>
        <w:tc>
          <w:tcPr>
            <w:tcW w:w="3402" w:type="dxa"/>
          </w:tcPr>
          <w:p w14:paraId="67E38EEF" w14:textId="77777777" w:rsidR="00B40521" w:rsidRPr="00903618" w:rsidRDefault="00B40521" w:rsidP="00891521">
            <w:pPr>
              <w:rPr>
                <w:rFonts w:ascii="Times New Roman" w:hAnsi="Times New Roman" w:cs="Times New Roman"/>
                <w:lang w:val="en-GB"/>
              </w:rPr>
            </w:pPr>
            <w:r>
              <w:rPr>
                <w:rFonts w:ascii="Times New Roman" w:hAnsi="Times New Roman" w:cs="Times New Roman"/>
              </w:rPr>
              <w:t xml:space="preserve">The </w:t>
            </w:r>
            <w:r w:rsidRPr="00903618">
              <w:rPr>
                <w:rFonts w:ascii="Times New Roman" w:hAnsi="Times New Roman" w:cs="Times New Roman"/>
              </w:rPr>
              <w:t>Seminar on the validation of non-formal and informal learni</w:t>
            </w:r>
            <w:r>
              <w:rPr>
                <w:rFonts w:ascii="Times New Roman" w:hAnsi="Times New Roman" w:cs="Times New Roman"/>
              </w:rPr>
              <w:t>ng</w:t>
            </w:r>
            <w:r w:rsidRPr="00903618">
              <w:rPr>
                <w:rFonts w:ascii="Times New Roman" w:hAnsi="Times New Roman" w:cs="Times New Roman"/>
              </w:rPr>
              <w:t> was organized by the DG EAC, together with Cedefop and in association with the Irish Presidency of the Council of the European Union. The seminar provided the first opportunity for validation stakeholders from all relevant areas, to discuss and take a first concrete step towards putting elements of t</w:t>
            </w:r>
            <w:r>
              <w:rPr>
                <w:rFonts w:ascii="Times New Roman" w:hAnsi="Times New Roman" w:cs="Times New Roman"/>
              </w:rPr>
              <w:t xml:space="preserve">he Recommendation into action. </w:t>
            </w:r>
          </w:p>
        </w:tc>
      </w:tr>
      <w:tr w:rsidR="00B40521" w:rsidRPr="00903618" w14:paraId="7C39C775" w14:textId="77777777" w:rsidTr="00285903">
        <w:tc>
          <w:tcPr>
            <w:tcW w:w="3227" w:type="dxa"/>
          </w:tcPr>
          <w:p w14:paraId="3E44C9BC"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The system of quality assurance of the Republic of Kazakhstan: New Challenges in the Bologna Process</w:t>
            </w:r>
          </w:p>
        </w:tc>
        <w:tc>
          <w:tcPr>
            <w:tcW w:w="1417" w:type="dxa"/>
          </w:tcPr>
          <w:p w14:paraId="6FFBF4CE"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lang w:val="en-GB"/>
              </w:rPr>
              <w:t>11.04.2013</w:t>
            </w:r>
          </w:p>
        </w:tc>
        <w:tc>
          <w:tcPr>
            <w:tcW w:w="2127" w:type="dxa"/>
          </w:tcPr>
          <w:p w14:paraId="2FEB75ED"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Astana, Kazakhstan</w:t>
            </w:r>
          </w:p>
        </w:tc>
        <w:tc>
          <w:tcPr>
            <w:tcW w:w="3402" w:type="dxa"/>
          </w:tcPr>
          <w:p w14:paraId="7717DEEF" w14:textId="77777777" w:rsidR="00B40521" w:rsidRPr="00903618" w:rsidRDefault="00B40521" w:rsidP="00891521">
            <w:pPr>
              <w:rPr>
                <w:rFonts w:ascii="Times New Roman" w:hAnsi="Times New Roman" w:cs="Times New Roman"/>
              </w:rPr>
            </w:pPr>
            <w:r w:rsidRPr="00CC2024">
              <w:rPr>
                <w:rFonts w:ascii="Times New Roman" w:hAnsi="Times New Roman" w:cs="Times New Roman"/>
                <w:bCs/>
              </w:rPr>
              <w:t>The purpose</w:t>
            </w:r>
            <w:r w:rsidRPr="00903618">
              <w:rPr>
                <w:rFonts w:ascii="Times New Roman" w:hAnsi="Times New Roman" w:cs="Times New Roman"/>
              </w:rPr>
              <w:t xml:space="preserve"> of the conference is to promote social and professional mechanisms of national education quality assessment system, the exchange of experience in innovative </w:t>
            </w:r>
            <w:r w:rsidRPr="00903618">
              <w:rPr>
                <w:rFonts w:ascii="Times New Roman" w:hAnsi="Times New Roman" w:cs="Times New Roman"/>
              </w:rPr>
              <w:lastRenderedPageBreak/>
              <w:t>approaches to quality assurance in education, the formation of an independent assessment of education quality based on international experience, positioning Kazakh independent accreditation agencies in the international networks of quality.</w:t>
            </w:r>
          </w:p>
          <w:p w14:paraId="69D06EDB" w14:textId="77777777" w:rsidR="00B40521" w:rsidRPr="00903618" w:rsidRDefault="00B40521" w:rsidP="00891521">
            <w:pPr>
              <w:rPr>
                <w:rFonts w:ascii="Times New Roman" w:hAnsi="Times New Roman" w:cs="Times New Roman"/>
                <w:lang w:val="en-GB"/>
              </w:rPr>
            </w:pPr>
            <w:r w:rsidRPr="00903618">
              <w:rPr>
                <w:rFonts w:ascii="Times New Roman" w:hAnsi="Times New Roman" w:cs="Times New Roman"/>
                <w:b/>
                <w:bCs/>
              </w:rPr>
              <w:t>Conference site: www.naric-kazakhstan.kz</w:t>
            </w:r>
          </w:p>
        </w:tc>
      </w:tr>
      <w:tr w:rsidR="00B40521" w:rsidRPr="00903618" w14:paraId="7C16AD4F" w14:textId="77777777" w:rsidTr="00285903">
        <w:tc>
          <w:tcPr>
            <w:tcW w:w="3227" w:type="dxa"/>
          </w:tcPr>
          <w:p w14:paraId="4FA5D607"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lastRenderedPageBreak/>
              <w:t>Promoting Quality Culture in Higher Education Institutions</w:t>
            </w:r>
          </w:p>
        </w:tc>
        <w:tc>
          <w:tcPr>
            <w:tcW w:w="1417" w:type="dxa"/>
          </w:tcPr>
          <w:p w14:paraId="2810B491" w14:textId="77777777" w:rsidR="00B40521" w:rsidRPr="00903618" w:rsidRDefault="00B40521" w:rsidP="00891521">
            <w:pPr>
              <w:rPr>
                <w:rFonts w:ascii="Times New Roman" w:hAnsi="Times New Roman" w:cs="Times New Roman"/>
                <w:color w:val="000000" w:themeColor="text1"/>
                <w:lang w:val="en-GB"/>
              </w:rPr>
            </w:pPr>
            <w:r w:rsidRPr="00903618">
              <w:rPr>
                <w:rFonts w:ascii="Times New Roman" w:hAnsi="Times New Roman" w:cs="Times New Roman"/>
                <w:color w:val="000000" w:themeColor="text1"/>
                <w:lang w:val="en-GB"/>
              </w:rPr>
              <w:t>22.05.2013-24.05.2013</w:t>
            </w:r>
          </w:p>
        </w:tc>
        <w:tc>
          <w:tcPr>
            <w:tcW w:w="2127" w:type="dxa"/>
          </w:tcPr>
          <w:p w14:paraId="23EBF957"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University of Zagreb, Croatia</w:t>
            </w:r>
          </w:p>
        </w:tc>
        <w:tc>
          <w:tcPr>
            <w:tcW w:w="3402" w:type="dxa"/>
          </w:tcPr>
          <w:p w14:paraId="2EC95034" w14:textId="77777777" w:rsidR="00B40521" w:rsidRPr="00903618" w:rsidRDefault="00B40521" w:rsidP="00891521">
            <w:pPr>
              <w:rPr>
                <w:rFonts w:ascii="Times New Roman" w:hAnsi="Times New Roman" w:cs="Times New Roman"/>
              </w:rPr>
            </w:pPr>
          </w:p>
        </w:tc>
      </w:tr>
      <w:tr w:rsidR="00B40521" w:rsidRPr="00903618" w14:paraId="40F50AAB" w14:textId="77777777" w:rsidTr="00285903">
        <w:tc>
          <w:tcPr>
            <w:tcW w:w="3227" w:type="dxa"/>
          </w:tcPr>
          <w:p w14:paraId="0D03A86A"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International Conference on the Slovenian Qualifications Framework</w:t>
            </w:r>
          </w:p>
        </w:tc>
        <w:tc>
          <w:tcPr>
            <w:tcW w:w="1417" w:type="dxa"/>
          </w:tcPr>
          <w:p w14:paraId="60608F98" w14:textId="77777777" w:rsidR="00B40521" w:rsidRPr="00903618" w:rsidRDefault="00B40521" w:rsidP="00891521">
            <w:pPr>
              <w:rPr>
                <w:rFonts w:ascii="Times New Roman" w:hAnsi="Times New Roman" w:cs="Times New Roman"/>
                <w:color w:val="000000" w:themeColor="text1"/>
                <w:lang w:val="en-GB"/>
              </w:rPr>
            </w:pPr>
            <w:r w:rsidRPr="00903618">
              <w:rPr>
                <w:rFonts w:ascii="Times New Roman" w:hAnsi="Times New Roman" w:cs="Times New Roman"/>
                <w:color w:val="000000" w:themeColor="text1"/>
                <w:lang w:val="en-GB"/>
              </w:rPr>
              <w:t>19.06.2013</w:t>
            </w:r>
          </w:p>
        </w:tc>
        <w:tc>
          <w:tcPr>
            <w:tcW w:w="2127" w:type="dxa"/>
          </w:tcPr>
          <w:p w14:paraId="7371B70C"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Brdo pri Kranju, Slovenia</w:t>
            </w:r>
          </w:p>
        </w:tc>
        <w:tc>
          <w:tcPr>
            <w:tcW w:w="3402" w:type="dxa"/>
          </w:tcPr>
          <w:p w14:paraId="6C8838B9" w14:textId="77777777" w:rsidR="00B40521" w:rsidRPr="00903618" w:rsidRDefault="00B40521" w:rsidP="00891521">
            <w:pPr>
              <w:rPr>
                <w:rFonts w:ascii="Times New Roman" w:hAnsi="Times New Roman" w:cs="Times New Roman"/>
              </w:rPr>
            </w:pPr>
          </w:p>
        </w:tc>
      </w:tr>
      <w:tr w:rsidR="00B40521" w:rsidRPr="00903618" w14:paraId="6B7BF718" w14:textId="77777777" w:rsidTr="00285903">
        <w:tc>
          <w:tcPr>
            <w:tcW w:w="3227" w:type="dxa"/>
          </w:tcPr>
          <w:p w14:paraId="13A70689"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QA in HE and VET in the context of NQFs, EQF and QF-EHEA– promoting trust between the sectors</w:t>
            </w:r>
          </w:p>
        </w:tc>
        <w:tc>
          <w:tcPr>
            <w:tcW w:w="1417" w:type="dxa"/>
          </w:tcPr>
          <w:p w14:paraId="09B26308" w14:textId="77777777" w:rsidR="00B40521" w:rsidRPr="00903618" w:rsidRDefault="00B40521" w:rsidP="00891521">
            <w:pPr>
              <w:rPr>
                <w:rFonts w:ascii="Times New Roman" w:hAnsi="Times New Roman" w:cs="Times New Roman"/>
                <w:color w:val="000000" w:themeColor="text1"/>
                <w:lang w:val="en-GB"/>
              </w:rPr>
            </w:pPr>
            <w:r w:rsidRPr="00903618">
              <w:rPr>
                <w:rFonts w:ascii="Times New Roman" w:hAnsi="Times New Roman" w:cs="Times New Roman"/>
                <w:color w:val="000000" w:themeColor="text1"/>
                <w:lang w:val="en-GB"/>
              </w:rPr>
              <w:t>27.06.2013</w:t>
            </w:r>
          </w:p>
        </w:tc>
        <w:tc>
          <w:tcPr>
            <w:tcW w:w="2127" w:type="dxa"/>
          </w:tcPr>
          <w:p w14:paraId="1B8DD24C"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Biograd na moru, Croatia</w:t>
            </w:r>
          </w:p>
        </w:tc>
        <w:tc>
          <w:tcPr>
            <w:tcW w:w="3402" w:type="dxa"/>
          </w:tcPr>
          <w:p w14:paraId="2AC95D6A" w14:textId="77777777" w:rsidR="00B40521" w:rsidRPr="00903618" w:rsidRDefault="00B40521" w:rsidP="00891521">
            <w:pPr>
              <w:rPr>
                <w:rFonts w:ascii="Times New Roman" w:hAnsi="Times New Roman" w:cs="Times New Roman"/>
              </w:rPr>
            </w:pPr>
            <w:r w:rsidRPr="00903618">
              <w:rPr>
                <w:rFonts w:ascii="Times New Roman" w:hAnsi="Times New Roman" w:cs="Times New Roman"/>
              </w:rPr>
              <w:t>The purpose of the Seminar is to examine QA capacities in HE and VET and how these interrelate with the development and implementation of qualifications frameworks.</w:t>
            </w:r>
          </w:p>
          <w:p w14:paraId="0A118101" w14:textId="77777777" w:rsidR="00B40521" w:rsidRPr="00903618" w:rsidRDefault="00B40521" w:rsidP="00891521">
            <w:pPr>
              <w:rPr>
                <w:rFonts w:ascii="Times New Roman" w:hAnsi="Times New Roman" w:cs="Times New Roman"/>
                <w:color w:val="000000" w:themeColor="text1"/>
              </w:rPr>
            </w:pPr>
            <w:r w:rsidRPr="00903618">
              <w:rPr>
                <w:rFonts w:ascii="Times New Roman" w:hAnsi="Times New Roman" w:cs="Times New Roman"/>
                <w:color w:val="000000" w:themeColor="text1"/>
              </w:rPr>
              <w:t>See more at:</w:t>
            </w:r>
          </w:p>
          <w:p w14:paraId="5C8EC081" w14:textId="77777777" w:rsidR="00B40521" w:rsidRPr="00903618" w:rsidRDefault="00B40521" w:rsidP="00891521">
            <w:pPr>
              <w:rPr>
                <w:rFonts w:ascii="Times New Roman" w:hAnsi="Times New Roman" w:cs="Times New Roman"/>
                <w:i/>
                <w:color w:val="1F497D" w:themeColor="text2"/>
              </w:rPr>
            </w:pPr>
            <w:r w:rsidRPr="00903618">
              <w:rPr>
                <w:rFonts w:ascii="Times New Roman" w:hAnsi="Times New Roman" w:cs="Times New Roman"/>
                <w:i/>
                <w:color w:val="1F497D" w:themeColor="text2"/>
              </w:rPr>
              <w:t>http://www.ehea.info/event-details.aspx?evId=477</w:t>
            </w:r>
          </w:p>
        </w:tc>
      </w:tr>
      <w:tr w:rsidR="00B40521" w:rsidRPr="00903618" w14:paraId="7F6C7B5E" w14:textId="77777777" w:rsidTr="00285903">
        <w:tc>
          <w:tcPr>
            <w:tcW w:w="3227" w:type="dxa"/>
          </w:tcPr>
          <w:p w14:paraId="0DC33295"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Conference on quality assurance, trust and recognition.</w:t>
            </w:r>
          </w:p>
        </w:tc>
        <w:tc>
          <w:tcPr>
            <w:tcW w:w="1417" w:type="dxa"/>
          </w:tcPr>
          <w:p w14:paraId="1478301C" w14:textId="77777777" w:rsidR="00B40521" w:rsidRPr="00903618" w:rsidRDefault="00B40521" w:rsidP="00891521">
            <w:pPr>
              <w:rPr>
                <w:rFonts w:ascii="Times New Roman" w:hAnsi="Times New Roman" w:cs="Times New Roman"/>
                <w:color w:val="000000" w:themeColor="text1"/>
                <w:lang w:val="en-GB"/>
              </w:rPr>
            </w:pPr>
            <w:r w:rsidRPr="00903618">
              <w:rPr>
                <w:rFonts w:ascii="Times New Roman" w:hAnsi="Times New Roman" w:cs="Times New Roman"/>
                <w:color w:val="000000" w:themeColor="text1"/>
                <w:lang w:val="en-GB"/>
              </w:rPr>
              <w:t>20.09.2013</w:t>
            </w:r>
          </w:p>
        </w:tc>
        <w:tc>
          <w:tcPr>
            <w:tcW w:w="2127" w:type="dxa"/>
          </w:tcPr>
          <w:p w14:paraId="61DA5B91"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Brussels, Belgium</w:t>
            </w:r>
          </w:p>
        </w:tc>
        <w:tc>
          <w:tcPr>
            <w:tcW w:w="3402" w:type="dxa"/>
          </w:tcPr>
          <w:p w14:paraId="10F7A8C3" w14:textId="77777777" w:rsidR="00B40521" w:rsidRPr="00903618" w:rsidRDefault="00B40521" w:rsidP="00891521">
            <w:pPr>
              <w:rPr>
                <w:rFonts w:ascii="Times New Roman" w:hAnsi="Times New Roman" w:cs="Times New Roman"/>
              </w:rPr>
            </w:pPr>
            <w:r w:rsidRPr="00903618">
              <w:rPr>
                <w:rFonts w:ascii="Times New Roman" w:hAnsi="Times New Roman" w:cs="Times New Roman"/>
              </w:rPr>
              <w:t>The seminar was an opportunity to hear about and discuss recent developments in Europe with the Quality Assurance Standards and Guidelines, the Quality Assurance Register and the Qualifications Framework, as well as new tools such as the Erasmus Charter for Higher Education and Learning Agreements with institutions located in third countries.</w:t>
            </w:r>
          </w:p>
          <w:p w14:paraId="08120793" w14:textId="77777777" w:rsidR="00B40521" w:rsidRPr="00903618" w:rsidRDefault="00B40521" w:rsidP="00891521">
            <w:pPr>
              <w:rPr>
                <w:rFonts w:ascii="Times New Roman" w:hAnsi="Times New Roman" w:cs="Times New Roman"/>
              </w:rPr>
            </w:pPr>
            <w:r w:rsidRPr="00903618">
              <w:rPr>
                <w:rFonts w:ascii="Times New Roman" w:hAnsi="Times New Roman" w:cs="Times New Roman"/>
              </w:rPr>
              <w:t>See more at:</w:t>
            </w:r>
          </w:p>
          <w:p w14:paraId="36B957DD" w14:textId="77777777" w:rsidR="00B40521" w:rsidRPr="00903618" w:rsidRDefault="00B40521" w:rsidP="00891521">
            <w:pPr>
              <w:rPr>
                <w:rFonts w:ascii="Times New Roman" w:hAnsi="Times New Roman" w:cs="Times New Roman"/>
                <w:i/>
                <w:color w:val="1F497D" w:themeColor="text2"/>
              </w:rPr>
            </w:pPr>
            <w:r w:rsidRPr="00903618">
              <w:rPr>
                <w:rFonts w:ascii="Times New Roman" w:hAnsi="Times New Roman" w:cs="Times New Roman"/>
                <w:i/>
                <w:color w:val="1F497D" w:themeColor="text2"/>
              </w:rPr>
              <w:t>http://www.ehea.info/event-details.aspx?evId=471</w:t>
            </w:r>
          </w:p>
        </w:tc>
      </w:tr>
      <w:tr w:rsidR="00B40521" w:rsidRPr="00903618" w14:paraId="5BDD18D5" w14:textId="77777777" w:rsidTr="00285903">
        <w:tc>
          <w:tcPr>
            <w:tcW w:w="3227" w:type="dxa"/>
          </w:tcPr>
          <w:p w14:paraId="7FC5CD4A"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University Recognition of Prior Learning Centres: Making Lifelong Learning a Reality</w:t>
            </w:r>
          </w:p>
        </w:tc>
        <w:tc>
          <w:tcPr>
            <w:tcW w:w="1417" w:type="dxa"/>
          </w:tcPr>
          <w:p w14:paraId="626191BB" w14:textId="77777777" w:rsidR="00B40521" w:rsidRPr="00903618" w:rsidRDefault="00B40521" w:rsidP="00891521">
            <w:pPr>
              <w:rPr>
                <w:rFonts w:ascii="Times New Roman" w:hAnsi="Times New Roman" w:cs="Times New Roman"/>
                <w:color w:val="000000" w:themeColor="text1"/>
                <w:lang w:val="en-GB"/>
              </w:rPr>
            </w:pPr>
            <w:r w:rsidRPr="00903618">
              <w:rPr>
                <w:rFonts w:ascii="Times New Roman" w:hAnsi="Times New Roman" w:cs="Times New Roman"/>
                <w:color w:val="000000" w:themeColor="text1"/>
                <w:lang w:val="en-GB"/>
              </w:rPr>
              <w:t>26.09.2013-27.09.2013</w:t>
            </w:r>
          </w:p>
        </w:tc>
        <w:tc>
          <w:tcPr>
            <w:tcW w:w="2127" w:type="dxa"/>
          </w:tcPr>
          <w:p w14:paraId="5420AAE5"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Kraków, Poland</w:t>
            </w:r>
          </w:p>
        </w:tc>
        <w:tc>
          <w:tcPr>
            <w:tcW w:w="3402" w:type="dxa"/>
          </w:tcPr>
          <w:p w14:paraId="0448E59E" w14:textId="77777777" w:rsidR="00B40521" w:rsidRPr="00903618" w:rsidRDefault="00B40521" w:rsidP="00891521">
            <w:pPr>
              <w:rPr>
                <w:rFonts w:ascii="Times New Roman" w:hAnsi="Times New Roman" w:cs="Times New Roman"/>
              </w:rPr>
            </w:pPr>
            <w:r w:rsidRPr="00903618">
              <w:rPr>
                <w:rFonts w:ascii="Times New Roman" w:hAnsi="Times New Roman" w:cs="Times New Roman"/>
              </w:rPr>
              <w:t>See more at:</w:t>
            </w:r>
          </w:p>
          <w:p w14:paraId="7B9D8A61" w14:textId="77777777" w:rsidR="00B40521" w:rsidRPr="00903618" w:rsidRDefault="00B40521" w:rsidP="00891521">
            <w:pPr>
              <w:rPr>
                <w:rFonts w:ascii="Times New Roman" w:hAnsi="Times New Roman" w:cs="Times New Roman"/>
                <w:i/>
                <w:color w:val="1F497D" w:themeColor="text2"/>
              </w:rPr>
            </w:pPr>
            <w:r w:rsidRPr="00903618">
              <w:rPr>
                <w:rFonts w:ascii="Times New Roman" w:hAnsi="Times New Roman" w:cs="Times New Roman"/>
                <w:i/>
                <w:color w:val="1F497D" w:themeColor="text2"/>
              </w:rPr>
              <w:t>http://www.ehea.info/Uploads/SubmitedFiles/4_2013/171823.pdf</w:t>
            </w:r>
          </w:p>
          <w:p w14:paraId="65D29CFA" w14:textId="77777777" w:rsidR="00B40521" w:rsidRPr="00903618" w:rsidRDefault="00B40521" w:rsidP="00891521">
            <w:pPr>
              <w:rPr>
                <w:rFonts w:ascii="Times New Roman" w:hAnsi="Times New Roman" w:cs="Times New Roman"/>
              </w:rPr>
            </w:pPr>
          </w:p>
        </w:tc>
      </w:tr>
      <w:tr w:rsidR="00B40521" w:rsidRPr="00903618" w14:paraId="67F83ED3" w14:textId="77777777" w:rsidTr="00285903">
        <w:tc>
          <w:tcPr>
            <w:tcW w:w="3227" w:type="dxa"/>
          </w:tcPr>
          <w:p w14:paraId="4C0E8070" w14:textId="77777777" w:rsidR="00B40521" w:rsidRPr="00903618" w:rsidRDefault="00B40521" w:rsidP="00891521">
            <w:pPr>
              <w:rPr>
                <w:rFonts w:ascii="Times New Roman" w:hAnsi="Times New Roman" w:cs="Times New Roman"/>
                <w:color w:val="010D2D"/>
              </w:rPr>
            </w:pPr>
            <w:r w:rsidRPr="00903618">
              <w:rPr>
                <w:rFonts w:ascii="Times New Roman" w:hAnsi="Times New Roman" w:cs="Times New Roman"/>
                <w:color w:val="010D2D"/>
              </w:rPr>
              <w:t xml:space="preserve">Regional Meeting of Ministers </w:t>
            </w:r>
            <w:r w:rsidRPr="00903618">
              <w:rPr>
                <w:rFonts w:ascii="Times New Roman" w:hAnsi="Times New Roman" w:cs="Times New Roman"/>
                <w:color w:val="010D2D"/>
              </w:rPr>
              <w:lastRenderedPageBreak/>
              <w:t>of Education on the Implementation of the EHEA</w:t>
            </w:r>
          </w:p>
        </w:tc>
        <w:tc>
          <w:tcPr>
            <w:tcW w:w="1417" w:type="dxa"/>
          </w:tcPr>
          <w:p w14:paraId="63623974" w14:textId="77777777" w:rsidR="00B40521" w:rsidRPr="00903618" w:rsidRDefault="00B40521" w:rsidP="00891521">
            <w:pPr>
              <w:rPr>
                <w:rFonts w:ascii="Times New Roman" w:hAnsi="Times New Roman" w:cs="Times New Roman"/>
                <w:color w:val="000000" w:themeColor="text1"/>
                <w:lang w:val="en-GB"/>
              </w:rPr>
            </w:pPr>
            <w:r>
              <w:rPr>
                <w:rFonts w:ascii="Times New Roman" w:hAnsi="Times New Roman" w:cs="Times New Roman"/>
                <w:color w:val="000000" w:themeColor="text1"/>
                <w:lang w:val="en-GB"/>
              </w:rPr>
              <w:lastRenderedPageBreak/>
              <w:t>17.10.2013-</w:t>
            </w:r>
            <w:r>
              <w:rPr>
                <w:rFonts w:ascii="Times New Roman" w:hAnsi="Times New Roman" w:cs="Times New Roman"/>
                <w:color w:val="000000" w:themeColor="text1"/>
                <w:lang w:val="en-GB"/>
              </w:rPr>
              <w:lastRenderedPageBreak/>
              <w:t>18.10.2013</w:t>
            </w:r>
          </w:p>
        </w:tc>
        <w:tc>
          <w:tcPr>
            <w:tcW w:w="2127" w:type="dxa"/>
          </w:tcPr>
          <w:p w14:paraId="4A42FF24" w14:textId="77777777" w:rsidR="00B40521" w:rsidRPr="00903618" w:rsidRDefault="00B40521" w:rsidP="00891521">
            <w:pPr>
              <w:rPr>
                <w:rFonts w:ascii="Times New Roman" w:hAnsi="Times New Roman" w:cs="Times New Roman"/>
                <w:color w:val="010D2D"/>
              </w:rPr>
            </w:pPr>
            <w:r>
              <w:rPr>
                <w:rFonts w:ascii="Times New Roman" w:hAnsi="Times New Roman" w:cs="Times New Roman"/>
                <w:color w:val="010D2D"/>
              </w:rPr>
              <w:lastRenderedPageBreak/>
              <w:t>Yerevan, Armenia</w:t>
            </w:r>
          </w:p>
        </w:tc>
        <w:tc>
          <w:tcPr>
            <w:tcW w:w="3402" w:type="dxa"/>
          </w:tcPr>
          <w:p w14:paraId="0742E66B" w14:textId="77777777" w:rsidR="00B40521" w:rsidRDefault="00B40521" w:rsidP="00891521">
            <w:pPr>
              <w:rPr>
                <w:rFonts w:ascii="Times New Roman" w:hAnsi="Times New Roman" w:cs="Times New Roman"/>
              </w:rPr>
            </w:pPr>
            <w:r>
              <w:rPr>
                <w:rFonts w:ascii="Times New Roman" w:hAnsi="Times New Roman" w:cs="Times New Roman"/>
              </w:rPr>
              <w:t xml:space="preserve">This was the third regional </w:t>
            </w:r>
            <w:r>
              <w:rPr>
                <w:rFonts w:ascii="Times New Roman" w:hAnsi="Times New Roman" w:cs="Times New Roman"/>
              </w:rPr>
              <w:lastRenderedPageBreak/>
              <w:t>conference of Ministers of Education, organized by Armenia and the Council of Europe as part of Armenia’s Chairmanship of the Committee of Minsters of the Council of Europe. See more at:</w:t>
            </w:r>
          </w:p>
          <w:p w14:paraId="2C8E3E49" w14:textId="77777777" w:rsidR="00B40521" w:rsidRPr="00903618" w:rsidRDefault="00B40521" w:rsidP="00891521">
            <w:pPr>
              <w:rPr>
                <w:rFonts w:ascii="Times New Roman" w:hAnsi="Times New Roman" w:cs="Times New Roman"/>
              </w:rPr>
            </w:pPr>
            <w:r w:rsidRPr="00E42D65">
              <w:rPr>
                <w:rFonts w:ascii="Times New Roman" w:hAnsi="Times New Roman" w:cs="Times New Roman"/>
              </w:rPr>
              <w:t>http://www.ehea.info/event-details.aspx?evId=486</w:t>
            </w:r>
          </w:p>
        </w:tc>
      </w:tr>
      <w:tr w:rsidR="00B40521" w:rsidRPr="00903618" w14:paraId="4FC718F2" w14:textId="77777777" w:rsidTr="00285903">
        <w:tc>
          <w:tcPr>
            <w:tcW w:w="3227" w:type="dxa"/>
          </w:tcPr>
          <w:p w14:paraId="398F095B" w14:textId="77777777" w:rsidR="00B40521" w:rsidRPr="00D81BBD" w:rsidRDefault="00B40521" w:rsidP="00891521">
            <w:pPr>
              <w:rPr>
                <w:rFonts w:ascii="Times New Roman" w:hAnsi="Times New Roman" w:cs="Times New Roman"/>
                <w:color w:val="010D2D"/>
              </w:rPr>
            </w:pPr>
            <w:r w:rsidRPr="00D81BBD">
              <w:rPr>
                <w:rFonts w:ascii="Times New Roman" w:hAnsi="Times New Roman" w:cs="Times New Roman"/>
                <w:color w:val="010D2D"/>
              </w:rPr>
              <w:lastRenderedPageBreak/>
              <w:t>Quality Assurance in VET and Higher Education for improving their permeability</w:t>
            </w:r>
          </w:p>
        </w:tc>
        <w:tc>
          <w:tcPr>
            <w:tcW w:w="1417" w:type="dxa"/>
          </w:tcPr>
          <w:p w14:paraId="3F66C6B2" w14:textId="77777777" w:rsidR="00B40521" w:rsidRPr="00D81BBD" w:rsidRDefault="00B40521" w:rsidP="00891521">
            <w:pPr>
              <w:rPr>
                <w:rFonts w:ascii="Times New Roman" w:hAnsi="Times New Roman" w:cs="Times New Roman"/>
                <w:color w:val="000000" w:themeColor="text1"/>
                <w:lang w:val="en-GB"/>
              </w:rPr>
            </w:pPr>
            <w:r w:rsidRPr="00D81BBD">
              <w:rPr>
                <w:rFonts w:ascii="Times New Roman" w:hAnsi="Times New Roman" w:cs="Times New Roman"/>
                <w:color w:val="000000" w:themeColor="text1"/>
                <w:lang w:val="en-GB"/>
              </w:rPr>
              <w:t>22.10.2013-23.10.2013</w:t>
            </w:r>
          </w:p>
        </w:tc>
        <w:tc>
          <w:tcPr>
            <w:tcW w:w="2127" w:type="dxa"/>
          </w:tcPr>
          <w:p w14:paraId="64E15DF3" w14:textId="77777777" w:rsidR="00B40521" w:rsidRPr="00D81BBD" w:rsidRDefault="00B40521" w:rsidP="00891521">
            <w:pPr>
              <w:rPr>
                <w:rFonts w:ascii="Times New Roman" w:hAnsi="Times New Roman" w:cs="Times New Roman"/>
                <w:color w:val="010D2D"/>
              </w:rPr>
            </w:pPr>
            <w:r w:rsidRPr="00D81BBD">
              <w:rPr>
                <w:rFonts w:ascii="Times New Roman" w:hAnsi="Times New Roman" w:cs="Times New Roman"/>
                <w:color w:val="010D2D"/>
              </w:rPr>
              <w:t>Brussels, Belgium</w:t>
            </w:r>
          </w:p>
        </w:tc>
        <w:tc>
          <w:tcPr>
            <w:tcW w:w="3402" w:type="dxa"/>
          </w:tcPr>
          <w:p w14:paraId="34DE1177" w14:textId="77777777" w:rsidR="00B40521" w:rsidRPr="00D81BBD" w:rsidRDefault="00B40521" w:rsidP="00891521">
            <w:pPr>
              <w:rPr>
                <w:rFonts w:ascii="Times New Roman" w:hAnsi="Times New Roman" w:cs="Times New Roman"/>
              </w:rPr>
            </w:pPr>
            <w:r w:rsidRPr="00D81BBD">
              <w:rPr>
                <w:rFonts w:ascii="Times New Roman" w:hAnsi="Times New Roman" w:cs="Times New Roman"/>
              </w:rPr>
              <w:t>The European Commission, the EQAVET Secretariat and CEDEFOP organized a joint expert seminar to promote meaningful and sustainable cooperation on the issue of Quality Assurance in VET and Higher Education for improving their permeability.</w:t>
            </w:r>
          </w:p>
          <w:p w14:paraId="4650C212" w14:textId="77777777" w:rsidR="00B40521" w:rsidRPr="00D81BBD" w:rsidRDefault="00B40521" w:rsidP="00891521">
            <w:pPr>
              <w:rPr>
                <w:rFonts w:ascii="Times New Roman" w:hAnsi="Times New Roman" w:cs="Times New Roman"/>
              </w:rPr>
            </w:pPr>
            <w:r w:rsidRPr="00D81BBD">
              <w:rPr>
                <w:rFonts w:ascii="Times New Roman" w:hAnsi="Times New Roman" w:cs="Times New Roman"/>
              </w:rPr>
              <w:t>See more at:</w:t>
            </w:r>
          </w:p>
          <w:p w14:paraId="2331FD17" w14:textId="77777777" w:rsidR="00B40521" w:rsidRPr="00D81BBD" w:rsidRDefault="00B40521" w:rsidP="00891521">
            <w:pPr>
              <w:rPr>
                <w:rFonts w:ascii="Times New Roman" w:hAnsi="Times New Roman" w:cs="Times New Roman"/>
                <w:i/>
                <w:color w:val="1F497D" w:themeColor="text2"/>
              </w:rPr>
            </w:pPr>
            <w:r w:rsidRPr="00D81BBD">
              <w:rPr>
                <w:rFonts w:ascii="Times New Roman" w:hAnsi="Times New Roman" w:cs="Times New Roman"/>
                <w:i/>
                <w:color w:val="1F497D" w:themeColor="text2"/>
              </w:rPr>
              <w:t>http://www.ehea.info/event-details.aspx?evId=501</w:t>
            </w:r>
          </w:p>
        </w:tc>
      </w:tr>
      <w:tr w:rsidR="00B40521" w:rsidRPr="00903618" w14:paraId="6F9C507F" w14:textId="77777777" w:rsidTr="00285903">
        <w:tc>
          <w:tcPr>
            <w:tcW w:w="3227" w:type="dxa"/>
          </w:tcPr>
          <w:p w14:paraId="2414E198" w14:textId="77777777" w:rsidR="00B40521" w:rsidRPr="00D81BBD" w:rsidRDefault="00B40521" w:rsidP="00891521">
            <w:pPr>
              <w:rPr>
                <w:rFonts w:ascii="Times New Roman" w:hAnsi="Times New Roman" w:cs="Times New Roman"/>
                <w:color w:val="010D2D"/>
              </w:rPr>
            </w:pPr>
            <w:r w:rsidRPr="00D81BBD">
              <w:rPr>
                <w:rFonts w:ascii="Times New Roman" w:hAnsi="Times New Roman" w:cs="Times New Roman"/>
                <w:color w:val="010D2D"/>
              </w:rPr>
              <w:t>ESCO goes live</w:t>
            </w:r>
          </w:p>
        </w:tc>
        <w:tc>
          <w:tcPr>
            <w:tcW w:w="1417" w:type="dxa"/>
          </w:tcPr>
          <w:p w14:paraId="501F4A5A" w14:textId="77777777" w:rsidR="00B40521" w:rsidRPr="00D81BBD" w:rsidRDefault="00B40521" w:rsidP="00891521">
            <w:pPr>
              <w:rPr>
                <w:rFonts w:ascii="Times New Roman" w:hAnsi="Times New Roman" w:cs="Times New Roman"/>
                <w:color w:val="000000" w:themeColor="text1"/>
                <w:lang w:val="en-GB"/>
              </w:rPr>
            </w:pPr>
            <w:r w:rsidRPr="00D81BBD">
              <w:rPr>
                <w:rFonts w:ascii="Times New Roman" w:hAnsi="Times New Roman" w:cs="Times New Roman"/>
                <w:color w:val="000000" w:themeColor="text1"/>
                <w:lang w:val="en-GB"/>
              </w:rPr>
              <w:t>23.10.2013-24.10.2013</w:t>
            </w:r>
          </w:p>
        </w:tc>
        <w:tc>
          <w:tcPr>
            <w:tcW w:w="2127" w:type="dxa"/>
          </w:tcPr>
          <w:p w14:paraId="5B743922" w14:textId="77777777" w:rsidR="00B40521" w:rsidRPr="00D81BBD" w:rsidRDefault="00B40521" w:rsidP="00891521">
            <w:pPr>
              <w:rPr>
                <w:rFonts w:ascii="Times New Roman" w:hAnsi="Times New Roman" w:cs="Times New Roman"/>
                <w:color w:val="010D2D"/>
              </w:rPr>
            </w:pPr>
            <w:r w:rsidRPr="00D81BBD">
              <w:rPr>
                <w:rFonts w:ascii="Times New Roman" w:hAnsi="Times New Roman" w:cs="Times New Roman"/>
                <w:color w:val="010D2D"/>
              </w:rPr>
              <w:t>Brussels, Belgium</w:t>
            </w:r>
          </w:p>
        </w:tc>
        <w:tc>
          <w:tcPr>
            <w:tcW w:w="3402" w:type="dxa"/>
          </w:tcPr>
          <w:p w14:paraId="14C0B069" w14:textId="77777777" w:rsidR="00B40521" w:rsidRPr="00D81BBD" w:rsidRDefault="00B40521" w:rsidP="00891521">
            <w:pPr>
              <w:rPr>
                <w:rFonts w:ascii="Times New Roman" w:hAnsi="Times New Roman" w:cs="Times New Roman"/>
              </w:rPr>
            </w:pPr>
            <w:r w:rsidRPr="00D81BBD">
              <w:rPr>
                <w:rFonts w:ascii="Times New Roman" w:hAnsi="Times New Roman" w:cs="Times New Roman"/>
              </w:rPr>
              <w:t>The conference officially launched ESCO, the Classification of European Skills/Competences,</w:t>
            </w:r>
            <w:r>
              <w:rPr>
                <w:rFonts w:ascii="Times New Roman" w:hAnsi="Times New Roman" w:cs="Times New Roman"/>
              </w:rPr>
              <w:t xml:space="preserve"> </w:t>
            </w:r>
            <w:r w:rsidRPr="00D81BBD">
              <w:rPr>
                <w:rFonts w:ascii="Times New Roman" w:hAnsi="Times New Roman" w:cs="Times New Roman"/>
              </w:rPr>
              <w:t>Qualifications and Occupations, and the ESCO Portal. It is the first time that ESCO will be publically accessible.</w:t>
            </w:r>
          </w:p>
          <w:p w14:paraId="3F3C6491" w14:textId="77777777" w:rsidR="00B40521" w:rsidRPr="00D81BBD" w:rsidRDefault="00B40521" w:rsidP="00891521">
            <w:pPr>
              <w:rPr>
                <w:rFonts w:ascii="Times New Roman" w:hAnsi="Times New Roman" w:cs="Times New Roman"/>
              </w:rPr>
            </w:pPr>
            <w:r w:rsidRPr="00D81BBD">
              <w:rPr>
                <w:rFonts w:ascii="Times New Roman" w:hAnsi="Times New Roman" w:cs="Times New Roman"/>
              </w:rPr>
              <w:t>See more at:</w:t>
            </w:r>
          </w:p>
          <w:p w14:paraId="0AEADFE7" w14:textId="77777777" w:rsidR="00B40521" w:rsidRPr="00D81BBD" w:rsidRDefault="00B40521" w:rsidP="00891521">
            <w:pPr>
              <w:rPr>
                <w:rFonts w:ascii="Times New Roman" w:hAnsi="Times New Roman" w:cs="Times New Roman"/>
                <w:i/>
                <w:color w:val="1F497D" w:themeColor="text2"/>
              </w:rPr>
            </w:pPr>
            <w:r w:rsidRPr="00D81BBD">
              <w:rPr>
                <w:rFonts w:ascii="Times New Roman" w:hAnsi="Times New Roman" w:cs="Times New Roman"/>
                <w:i/>
                <w:color w:val="1F497D" w:themeColor="text2"/>
              </w:rPr>
              <w:t>http://www.ehea.info/event-details.aspx?evId=503</w:t>
            </w:r>
          </w:p>
        </w:tc>
      </w:tr>
      <w:tr w:rsidR="00B40521" w:rsidRPr="00E6169D" w14:paraId="54B9D098" w14:textId="77777777" w:rsidTr="00285903">
        <w:tc>
          <w:tcPr>
            <w:tcW w:w="3227" w:type="dxa"/>
          </w:tcPr>
          <w:p w14:paraId="5AC8FF16" w14:textId="77777777" w:rsidR="00B40521" w:rsidRPr="00E6169D" w:rsidRDefault="00B40521" w:rsidP="00891521">
            <w:pPr>
              <w:rPr>
                <w:rFonts w:ascii="Times New Roman" w:hAnsi="Times New Roman" w:cs="Times New Roman"/>
                <w:color w:val="010D2D"/>
              </w:rPr>
            </w:pPr>
            <w:r w:rsidRPr="00E6169D">
              <w:rPr>
                <w:rFonts w:ascii="Times New Roman" w:hAnsi="Times New Roman" w:cs="Times New Roman"/>
                <w:color w:val="010D2D"/>
              </w:rPr>
              <w:t xml:space="preserve">EURASHE Seminar on the Implementation of Internal and External Quality Assurance </w:t>
            </w:r>
          </w:p>
        </w:tc>
        <w:tc>
          <w:tcPr>
            <w:tcW w:w="1417" w:type="dxa"/>
          </w:tcPr>
          <w:p w14:paraId="6BEEDF02" w14:textId="77777777" w:rsidR="00B40521" w:rsidRPr="00E6169D" w:rsidRDefault="00B40521" w:rsidP="00891521">
            <w:pPr>
              <w:rPr>
                <w:rFonts w:ascii="Times New Roman" w:hAnsi="Times New Roman" w:cs="Times New Roman"/>
                <w:color w:val="000000" w:themeColor="text1"/>
                <w:lang w:val="en-GB"/>
              </w:rPr>
            </w:pPr>
            <w:r w:rsidRPr="00E6169D">
              <w:rPr>
                <w:rFonts w:ascii="Times New Roman" w:hAnsi="Times New Roman" w:cs="Times New Roman"/>
                <w:color w:val="000000" w:themeColor="text1"/>
                <w:lang w:val="en-GB"/>
              </w:rPr>
              <w:t>24.10.2013-25.10.2013</w:t>
            </w:r>
          </w:p>
        </w:tc>
        <w:tc>
          <w:tcPr>
            <w:tcW w:w="2127" w:type="dxa"/>
          </w:tcPr>
          <w:p w14:paraId="45EE3EC5" w14:textId="77777777" w:rsidR="00B40521" w:rsidRPr="00E6169D" w:rsidRDefault="00B40521" w:rsidP="00891521">
            <w:pPr>
              <w:rPr>
                <w:rFonts w:ascii="Times New Roman" w:hAnsi="Times New Roman" w:cs="Times New Roman"/>
                <w:color w:val="010D2D"/>
              </w:rPr>
            </w:pPr>
            <w:r w:rsidRPr="00E6169D">
              <w:rPr>
                <w:rFonts w:ascii="Times New Roman" w:hAnsi="Times New Roman" w:cs="Times New Roman"/>
                <w:color w:val="010D2D"/>
              </w:rPr>
              <w:t>Bucharest, Romania</w:t>
            </w:r>
          </w:p>
        </w:tc>
        <w:tc>
          <w:tcPr>
            <w:tcW w:w="3402" w:type="dxa"/>
          </w:tcPr>
          <w:p w14:paraId="5FEAECE6" w14:textId="77777777" w:rsidR="00B40521" w:rsidRPr="00E6169D" w:rsidRDefault="00B40521" w:rsidP="00891521">
            <w:pPr>
              <w:rPr>
                <w:rFonts w:ascii="Times New Roman" w:hAnsi="Times New Roman" w:cs="Times New Roman"/>
              </w:rPr>
            </w:pPr>
            <w:r w:rsidRPr="00E6169D">
              <w:rPr>
                <w:rFonts w:ascii="Times New Roman" w:hAnsi="Times New Roman" w:cs="Times New Roman"/>
              </w:rPr>
              <w:t>See more at:</w:t>
            </w:r>
          </w:p>
          <w:p w14:paraId="528F0B85" w14:textId="77777777" w:rsidR="00B40521" w:rsidRPr="00E6169D" w:rsidRDefault="00B40521" w:rsidP="00891521">
            <w:pPr>
              <w:rPr>
                <w:rFonts w:ascii="Times New Roman" w:hAnsi="Times New Roman" w:cs="Times New Roman"/>
                <w:i/>
                <w:color w:val="1F497D" w:themeColor="text2"/>
              </w:rPr>
            </w:pPr>
            <w:r w:rsidRPr="00E6169D">
              <w:rPr>
                <w:rFonts w:ascii="Times New Roman" w:hAnsi="Times New Roman" w:cs="Times New Roman"/>
                <w:i/>
                <w:color w:val="1F497D" w:themeColor="text2"/>
              </w:rPr>
              <w:t>http://www.eurashe.eu/events/seminars/qa-bucharest-2013/</w:t>
            </w:r>
          </w:p>
        </w:tc>
      </w:tr>
      <w:tr w:rsidR="00B40521" w:rsidRPr="00E6169D" w14:paraId="15FACF5F" w14:textId="77777777" w:rsidTr="00285903">
        <w:tc>
          <w:tcPr>
            <w:tcW w:w="3227" w:type="dxa"/>
          </w:tcPr>
          <w:p w14:paraId="77844AE8" w14:textId="77777777" w:rsidR="00B40521" w:rsidRPr="00E6169D" w:rsidRDefault="00B40521" w:rsidP="00891521">
            <w:pPr>
              <w:rPr>
                <w:rFonts w:ascii="Times New Roman" w:hAnsi="Times New Roman" w:cs="Times New Roman"/>
                <w:color w:val="010D2D"/>
              </w:rPr>
            </w:pPr>
            <w:r w:rsidRPr="00E6169D">
              <w:rPr>
                <w:rFonts w:ascii="Times New Roman" w:hAnsi="Times New Roman" w:cs="Times New Roman"/>
                <w:color w:val="010D2D"/>
              </w:rPr>
              <w:t>Cooperation Between HEI and Businesses – Why do we need to cooperate ?</w:t>
            </w:r>
          </w:p>
        </w:tc>
        <w:tc>
          <w:tcPr>
            <w:tcW w:w="1417" w:type="dxa"/>
          </w:tcPr>
          <w:p w14:paraId="293A9181" w14:textId="77777777" w:rsidR="00B40521" w:rsidRPr="00E6169D" w:rsidRDefault="00B40521" w:rsidP="00891521">
            <w:pPr>
              <w:rPr>
                <w:rFonts w:ascii="Times New Roman" w:hAnsi="Times New Roman" w:cs="Times New Roman"/>
                <w:color w:val="000000" w:themeColor="text1"/>
                <w:lang w:val="en-GB"/>
              </w:rPr>
            </w:pPr>
            <w:r>
              <w:rPr>
                <w:rFonts w:ascii="Times New Roman" w:hAnsi="Times New Roman" w:cs="Times New Roman"/>
                <w:color w:val="000000" w:themeColor="text1"/>
                <w:lang w:val="en-GB"/>
              </w:rPr>
              <w:t>25.10.2013</w:t>
            </w:r>
          </w:p>
        </w:tc>
        <w:tc>
          <w:tcPr>
            <w:tcW w:w="2127" w:type="dxa"/>
          </w:tcPr>
          <w:p w14:paraId="46ECD901" w14:textId="77777777" w:rsidR="00B40521" w:rsidRPr="00E6169D" w:rsidRDefault="00B40521" w:rsidP="00891521">
            <w:pPr>
              <w:rPr>
                <w:rFonts w:ascii="Times New Roman" w:hAnsi="Times New Roman" w:cs="Times New Roman"/>
                <w:color w:val="010D2D"/>
              </w:rPr>
            </w:pPr>
            <w:r w:rsidRPr="00E6169D">
              <w:rPr>
                <w:rFonts w:ascii="Times New Roman" w:hAnsi="Times New Roman" w:cs="Times New Roman"/>
                <w:color w:val="010D2D"/>
              </w:rPr>
              <w:t>Ljubljana, Slovenia</w:t>
            </w:r>
          </w:p>
        </w:tc>
        <w:tc>
          <w:tcPr>
            <w:tcW w:w="3402" w:type="dxa"/>
          </w:tcPr>
          <w:p w14:paraId="074DDEB9" w14:textId="77777777" w:rsidR="00B40521" w:rsidRPr="00E6169D" w:rsidRDefault="00B40521" w:rsidP="00891521">
            <w:pPr>
              <w:rPr>
                <w:rFonts w:ascii="Times New Roman" w:hAnsi="Times New Roman" w:cs="Times New Roman"/>
              </w:rPr>
            </w:pPr>
            <w:r w:rsidRPr="00E6169D">
              <w:rPr>
                <w:rFonts w:ascii="Times New Roman" w:hAnsi="Times New Roman" w:cs="Times New Roman"/>
              </w:rPr>
              <w:t>The conference addressed the interlinks between University-Business cooperation, employability &amp; higher education policy.</w:t>
            </w:r>
          </w:p>
          <w:p w14:paraId="51660D23" w14:textId="77777777" w:rsidR="00B40521" w:rsidRPr="00E6169D" w:rsidRDefault="00B40521" w:rsidP="00891521">
            <w:pPr>
              <w:rPr>
                <w:rFonts w:ascii="Times New Roman" w:hAnsi="Times New Roman" w:cs="Times New Roman"/>
              </w:rPr>
            </w:pPr>
            <w:r w:rsidRPr="00E6169D">
              <w:rPr>
                <w:rFonts w:ascii="Times New Roman" w:hAnsi="Times New Roman" w:cs="Times New Roman"/>
              </w:rPr>
              <w:t>See more at:</w:t>
            </w:r>
          </w:p>
          <w:p w14:paraId="5312DED1" w14:textId="77777777" w:rsidR="00B40521" w:rsidRPr="00E6169D" w:rsidRDefault="00B40521" w:rsidP="00891521">
            <w:pPr>
              <w:rPr>
                <w:rFonts w:ascii="Times New Roman" w:hAnsi="Times New Roman" w:cs="Times New Roman"/>
                <w:i/>
                <w:color w:val="1F497D" w:themeColor="text2"/>
              </w:rPr>
            </w:pPr>
            <w:r w:rsidRPr="00E6169D">
              <w:rPr>
                <w:rFonts w:ascii="Times New Roman" w:hAnsi="Times New Roman" w:cs="Times New Roman"/>
                <w:i/>
                <w:color w:val="1F497D" w:themeColor="text2"/>
              </w:rPr>
              <w:t>http://www.ehea.info/event-details.aspx?evId=495</w:t>
            </w:r>
          </w:p>
        </w:tc>
      </w:tr>
      <w:tr w:rsidR="00B40521" w:rsidRPr="00E6169D" w14:paraId="724940F1" w14:textId="77777777" w:rsidTr="00285903">
        <w:tc>
          <w:tcPr>
            <w:tcW w:w="3227" w:type="dxa"/>
          </w:tcPr>
          <w:p w14:paraId="51F22203" w14:textId="77777777" w:rsidR="00B40521" w:rsidRPr="009F7C93" w:rsidRDefault="00B40521" w:rsidP="00891521">
            <w:pPr>
              <w:rPr>
                <w:rFonts w:ascii="Times New Roman" w:hAnsi="Times New Roman" w:cs="Times New Roman"/>
                <w:color w:val="000000" w:themeColor="text1"/>
              </w:rPr>
            </w:pPr>
            <w:r w:rsidRPr="009F7C93">
              <w:rPr>
                <w:rFonts w:ascii="Times New Roman" w:hAnsi="Times New Roman" w:cs="Times New Roman"/>
                <w:color w:val="000000" w:themeColor="text1"/>
              </w:rPr>
              <w:t>ESU Conference: Quest for Quality for Students</w:t>
            </w:r>
          </w:p>
        </w:tc>
        <w:tc>
          <w:tcPr>
            <w:tcW w:w="1417" w:type="dxa"/>
          </w:tcPr>
          <w:p w14:paraId="510FB743" w14:textId="77777777" w:rsidR="00B40521" w:rsidRPr="009F7C93" w:rsidRDefault="00B40521" w:rsidP="00891521">
            <w:pPr>
              <w:rPr>
                <w:rFonts w:ascii="Times New Roman" w:hAnsi="Times New Roman" w:cs="Times New Roman"/>
                <w:color w:val="000000" w:themeColor="text1"/>
                <w:lang w:val="en-GB"/>
              </w:rPr>
            </w:pPr>
            <w:r w:rsidRPr="009F7C93">
              <w:rPr>
                <w:rFonts w:ascii="Times New Roman" w:hAnsi="Times New Roman" w:cs="Times New Roman"/>
                <w:color w:val="000000" w:themeColor="text1"/>
                <w:lang w:val="en-GB"/>
              </w:rPr>
              <w:t>31.10.2013</w:t>
            </w:r>
          </w:p>
        </w:tc>
        <w:tc>
          <w:tcPr>
            <w:tcW w:w="2127" w:type="dxa"/>
          </w:tcPr>
          <w:p w14:paraId="62F66DF0" w14:textId="77777777" w:rsidR="00B40521" w:rsidRPr="009F7C93" w:rsidRDefault="00B40521" w:rsidP="00891521">
            <w:pPr>
              <w:rPr>
                <w:rFonts w:ascii="Times New Roman" w:hAnsi="Times New Roman" w:cs="Times New Roman"/>
                <w:color w:val="000000" w:themeColor="text1"/>
              </w:rPr>
            </w:pPr>
            <w:r w:rsidRPr="009F7C93">
              <w:rPr>
                <w:rFonts w:ascii="Times New Roman" w:hAnsi="Times New Roman" w:cs="Times New Roman"/>
                <w:color w:val="000000" w:themeColor="text1"/>
              </w:rPr>
              <w:t>Brussels, Belgium</w:t>
            </w:r>
          </w:p>
        </w:tc>
        <w:tc>
          <w:tcPr>
            <w:tcW w:w="3402" w:type="dxa"/>
          </w:tcPr>
          <w:p w14:paraId="22E47FE8" w14:textId="77777777" w:rsidR="00B40521" w:rsidRPr="009F7C93" w:rsidRDefault="00B40521" w:rsidP="00891521">
            <w:pPr>
              <w:rPr>
                <w:rFonts w:ascii="Times New Roman" w:hAnsi="Times New Roman" w:cs="Times New Roman"/>
                <w:color w:val="000000" w:themeColor="text1"/>
              </w:rPr>
            </w:pPr>
            <w:r w:rsidRPr="009F7C93">
              <w:rPr>
                <w:rFonts w:ascii="Times New Roman" w:hAnsi="Times New Roman" w:cs="Times New Roman"/>
                <w:color w:val="000000" w:themeColor="text1"/>
              </w:rPr>
              <w:t xml:space="preserve">QUEST has been a 3 years-long project with the aim of defining a concept of quality that gives a </w:t>
            </w:r>
            <w:r w:rsidRPr="009F7C93">
              <w:rPr>
                <w:rFonts w:ascii="Times New Roman" w:hAnsi="Times New Roman" w:cs="Times New Roman"/>
                <w:color w:val="000000" w:themeColor="text1"/>
              </w:rPr>
              <w:lastRenderedPageBreak/>
              <w:t>better answer to the high quality student-centered learning model of higher</w:t>
            </w:r>
            <w:r>
              <w:rPr>
                <w:rFonts w:ascii="Times New Roman" w:hAnsi="Times New Roman" w:cs="Times New Roman"/>
                <w:color w:val="000000" w:themeColor="text1"/>
              </w:rPr>
              <w:t xml:space="preserve"> education students in Europe.</w:t>
            </w:r>
            <w:r w:rsidRPr="009F7C93">
              <w:rPr>
                <w:rFonts w:ascii="Times New Roman" w:hAnsi="Times New Roman" w:cs="Times New Roman"/>
                <w:color w:val="000000" w:themeColor="text1"/>
              </w:rPr>
              <w:t>Through QUEST, ESU aimed to identify what information students think is important that higher education institutions provide to them and compare this to existing modes of information provisions.</w:t>
            </w:r>
          </w:p>
          <w:p w14:paraId="330BBA74" w14:textId="77777777" w:rsidR="00B40521" w:rsidRPr="009F7C93" w:rsidRDefault="00B40521" w:rsidP="00891521">
            <w:pPr>
              <w:rPr>
                <w:rFonts w:ascii="Times New Roman" w:hAnsi="Times New Roman" w:cs="Times New Roman"/>
                <w:color w:val="000000" w:themeColor="text1"/>
              </w:rPr>
            </w:pPr>
            <w:r w:rsidRPr="009F7C93">
              <w:rPr>
                <w:rFonts w:ascii="Times New Roman" w:hAnsi="Times New Roman" w:cs="Times New Roman"/>
                <w:color w:val="000000" w:themeColor="text1"/>
              </w:rPr>
              <w:t>See more at:</w:t>
            </w:r>
          </w:p>
          <w:p w14:paraId="63FCBF71" w14:textId="77777777" w:rsidR="00B40521" w:rsidRPr="009F7C93" w:rsidRDefault="00B40521" w:rsidP="00891521">
            <w:pPr>
              <w:rPr>
                <w:rFonts w:ascii="Times New Roman" w:hAnsi="Times New Roman" w:cs="Times New Roman"/>
                <w:i/>
                <w:color w:val="000000" w:themeColor="text1"/>
              </w:rPr>
            </w:pPr>
            <w:r w:rsidRPr="009F7C93">
              <w:rPr>
                <w:rFonts w:ascii="Times New Roman" w:hAnsi="Times New Roman" w:cs="Times New Roman"/>
                <w:i/>
                <w:color w:val="000000" w:themeColor="text1"/>
              </w:rPr>
              <w:t>http://www.ehea.info/event-details.aspx?evId=506#</w:t>
            </w:r>
          </w:p>
        </w:tc>
      </w:tr>
      <w:tr w:rsidR="00B40521" w:rsidRPr="00E6169D" w14:paraId="77B80CC6" w14:textId="77777777" w:rsidTr="00285903">
        <w:tc>
          <w:tcPr>
            <w:tcW w:w="3227" w:type="dxa"/>
          </w:tcPr>
          <w:p w14:paraId="7F4D5728"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lastRenderedPageBreak/>
              <w:t>European Quality Assurance Forum (EQAF)</w:t>
            </w:r>
          </w:p>
        </w:tc>
        <w:tc>
          <w:tcPr>
            <w:tcW w:w="1417" w:type="dxa"/>
          </w:tcPr>
          <w:p w14:paraId="5515923D" w14:textId="77777777" w:rsidR="00B40521" w:rsidRPr="00147070" w:rsidRDefault="00B40521" w:rsidP="00891521">
            <w:pPr>
              <w:rPr>
                <w:rFonts w:ascii="Times New Roman" w:hAnsi="Times New Roman" w:cs="Times New Roman"/>
                <w:color w:val="000000" w:themeColor="text1"/>
                <w:lang w:val="en-GB"/>
              </w:rPr>
            </w:pPr>
            <w:r w:rsidRPr="00147070">
              <w:rPr>
                <w:rFonts w:ascii="Times New Roman" w:hAnsi="Times New Roman" w:cs="Times New Roman"/>
                <w:color w:val="000000" w:themeColor="text1"/>
                <w:lang w:val="en-GB"/>
              </w:rPr>
              <w:t>21.11.2013-23.11.2013</w:t>
            </w:r>
          </w:p>
        </w:tc>
        <w:tc>
          <w:tcPr>
            <w:tcW w:w="2127" w:type="dxa"/>
          </w:tcPr>
          <w:p w14:paraId="37981FFA"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t>University of G</w:t>
            </w:r>
            <w:r>
              <w:rPr>
                <w:rFonts w:ascii="Times New Roman" w:hAnsi="Times New Roman" w:cs="Times New Roman"/>
                <w:color w:val="010D2D"/>
              </w:rPr>
              <w:t>öteborg</w:t>
            </w:r>
            <w:r w:rsidRPr="00147070">
              <w:rPr>
                <w:rFonts w:ascii="Times New Roman" w:hAnsi="Times New Roman" w:cs="Times New Roman"/>
                <w:color w:val="010D2D"/>
              </w:rPr>
              <w:t>, Sweden</w:t>
            </w:r>
          </w:p>
        </w:tc>
        <w:tc>
          <w:tcPr>
            <w:tcW w:w="3402" w:type="dxa"/>
          </w:tcPr>
          <w:p w14:paraId="620F9049" w14:textId="77777777" w:rsidR="00B40521" w:rsidRPr="00147070" w:rsidRDefault="00B40521" w:rsidP="00891521">
            <w:pPr>
              <w:rPr>
                <w:rFonts w:ascii="Times New Roman" w:hAnsi="Times New Roman" w:cs="Times New Roman"/>
              </w:rPr>
            </w:pPr>
            <w:r w:rsidRPr="00147070">
              <w:rPr>
                <w:rFonts w:ascii="Times New Roman" w:hAnsi="Times New Roman" w:cs="Times New Roman"/>
              </w:rPr>
              <w:t>The European Quality Assurance Forum is a yearly event co-organized since 2006 by the European University Association (EUA), the European Association for Quality Assurance in Higher Education (ENQA), the European Association of Institutions in Higher Education (EURASHE) and the European Students’ Union (ESU).</w:t>
            </w:r>
          </w:p>
          <w:p w14:paraId="0A1F31E4" w14:textId="77777777" w:rsidR="00B40521" w:rsidRPr="00147070" w:rsidRDefault="00B40521" w:rsidP="00891521">
            <w:pPr>
              <w:rPr>
                <w:rFonts w:ascii="Times New Roman" w:hAnsi="Times New Roman" w:cs="Times New Roman"/>
              </w:rPr>
            </w:pPr>
            <w:r w:rsidRPr="00147070">
              <w:rPr>
                <w:rFonts w:ascii="Times New Roman" w:hAnsi="Times New Roman" w:cs="Times New Roman"/>
              </w:rPr>
              <w:t>See more at:</w:t>
            </w:r>
          </w:p>
          <w:p w14:paraId="69C9A47C" w14:textId="77777777" w:rsidR="00B40521" w:rsidRPr="00147070" w:rsidRDefault="00B40521" w:rsidP="00891521">
            <w:pPr>
              <w:rPr>
                <w:rFonts w:ascii="Times New Roman" w:hAnsi="Times New Roman" w:cs="Times New Roman"/>
                <w:i/>
                <w:color w:val="1F497D" w:themeColor="text2"/>
              </w:rPr>
            </w:pPr>
            <w:r w:rsidRPr="00147070">
              <w:rPr>
                <w:rFonts w:ascii="Times New Roman" w:hAnsi="Times New Roman" w:cs="Times New Roman"/>
                <w:i/>
                <w:color w:val="1F497D" w:themeColor="text2"/>
              </w:rPr>
              <w:t>http://www.ehea.info/event-details.aspx?evId=502</w:t>
            </w:r>
          </w:p>
        </w:tc>
      </w:tr>
      <w:tr w:rsidR="00B40521" w:rsidRPr="00E6169D" w14:paraId="37B8DF1B" w14:textId="77777777" w:rsidTr="00285903">
        <w:tc>
          <w:tcPr>
            <w:tcW w:w="3227" w:type="dxa"/>
          </w:tcPr>
          <w:p w14:paraId="6ACEFF10"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t>PLA on Increasing Synergies between the Implementation of the Learning Outcomes Approach and Quality Assurance Arrangements</w:t>
            </w:r>
          </w:p>
        </w:tc>
        <w:tc>
          <w:tcPr>
            <w:tcW w:w="1417" w:type="dxa"/>
          </w:tcPr>
          <w:p w14:paraId="221C01D3" w14:textId="77777777" w:rsidR="00B40521" w:rsidRPr="00147070" w:rsidRDefault="00B40521" w:rsidP="00891521">
            <w:pPr>
              <w:rPr>
                <w:rFonts w:ascii="Times New Roman" w:hAnsi="Times New Roman" w:cs="Times New Roman"/>
                <w:color w:val="000000" w:themeColor="text1"/>
                <w:lang w:val="en-GB"/>
              </w:rPr>
            </w:pPr>
            <w:r w:rsidRPr="00147070">
              <w:rPr>
                <w:rFonts w:ascii="Times New Roman" w:hAnsi="Times New Roman" w:cs="Times New Roman"/>
                <w:color w:val="000000" w:themeColor="text1"/>
                <w:lang w:val="en-GB"/>
              </w:rPr>
              <w:t>28.11.2013-29.11.2013</w:t>
            </w:r>
          </w:p>
        </w:tc>
        <w:tc>
          <w:tcPr>
            <w:tcW w:w="2127" w:type="dxa"/>
          </w:tcPr>
          <w:p w14:paraId="277EBC9E"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t>Leuven, Belgium</w:t>
            </w:r>
          </w:p>
        </w:tc>
        <w:tc>
          <w:tcPr>
            <w:tcW w:w="3402" w:type="dxa"/>
          </w:tcPr>
          <w:p w14:paraId="4416BF62" w14:textId="77777777" w:rsidR="00B40521" w:rsidRPr="00147070" w:rsidRDefault="00B40521" w:rsidP="00891521">
            <w:pPr>
              <w:rPr>
                <w:rFonts w:ascii="Times New Roman" w:hAnsi="Times New Roman" w:cs="Times New Roman"/>
              </w:rPr>
            </w:pPr>
          </w:p>
        </w:tc>
      </w:tr>
      <w:tr w:rsidR="00B40521" w:rsidRPr="00E6169D" w14:paraId="2B4553CA" w14:textId="77777777" w:rsidTr="00285903">
        <w:tc>
          <w:tcPr>
            <w:tcW w:w="3227" w:type="dxa"/>
          </w:tcPr>
          <w:p w14:paraId="4A53D3BE"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t>International Seminar on the Role of NQFs and QA in Recognition</w:t>
            </w:r>
          </w:p>
        </w:tc>
        <w:tc>
          <w:tcPr>
            <w:tcW w:w="1417" w:type="dxa"/>
          </w:tcPr>
          <w:p w14:paraId="0CEEFE10" w14:textId="77777777" w:rsidR="00B40521" w:rsidRPr="00147070" w:rsidRDefault="00B40521" w:rsidP="00891521">
            <w:pPr>
              <w:rPr>
                <w:rFonts w:ascii="Times New Roman" w:hAnsi="Times New Roman" w:cs="Times New Roman"/>
                <w:color w:val="000000" w:themeColor="text1"/>
                <w:lang w:val="en-GB"/>
              </w:rPr>
            </w:pPr>
            <w:r w:rsidRPr="00147070">
              <w:rPr>
                <w:rFonts w:ascii="Times New Roman" w:hAnsi="Times New Roman" w:cs="Times New Roman"/>
                <w:color w:val="000000" w:themeColor="text1"/>
                <w:lang w:val="en-GB"/>
              </w:rPr>
              <w:t>11.12.2013</w:t>
            </w:r>
          </w:p>
        </w:tc>
        <w:tc>
          <w:tcPr>
            <w:tcW w:w="2127" w:type="dxa"/>
          </w:tcPr>
          <w:p w14:paraId="47955DB7"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t>Trakošćan, Croatia</w:t>
            </w:r>
          </w:p>
        </w:tc>
        <w:tc>
          <w:tcPr>
            <w:tcW w:w="3402" w:type="dxa"/>
          </w:tcPr>
          <w:p w14:paraId="48390E45" w14:textId="77777777" w:rsidR="00B40521" w:rsidRPr="00147070" w:rsidRDefault="00B40521" w:rsidP="00891521">
            <w:pPr>
              <w:rPr>
                <w:rFonts w:ascii="Times New Roman" w:hAnsi="Times New Roman" w:cs="Times New Roman"/>
              </w:rPr>
            </w:pPr>
            <w:r w:rsidRPr="00147070">
              <w:rPr>
                <w:rFonts w:ascii="Times New Roman" w:hAnsi="Times New Roman" w:cs="Times New Roman"/>
              </w:rPr>
              <w:t xml:space="preserve">Referring to some of the Bucharest Communiqué priorities and building on the conclusions from the QA Seminar held in July 2013 in </w:t>
            </w:r>
            <w:r>
              <w:rPr>
                <w:rFonts w:ascii="Times New Roman" w:hAnsi="Times New Roman" w:cs="Times New Roman"/>
              </w:rPr>
              <w:t>Biograd na Moru, Croatia, this s</w:t>
            </w:r>
            <w:r w:rsidRPr="00147070">
              <w:rPr>
                <w:rFonts w:ascii="Times New Roman" w:hAnsi="Times New Roman" w:cs="Times New Roman"/>
              </w:rPr>
              <w:t xml:space="preserve">eminar addressed two specific issues: ways of establishing an efficient framework for enabling the work of foreign EQAR-registered agencies; external quality assurance as a reference point for recognition, together </w:t>
            </w:r>
            <w:r w:rsidRPr="00147070">
              <w:rPr>
                <w:rFonts w:ascii="Times New Roman" w:hAnsi="Times New Roman" w:cs="Times New Roman"/>
              </w:rPr>
              <w:lastRenderedPageBreak/>
              <w:t>with national qualifications frameworks referenced to the EQF and QF-EHEA.</w:t>
            </w:r>
          </w:p>
          <w:p w14:paraId="4FE55045" w14:textId="77777777" w:rsidR="00B40521" w:rsidRPr="00147070" w:rsidRDefault="00B40521" w:rsidP="00891521">
            <w:pPr>
              <w:rPr>
                <w:rFonts w:ascii="Times New Roman" w:hAnsi="Times New Roman" w:cs="Times New Roman"/>
              </w:rPr>
            </w:pPr>
            <w:r w:rsidRPr="00147070">
              <w:rPr>
                <w:rFonts w:ascii="Times New Roman" w:hAnsi="Times New Roman" w:cs="Times New Roman"/>
              </w:rPr>
              <w:t>See more at: http://www.ehea.info/event-details.aspx?evId=507</w:t>
            </w:r>
          </w:p>
        </w:tc>
      </w:tr>
      <w:tr w:rsidR="00B40521" w:rsidRPr="00147070" w14:paraId="127D4836" w14:textId="77777777" w:rsidTr="00285903">
        <w:tc>
          <w:tcPr>
            <w:tcW w:w="3227" w:type="dxa"/>
          </w:tcPr>
          <w:p w14:paraId="1DAC355E"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lastRenderedPageBreak/>
              <w:t>Exchanging Practices on RPL - Learning from Nordic-Baltic Experiences</w:t>
            </w:r>
          </w:p>
        </w:tc>
        <w:tc>
          <w:tcPr>
            <w:tcW w:w="1417" w:type="dxa"/>
          </w:tcPr>
          <w:p w14:paraId="72880779" w14:textId="77777777" w:rsidR="00B40521" w:rsidRPr="00147070" w:rsidRDefault="00B40521" w:rsidP="00891521">
            <w:pPr>
              <w:rPr>
                <w:rFonts w:ascii="Times New Roman" w:hAnsi="Times New Roman" w:cs="Times New Roman"/>
                <w:color w:val="000000" w:themeColor="text1"/>
                <w:lang w:val="en-GB"/>
              </w:rPr>
            </w:pPr>
            <w:r w:rsidRPr="00147070">
              <w:rPr>
                <w:rFonts w:ascii="Times New Roman" w:hAnsi="Times New Roman" w:cs="Times New Roman"/>
                <w:color w:val="000000" w:themeColor="text1"/>
                <w:lang w:val="en-GB"/>
              </w:rPr>
              <w:t>16.12.2013-17.12.2013</w:t>
            </w:r>
          </w:p>
        </w:tc>
        <w:tc>
          <w:tcPr>
            <w:tcW w:w="2127" w:type="dxa"/>
          </w:tcPr>
          <w:p w14:paraId="6793B33A" w14:textId="77777777" w:rsidR="00B40521" w:rsidRPr="00147070" w:rsidRDefault="00B40521" w:rsidP="00891521">
            <w:pPr>
              <w:rPr>
                <w:rFonts w:ascii="Times New Roman" w:hAnsi="Times New Roman" w:cs="Times New Roman"/>
                <w:color w:val="010D2D"/>
              </w:rPr>
            </w:pPr>
            <w:r w:rsidRPr="00147070">
              <w:rPr>
                <w:rFonts w:ascii="Times New Roman" w:hAnsi="Times New Roman" w:cs="Times New Roman"/>
                <w:color w:val="010D2D"/>
              </w:rPr>
              <w:t>Tallinn, Estonia</w:t>
            </w:r>
          </w:p>
        </w:tc>
        <w:tc>
          <w:tcPr>
            <w:tcW w:w="3402" w:type="dxa"/>
          </w:tcPr>
          <w:p w14:paraId="284FA518" w14:textId="77777777" w:rsidR="00B40521" w:rsidRPr="00147070" w:rsidRDefault="00B40521" w:rsidP="00891521">
            <w:pPr>
              <w:rPr>
                <w:rFonts w:ascii="Times New Roman" w:hAnsi="Times New Roman" w:cs="Times New Roman"/>
              </w:rPr>
            </w:pPr>
            <w:r w:rsidRPr="00147070">
              <w:rPr>
                <w:rFonts w:ascii="Times New Roman" w:hAnsi="Times New Roman" w:cs="Times New Roman"/>
              </w:rPr>
              <w:t xml:space="preserve">The seminar brought together RPL experts from around Europe to discuss the RPL developments in Nordic-Baltic region and offers insights into different RPL experiences the countries </w:t>
            </w:r>
            <w:r>
              <w:rPr>
                <w:rFonts w:ascii="Times New Roman" w:hAnsi="Times New Roman" w:cs="Times New Roman"/>
              </w:rPr>
              <w:t>in the region have experienced.</w:t>
            </w:r>
          </w:p>
        </w:tc>
      </w:tr>
      <w:tr w:rsidR="00B40521" w:rsidRPr="00147070" w14:paraId="50F2BF8A" w14:textId="77777777" w:rsidTr="00285903">
        <w:tc>
          <w:tcPr>
            <w:tcW w:w="3227" w:type="dxa"/>
          </w:tcPr>
          <w:p w14:paraId="6B4805D3" w14:textId="77777777" w:rsidR="00B40521" w:rsidRPr="000677F9" w:rsidRDefault="00B40521" w:rsidP="00891521">
            <w:pPr>
              <w:rPr>
                <w:rFonts w:ascii="Times New Roman" w:hAnsi="Times New Roman" w:cs="Times New Roman"/>
                <w:color w:val="010D2D"/>
              </w:rPr>
            </w:pPr>
            <w:r w:rsidRPr="000677F9">
              <w:rPr>
                <w:rFonts w:ascii="Times New Roman" w:hAnsi="Times New Roman" w:cs="Times New Roman"/>
                <w:color w:val="010D2D"/>
              </w:rPr>
              <w:t>International Conference on Bologna Structural Reforms: History, Problems and Perspectives</w:t>
            </w:r>
          </w:p>
        </w:tc>
        <w:tc>
          <w:tcPr>
            <w:tcW w:w="1417" w:type="dxa"/>
          </w:tcPr>
          <w:p w14:paraId="4514510F" w14:textId="77777777" w:rsidR="00B40521" w:rsidRPr="000677F9" w:rsidRDefault="00B40521" w:rsidP="00891521">
            <w:pPr>
              <w:rPr>
                <w:rFonts w:ascii="Times New Roman" w:hAnsi="Times New Roman" w:cs="Times New Roman"/>
                <w:color w:val="000000" w:themeColor="text1"/>
                <w:lang w:val="en-GB"/>
              </w:rPr>
            </w:pPr>
            <w:r w:rsidRPr="000677F9">
              <w:rPr>
                <w:rFonts w:ascii="Times New Roman" w:hAnsi="Times New Roman" w:cs="Times New Roman"/>
                <w:color w:val="000000" w:themeColor="text1"/>
                <w:lang w:val="en-GB"/>
              </w:rPr>
              <w:t>13.02.2014-14.02.2014</w:t>
            </w:r>
          </w:p>
        </w:tc>
        <w:tc>
          <w:tcPr>
            <w:tcW w:w="2127" w:type="dxa"/>
          </w:tcPr>
          <w:p w14:paraId="37768B62" w14:textId="77777777" w:rsidR="00B40521" w:rsidRPr="000677F9" w:rsidRDefault="00B40521" w:rsidP="00891521">
            <w:pPr>
              <w:rPr>
                <w:rFonts w:ascii="Times New Roman" w:hAnsi="Times New Roman" w:cs="Times New Roman"/>
                <w:color w:val="010D2D"/>
              </w:rPr>
            </w:pPr>
            <w:r w:rsidRPr="000677F9">
              <w:rPr>
                <w:rFonts w:ascii="Times New Roman" w:hAnsi="Times New Roman" w:cs="Times New Roman"/>
                <w:color w:val="010D2D"/>
              </w:rPr>
              <w:t>Astana, Kazakhstan</w:t>
            </w:r>
          </w:p>
        </w:tc>
        <w:tc>
          <w:tcPr>
            <w:tcW w:w="3402" w:type="dxa"/>
          </w:tcPr>
          <w:p w14:paraId="59CE0DC2" w14:textId="77777777" w:rsidR="00B40521" w:rsidRPr="000677F9" w:rsidRDefault="00B40521" w:rsidP="00891521">
            <w:pPr>
              <w:rPr>
                <w:rFonts w:ascii="Times New Roman" w:hAnsi="Times New Roman" w:cs="Times New Roman"/>
              </w:rPr>
            </w:pPr>
          </w:p>
        </w:tc>
      </w:tr>
      <w:tr w:rsidR="00B40521" w:rsidRPr="00147070" w14:paraId="1FCA2724" w14:textId="77777777" w:rsidTr="00285903">
        <w:tc>
          <w:tcPr>
            <w:tcW w:w="3227" w:type="dxa"/>
          </w:tcPr>
          <w:p w14:paraId="0BAAF8D6" w14:textId="77777777" w:rsidR="00B40521" w:rsidRPr="000677F9" w:rsidRDefault="00B40521" w:rsidP="00891521">
            <w:pPr>
              <w:rPr>
                <w:rFonts w:ascii="Times New Roman" w:hAnsi="Times New Roman" w:cs="Times New Roman"/>
                <w:color w:val="010D2D"/>
              </w:rPr>
            </w:pPr>
            <w:r w:rsidRPr="000677F9">
              <w:rPr>
                <w:rFonts w:ascii="Times New Roman" w:hAnsi="Times New Roman" w:cs="Times New Roman"/>
                <w:color w:val="010D2D"/>
              </w:rPr>
              <w:t>Romania’s commitments in the EHEA and their implementation at national level</w:t>
            </w:r>
          </w:p>
        </w:tc>
        <w:tc>
          <w:tcPr>
            <w:tcW w:w="1417" w:type="dxa"/>
          </w:tcPr>
          <w:p w14:paraId="3918EC34" w14:textId="77777777" w:rsidR="00B40521" w:rsidRPr="000677F9" w:rsidRDefault="00B40521" w:rsidP="00891521">
            <w:pPr>
              <w:rPr>
                <w:rFonts w:ascii="Times New Roman" w:hAnsi="Times New Roman" w:cs="Times New Roman"/>
                <w:color w:val="000000" w:themeColor="text1"/>
                <w:lang w:val="en-GB"/>
              </w:rPr>
            </w:pPr>
            <w:r w:rsidRPr="000677F9">
              <w:rPr>
                <w:rFonts w:ascii="Times New Roman" w:hAnsi="Times New Roman" w:cs="Times New Roman"/>
                <w:color w:val="000000" w:themeColor="text1"/>
                <w:lang w:val="en-GB"/>
              </w:rPr>
              <w:t>14.02.2014</w:t>
            </w:r>
          </w:p>
        </w:tc>
        <w:tc>
          <w:tcPr>
            <w:tcW w:w="2127" w:type="dxa"/>
          </w:tcPr>
          <w:p w14:paraId="0C2A6527" w14:textId="77777777" w:rsidR="00B40521" w:rsidRPr="000677F9" w:rsidRDefault="00B40521" w:rsidP="00891521">
            <w:pPr>
              <w:rPr>
                <w:rFonts w:ascii="Times New Roman" w:hAnsi="Times New Roman" w:cs="Times New Roman"/>
                <w:color w:val="010D2D"/>
              </w:rPr>
            </w:pPr>
            <w:r w:rsidRPr="000677F9">
              <w:rPr>
                <w:rFonts w:ascii="Times New Roman" w:hAnsi="Times New Roman" w:cs="Times New Roman"/>
                <w:color w:val="010D2D"/>
              </w:rPr>
              <w:t>Bucharest, Romania</w:t>
            </w:r>
          </w:p>
        </w:tc>
        <w:tc>
          <w:tcPr>
            <w:tcW w:w="3402" w:type="dxa"/>
          </w:tcPr>
          <w:p w14:paraId="51774FF9" w14:textId="77777777" w:rsidR="00B40521" w:rsidRPr="000677F9" w:rsidRDefault="00B40521" w:rsidP="00891521">
            <w:pPr>
              <w:rPr>
                <w:rFonts w:ascii="Times New Roman" w:hAnsi="Times New Roman" w:cs="Times New Roman"/>
              </w:rPr>
            </w:pPr>
            <w:r w:rsidRPr="000677F9">
              <w:rPr>
                <w:rFonts w:ascii="Times New Roman" w:hAnsi="Times New Roman" w:cs="Times New Roman"/>
              </w:rPr>
              <w:t>The event was aimed to raise awareness and debates on the conclusions and recommendations of the “</w:t>
            </w:r>
            <w:r w:rsidRPr="000677F9">
              <w:rPr>
                <w:rFonts w:ascii="Times New Roman" w:hAnsi="Times New Roman" w:cs="Times New Roman"/>
                <w:bCs/>
              </w:rPr>
              <w:t>Romania’s commitments in the EHEA and their implementation at national level</w:t>
            </w:r>
            <w:r w:rsidRPr="000677F9">
              <w:rPr>
                <w:rFonts w:ascii="Times New Roman" w:hAnsi="Times New Roman" w:cs="Times New Roman"/>
              </w:rPr>
              <w:t>” study developed within the project.</w:t>
            </w:r>
          </w:p>
          <w:p w14:paraId="6943F63F" w14:textId="77777777" w:rsidR="00B40521" w:rsidRPr="000677F9" w:rsidRDefault="00B40521" w:rsidP="00891521">
            <w:pPr>
              <w:rPr>
                <w:rFonts w:ascii="Times New Roman" w:hAnsi="Times New Roman" w:cs="Times New Roman"/>
              </w:rPr>
            </w:pPr>
            <w:r w:rsidRPr="000677F9">
              <w:rPr>
                <w:rFonts w:ascii="Times New Roman" w:hAnsi="Times New Roman" w:cs="Times New Roman"/>
              </w:rPr>
              <w:t>See more at:</w:t>
            </w:r>
          </w:p>
          <w:p w14:paraId="6F4AB337" w14:textId="77777777" w:rsidR="00B40521" w:rsidRPr="000677F9" w:rsidRDefault="00B40521" w:rsidP="00891521">
            <w:pPr>
              <w:rPr>
                <w:rFonts w:ascii="Times New Roman" w:hAnsi="Times New Roman" w:cs="Times New Roman"/>
                <w:i/>
                <w:color w:val="1F497D" w:themeColor="text2"/>
              </w:rPr>
            </w:pPr>
            <w:r w:rsidRPr="000677F9">
              <w:rPr>
                <w:rFonts w:ascii="Times New Roman" w:hAnsi="Times New Roman" w:cs="Times New Roman"/>
                <w:i/>
                <w:color w:val="1F497D" w:themeColor="text2"/>
              </w:rPr>
              <w:t>http://www.ehea.info/event-details.aspx?evId=528</w:t>
            </w:r>
          </w:p>
        </w:tc>
      </w:tr>
      <w:tr w:rsidR="00B40521" w:rsidRPr="00147070" w14:paraId="707446A4" w14:textId="77777777" w:rsidTr="00285903">
        <w:tc>
          <w:tcPr>
            <w:tcW w:w="3227" w:type="dxa"/>
          </w:tcPr>
          <w:p w14:paraId="294C41C2"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Breakfast briefing: Proposal for the revised ESG</w:t>
            </w:r>
          </w:p>
        </w:tc>
        <w:tc>
          <w:tcPr>
            <w:tcW w:w="1417" w:type="dxa"/>
          </w:tcPr>
          <w:p w14:paraId="6D83735C" w14:textId="77777777" w:rsidR="00B40521" w:rsidRPr="00D427EB" w:rsidRDefault="00B40521" w:rsidP="00891521">
            <w:pPr>
              <w:rPr>
                <w:rFonts w:ascii="Times New Roman" w:hAnsi="Times New Roman" w:cs="Times New Roman"/>
                <w:color w:val="000000" w:themeColor="text1"/>
                <w:lang w:val="en-GB"/>
              </w:rPr>
            </w:pPr>
            <w:r w:rsidRPr="00D427EB">
              <w:rPr>
                <w:rFonts w:ascii="Times New Roman" w:hAnsi="Times New Roman" w:cs="Times New Roman"/>
                <w:color w:val="000000" w:themeColor="text1"/>
                <w:lang w:val="en-GB"/>
              </w:rPr>
              <w:t>18.03.2014</w:t>
            </w:r>
          </w:p>
        </w:tc>
        <w:tc>
          <w:tcPr>
            <w:tcW w:w="2127" w:type="dxa"/>
          </w:tcPr>
          <w:p w14:paraId="66ED7FFD"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Brussels, Belgium</w:t>
            </w:r>
          </w:p>
        </w:tc>
        <w:tc>
          <w:tcPr>
            <w:tcW w:w="3402" w:type="dxa"/>
          </w:tcPr>
          <w:p w14:paraId="4053F895" w14:textId="77777777" w:rsidR="00B40521" w:rsidRPr="00D427EB" w:rsidRDefault="00B40521" w:rsidP="00891521">
            <w:pPr>
              <w:rPr>
                <w:rFonts w:ascii="Times New Roman" w:hAnsi="Times New Roman" w:cs="Times New Roman"/>
              </w:rPr>
            </w:pPr>
            <w:r w:rsidRPr="00D427EB">
              <w:rPr>
                <w:rFonts w:ascii="Times New Roman" w:hAnsi="Times New Roman" w:cs="Times New Roman"/>
              </w:rPr>
              <w:t>The Steering Group for the </w:t>
            </w:r>
            <w:r w:rsidRPr="00D427EB">
              <w:rPr>
                <w:rFonts w:ascii="Times New Roman" w:hAnsi="Times New Roman" w:cs="Times New Roman"/>
                <w:bCs/>
              </w:rPr>
              <w:t>Revision of the Standards and Guidelines for Quality Assurance in the European Higher</w:t>
            </w:r>
            <w:r w:rsidRPr="00D427EB">
              <w:rPr>
                <w:rFonts w:ascii="Times New Roman" w:hAnsi="Times New Roman" w:cs="Times New Roman"/>
                <w:b/>
                <w:bCs/>
              </w:rPr>
              <w:t xml:space="preserve"> </w:t>
            </w:r>
            <w:r w:rsidRPr="001158A5">
              <w:rPr>
                <w:rFonts w:ascii="Times New Roman" w:hAnsi="Times New Roman" w:cs="Times New Roman"/>
                <w:bCs/>
              </w:rPr>
              <w:t>Education Area</w:t>
            </w:r>
            <w:r w:rsidRPr="00D427EB">
              <w:rPr>
                <w:rFonts w:ascii="Times New Roman" w:hAnsi="Times New Roman" w:cs="Times New Roman"/>
              </w:rPr>
              <w:t> (ESG) presented the proposal for the revised ESG during a breakfast briefing.</w:t>
            </w:r>
          </w:p>
        </w:tc>
      </w:tr>
      <w:tr w:rsidR="00B40521" w:rsidRPr="00147070" w14:paraId="71D785F5" w14:textId="77777777" w:rsidTr="00285903">
        <w:tc>
          <w:tcPr>
            <w:tcW w:w="3227" w:type="dxa"/>
          </w:tcPr>
          <w:p w14:paraId="37C6EB9A"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European QA agencies’ ways to comply with the ESG in an international perspective - Shaping the future together</w:t>
            </w:r>
          </w:p>
        </w:tc>
        <w:tc>
          <w:tcPr>
            <w:tcW w:w="1417" w:type="dxa"/>
          </w:tcPr>
          <w:p w14:paraId="65494DAE" w14:textId="77777777" w:rsidR="00B40521" w:rsidRPr="00D427EB" w:rsidRDefault="00B40521" w:rsidP="00891521">
            <w:pPr>
              <w:rPr>
                <w:rFonts w:ascii="Times New Roman" w:hAnsi="Times New Roman" w:cs="Times New Roman"/>
                <w:lang w:val="en-GB"/>
              </w:rPr>
            </w:pPr>
            <w:r w:rsidRPr="00D427EB">
              <w:rPr>
                <w:rFonts w:ascii="Times New Roman" w:hAnsi="Times New Roman" w:cs="Times New Roman"/>
                <w:lang w:val="en-GB"/>
              </w:rPr>
              <w:t>02.06.2014-03.06.2014</w:t>
            </w:r>
          </w:p>
        </w:tc>
        <w:tc>
          <w:tcPr>
            <w:tcW w:w="2127" w:type="dxa"/>
          </w:tcPr>
          <w:p w14:paraId="48360B24"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Brussels, Belgium</w:t>
            </w:r>
          </w:p>
        </w:tc>
        <w:tc>
          <w:tcPr>
            <w:tcW w:w="3402" w:type="dxa"/>
          </w:tcPr>
          <w:p w14:paraId="5C563260" w14:textId="77777777" w:rsidR="00B40521" w:rsidRPr="00D427EB" w:rsidRDefault="00B40521" w:rsidP="00891521">
            <w:pPr>
              <w:rPr>
                <w:rFonts w:ascii="Times New Roman" w:hAnsi="Times New Roman" w:cs="Times New Roman"/>
              </w:rPr>
            </w:pPr>
            <w:r w:rsidRPr="00D427EB">
              <w:rPr>
                <w:rFonts w:ascii="Times New Roman" w:hAnsi="Times New Roman" w:cs="Times New Roman"/>
              </w:rPr>
              <w:t>The Seminar provided information on the revision process of the ESG and its current status, explored the themes of resources, independence and system-wide analysis, as well as the links between national priorities and the European level needs. </w:t>
            </w:r>
          </w:p>
        </w:tc>
      </w:tr>
      <w:tr w:rsidR="00B40521" w:rsidRPr="00147070" w14:paraId="18BC26A8" w14:textId="77777777" w:rsidTr="00285903">
        <w:tc>
          <w:tcPr>
            <w:tcW w:w="3227" w:type="dxa"/>
          </w:tcPr>
          <w:p w14:paraId="743AF638"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lastRenderedPageBreak/>
              <w:t>Conference on the new ranking system of Universities U-Multirank</w:t>
            </w:r>
          </w:p>
        </w:tc>
        <w:tc>
          <w:tcPr>
            <w:tcW w:w="1417" w:type="dxa"/>
          </w:tcPr>
          <w:p w14:paraId="1504CA0B" w14:textId="77777777" w:rsidR="00B40521" w:rsidRPr="00D427EB" w:rsidRDefault="00B40521" w:rsidP="00891521">
            <w:pPr>
              <w:rPr>
                <w:rFonts w:ascii="Times New Roman" w:hAnsi="Times New Roman" w:cs="Times New Roman"/>
                <w:lang w:val="en-GB"/>
              </w:rPr>
            </w:pPr>
            <w:r w:rsidRPr="00D427EB">
              <w:rPr>
                <w:rFonts w:ascii="Times New Roman" w:hAnsi="Times New Roman" w:cs="Times New Roman"/>
                <w:lang w:val="en-GB"/>
              </w:rPr>
              <w:t>10.06.2014-11.06.2014</w:t>
            </w:r>
          </w:p>
        </w:tc>
        <w:tc>
          <w:tcPr>
            <w:tcW w:w="2127" w:type="dxa"/>
          </w:tcPr>
          <w:p w14:paraId="73C7B9AC"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Athens, Greece</w:t>
            </w:r>
          </w:p>
        </w:tc>
        <w:tc>
          <w:tcPr>
            <w:tcW w:w="3402" w:type="dxa"/>
          </w:tcPr>
          <w:p w14:paraId="502AE5BB" w14:textId="77777777" w:rsidR="00B40521" w:rsidRPr="00D427EB" w:rsidRDefault="00B40521" w:rsidP="00891521">
            <w:pPr>
              <w:rPr>
                <w:rFonts w:ascii="Times New Roman" w:hAnsi="Times New Roman" w:cs="Times New Roman"/>
              </w:rPr>
            </w:pPr>
          </w:p>
        </w:tc>
      </w:tr>
      <w:tr w:rsidR="00B40521" w:rsidRPr="00147070" w14:paraId="210134FE" w14:textId="77777777" w:rsidTr="00285903">
        <w:tc>
          <w:tcPr>
            <w:tcW w:w="3227" w:type="dxa"/>
          </w:tcPr>
          <w:p w14:paraId="0523A7D8"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Conference towards a European Area of Skills and Qualifications</w:t>
            </w:r>
          </w:p>
        </w:tc>
        <w:tc>
          <w:tcPr>
            <w:tcW w:w="1417" w:type="dxa"/>
          </w:tcPr>
          <w:p w14:paraId="43EAAE69" w14:textId="77777777" w:rsidR="00B40521" w:rsidRPr="00D427EB" w:rsidRDefault="00B40521" w:rsidP="00891521">
            <w:pPr>
              <w:rPr>
                <w:rFonts w:ascii="Times New Roman" w:hAnsi="Times New Roman" w:cs="Times New Roman"/>
                <w:lang w:val="en-GB"/>
              </w:rPr>
            </w:pPr>
            <w:r w:rsidRPr="00D427EB">
              <w:rPr>
                <w:rFonts w:ascii="Times New Roman" w:hAnsi="Times New Roman" w:cs="Times New Roman"/>
                <w:lang w:val="en-GB"/>
              </w:rPr>
              <w:t>17.06.2014</w:t>
            </w:r>
          </w:p>
        </w:tc>
        <w:tc>
          <w:tcPr>
            <w:tcW w:w="2127" w:type="dxa"/>
          </w:tcPr>
          <w:p w14:paraId="1D31BAAD" w14:textId="77777777" w:rsidR="00B40521" w:rsidRPr="00D427EB" w:rsidRDefault="00B40521" w:rsidP="00891521">
            <w:pPr>
              <w:rPr>
                <w:rFonts w:ascii="Times New Roman" w:hAnsi="Times New Roman" w:cs="Times New Roman"/>
                <w:color w:val="010D2D"/>
              </w:rPr>
            </w:pPr>
            <w:r w:rsidRPr="00D427EB">
              <w:rPr>
                <w:rFonts w:ascii="Times New Roman" w:hAnsi="Times New Roman" w:cs="Times New Roman"/>
                <w:color w:val="010D2D"/>
              </w:rPr>
              <w:t>Brussels, Belgium</w:t>
            </w:r>
          </w:p>
        </w:tc>
        <w:tc>
          <w:tcPr>
            <w:tcW w:w="3402" w:type="dxa"/>
          </w:tcPr>
          <w:p w14:paraId="17D35219" w14:textId="77777777" w:rsidR="00B40521" w:rsidRPr="00D427EB" w:rsidRDefault="00B40521" w:rsidP="00891521">
            <w:pPr>
              <w:rPr>
                <w:rFonts w:ascii="Times New Roman" w:hAnsi="Times New Roman" w:cs="Times New Roman"/>
              </w:rPr>
            </w:pPr>
            <w:r w:rsidRPr="00D427EB">
              <w:rPr>
                <w:rFonts w:ascii="Times New Roman" w:hAnsi="Times New Roman" w:cs="Times New Roman"/>
              </w:rPr>
              <w:t> The conference presen</w:t>
            </w:r>
            <w:r>
              <w:rPr>
                <w:rFonts w:ascii="Times New Roman" w:hAnsi="Times New Roman" w:cs="Times New Roman"/>
              </w:rPr>
              <w:t>t</w:t>
            </w:r>
            <w:r w:rsidRPr="00D427EB">
              <w:rPr>
                <w:rFonts w:ascii="Times New Roman" w:hAnsi="Times New Roman" w:cs="Times New Roman"/>
              </w:rPr>
              <w:t>ed the results of the public consultation and the Eurobarometer survey on a European Area of Skills and Qualifications.</w:t>
            </w:r>
          </w:p>
        </w:tc>
      </w:tr>
      <w:tr w:rsidR="00B40521" w:rsidRPr="00147070" w14:paraId="020B0CE8" w14:textId="77777777" w:rsidTr="00285903">
        <w:trPr>
          <w:trHeight w:val="2558"/>
        </w:trPr>
        <w:tc>
          <w:tcPr>
            <w:tcW w:w="3227" w:type="dxa"/>
          </w:tcPr>
          <w:p w14:paraId="465AB8AF" w14:textId="77777777" w:rsidR="00B40521" w:rsidRPr="00E74D18" w:rsidRDefault="00B40521" w:rsidP="00891521">
            <w:pPr>
              <w:rPr>
                <w:rFonts w:ascii="Times New Roman" w:hAnsi="Times New Roman" w:cs="Times New Roman"/>
                <w:color w:val="010D2D"/>
                <w:lang w:val="fr-FR"/>
              </w:rPr>
            </w:pPr>
            <w:r w:rsidRPr="00E74D18">
              <w:rPr>
                <w:rFonts w:ascii="Times New Roman" w:hAnsi="Times New Roman" w:cs="Times New Roman"/>
                <w:color w:val="010D2D"/>
                <w:lang w:val="fr-FR"/>
              </w:rPr>
              <w:t>RIQAA Dissemination Conference/EQAR Members' Dialogue</w:t>
            </w:r>
          </w:p>
        </w:tc>
        <w:tc>
          <w:tcPr>
            <w:tcW w:w="1417" w:type="dxa"/>
          </w:tcPr>
          <w:p w14:paraId="216BE532" w14:textId="77777777" w:rsidR="00B40521" w:rsidRPr="005C28D2" w:rsidRDefault="00B40521" w:rsidP="00891521">
            <w:pPr>
              <w:rPr>
                <w:rFonts w:ascii="Times New Roman" w:hAnsi="Times New Roman" w:cs="Times New Roman"/>
                <w:lang w:val="en-GB"/>
              </w:rPr>
            </w:pPr>
            <w:r w:rsidRPr="005C28D2">
              <w:rPr>
                <w:rFonts w:ascii="Times New Roman" w:hAnsi="Times New Roman" w:cs="Times New Roman"/>
                <w:lang w:val="en-GB"/>
              </w:rPr>
              <w:t>21.10.2014-22.10.2014</w:t>
            </w:r>
          </w:p>
        </w:tc>
        <w:tc>
          <w:tcPr>
            <w:tcW w:w="2127" w:type="dxa"/>
          </w:tcPr>
          <w:p w14:paraId="43447DEA" w14:textId="77777777" w:rsidR="00B40521" w:rsidRPr="005C28D2" w:rsidRDefault="00B40521" w:rsidP="00891521">
            <w:pPr>
              <w:rPr>
                <w:rFonts w:ascii="Times New Roman" w:hAnsi="Times New Roman" w:cs="Times New Roman"/>
                <w:color w:val="010D2D"/>
              </w:rPr>
            </w:pPr>
            <w:r w:rsidRPr="005C28D2">
              <w:rPr>
                <w:rFonts w:ascii="Times New Roman" w:hAnsi="Times New Roman" w:cs="Times New Roman"/>
                <w:color w:val="010D2D"/>
              </w:rPr>
              <w:t>Palermo, Italy</w:t>
            </w:r>
          </w:p>
        </w:tc>
        <w:tc>
          <w:tcPr>
            <w:tcW w:w="3402" w:type="dxa"/>
          </w:tcPr>
          <w:p w14:paraId="359F502D" w14:textId="77777777" w:rsidR="00B40521" w:rsidRDefault="00B40521" w:rsidP="00891521">
            <w:pPr>
              <w:pStyle w:val="NormalWeb"/>
              <w:spacing w:before="0" w:beforeAutospacing="0" w:after="0" w:afterAutospacing="0"/>
              <w:rPr>
                <w:rFonts w:ascii="Times New Roman" w:hAnsi="Times New Roman"/>
                <w:sz w:val="24"/>
                <w:szCs w:val="24"/>
              </w:rPr>
            </w:pPr>
            <w:r w:rsidRPr="005C28D2">
              <w:rPr>
                <w:rFonts w:ascii="Times New Roman" w:hAnsi="Times New Roman"/>
                <w:sz w:val="24"/>
                <w:szCs w:val="24"/>
              </w:rPr>
              <w:t>The RIQAA project's overarching aim is to enhance the level of trust and recognition of EQAR-registered agencies carrying out reviews across borders, in line with the EHEA Ministers' commitment.</w:t>
            </w:r>
          </w:p>
          <w:p w14:paraId="3BD3A3D7" w14:textId="77777777" w:rsidR="00B40521" w:rsidRDefault="00B40521" w:rsidP="00891521">
            <w:pPr>
              <w:pStyle w:val="NormalWeb"/>
              <w:spacing w:before="0" w:beforeAutospacing="0" w:after="0" w:afterAutospacing="0"/>
              <w:rPr>
                <w:rFonts w:ascii="Times New Roman" w:hAnsi="Times New Roman"/>
                <w:sz w:val="24"/>
                <w:szCs w:val="24"/>
              </w:rPr>
            </w:pPr>
            <w:r>
              <w:rPr>
                <w:rFonts w:ascii="Times New Roman" w:hAnsi="Times New Roman"/>
                <w:sz w:val="24"/>
                <w:szCs w:val="24"/>
              </w:rPr>
              <w:t>See more at:</w:t>
            </w:r>
          </w:p>
          <w:p w14:paraId="4141529C" w14:textId="77777777" w:rsidR="00B40521" w:rsidRPr="005C28D2" w:rsidRDefault="00B40521" w:rsidP="00891521">
            <w:pPr>
              <w:pStyle w:val="NormalWeb"/>
              <w:spacing w:before="0" w:beforeAutospacing="0" w:after="0" w:afterAutospacing="0"/>
              <w:rPr>
                <w:rFonts w:ascii="Times New Roman" w:hAnsi="Times New Roman"/>
                <w:sz w:val="24"/>
                <w:szCs w:val="24"/>
              </w:rPr>
            </w:pPr>
            <w:r w:rsidRPr="005C28D2">
              <w:rPr>
                <w:rFonts w:ascii="Times New Roman" w:hAnsi="Times New Roman"/>
                <w:i/>
                <w:color w:val="1F497D" w:themeColor="text2"/>
                <w:sz w:val="24"/>
                <w:szCs w:val="24"/>
              </w:rPr>
              <w:t>http://www.ehea.info/event-details.aspx?evId=556</w:t>
            </w:r>
          </w:p>
        </w:tc>
      </w:tr>
      <w:tr w:rsidR="00B40521" w:rsidRPr="00147070" w14:paraId="1817983D" w14:textId="77777777" w:rsidTr="00285903">
        <w:trPr>
          <w:trHeight w:val="552"/>
        </w:trPr>
        <w:tc>
          <w:tcPr>
            <w:tcW w:w="3227" w:type="dxa"/>
          </w:tcPr>
          <w:p w14:paraId="7CFAD8C6" w14:textId="77777777" w:rsidR="00B40521" w:rsidRPr="001158A5" w:rsidRDefault="00B40521" w:rsidP="00891521">
            <w:pPr>
              <w:rPr>
                <w:rFonts w:ascii="Times New Roman" w:hAnsi="Times New Roman" w:cs="Times New Roman"/>
                <w:color w:val="010D2D"/>
              </w:rPr>
            </w:pPr>
            <w:r w:rsidRPr="00903618">
              <w:rPr>
                <w:rFonts w:ascii="Times New Roman" w:hAnsi="Times New Roman" w:cs="Times New Roman"/>
                <w:color w:val="010D2D"/>
              </w:rPr>
              <w:t>Regional Meeting of Ministers of Education on the Implementation of the EHEA</w:t>
            </w:r>
          </w:p>
        </w:tc>
        <w:tc>
          <w:tcPr>
            <w:tcW w:w="1417" w:type="dxa"/>
          </w:tcPr>
          <w:p w14:paraId="3E5B227D" w14:textId="77777777" w:rsidR="00B40521" w:rsidRPr="001158A5" w:rsidRDefault="00B40521" w:rsidP="00891521">
            <w:pPr>
              <w:rPr>
                <w:rFonts w:ascii="Times New Roman" w:hAnsi="Times New Roman" w:cs="Times New Roman"/>
                <w:lang w:val="en-GB"/>
              </w:rPr>
            </w:pPr>
            <w:r>
              <w:rPr>
                <w:rFonts w:ascii="Times New Roman" w:hAnsi="Times New Roman" w:cs="Times New Roman"/>
                <w:lang w:val="en-GB"/>
              </w:rPr>
              <w:t>22.10.2014-23.10.2014</w:t>
            </w:r>
          </w:p>
        </w:tc>
        <w:tc>
          <w:tcPr>
            <w:tcW w:w="2127" w:type="dxa"/>
          </w:tcPr>
          <w:p w14:paraId="4946D7DF" w14:textId="77777777" w:rsidR="00B40521" w:rsidRPr="001158A5" w:rsidRDefault="00B40521" w:rsidP="00891521">
            <w:pPr>
              <w:rPr>
                <w:rFonts w:ascii="Times New Roman" w:hAnsi="Times New Roman" w:cs="Times New Roman"/>
                <w:color w:val="010D2D"/>
              </w:rPr>
            </w:pPr>
            <w:r w:rsidRPr="001158A5">
              <w:rPr>
                <w:rFonts w:ascii="Times New Roman" w:hAnsi="Times New Roman" w:cs="Times New Roman"/>
                <w:color w:val="010D2D"/>
              </w:rPr>
              <w:t>Baku, Azerbaijan</w:t>
            </w:r>
          </w:p>
        </w:tc>
        <w:tc>
          <w:tcPr>
            <w:tcW w:w="3402" w:type="dxa"/>
          </w:tcPr>
          <w:p w14:paraId="3DD46446" w14:textId="77777777" w:rsidR="00B40521" w:rsidRPr="001158A5" w:rsidRDefault="00B40521" w:rsidP="00891521">
            <w:pPr>
              <w:pStyle w:val="NormalWeb"/>
              <w:spacing w:before="0" w:beforeAutospacing="0" w:after="0" w:afterAutospacing="0"/>
              <w:rPr>
                <w:rFonts w:ascii="Times New Roman" w:hAnsi="Times New Roman" w:cs="Times New Roman"/>
                <w:sz w:val="24"/>
                <w:szCs w:val="24"/>
              </w:rPr>
            </w:pPr>
            <w:r w:rsidRPr="001158A5">
              <w:rPr>
                <w:rFonts w:ascii="Times New Roman" w:hAnsi="Times New Roman" w:cs="Times New Roman"/>
                <w:sz w:val="24"/>
                <w:szCs w:val="24"/>
              </w:rPr>
              <w:t xml:space="preserve">This </w:t>
            </w:r>
            <w:r>
              <w:rPr>
                <w:rFonts w:ascii="Times New Roman" w:hAnsi="Times New Roman" w:cs="Times New Roman"/>
                <w:sz w:val="24"/>
                <w:szCs w:val="24"/>
              </w:rPr>
              <w:t>will be</w:t>
            </w:r>
            <w:r w:rsidRPr="001158A5">
              <w:rPr>
                <w:rFonts w:ascii="Times New Roman" w:hAnsi="Times New Roman" w:cs="Times New Roman"/>
                <w:sz w:val="24"/>
                <w:szCs w:val="24"/>
              </w:rPr>
              <w:t xml:space="preserve"> the </w:t>
            </w:r>
            <w:r>
              <w:rPr>
                <w:rFonts w:ascii="Times New Roman" w:hAnsi="Times New Roman" w:cs="Times New Roman"/>
                <w:sz w:val="24"/>
                <w:szCs w:val="24"/>
              </w:rPr>
              <w:t>fourth</w:t>
            </w:r>
            <w:r w:rsidRPr="001158A5">
              <w:rPr>
                <w:rFonts w:ascii="Times New Roman" w:hAnsi="Times New Roman" w:cs="Times New Roman"/>
                <w:sz w:val="24"/>
                <w:szCs w:val="24"/>
              </w:rPr>
              <w:t xml:space="preserve"> regional conference of Ministers of Education, organized by </w:t>
            </w:r>
            <w:r>
              <w:rPr>
                <w:rFonts w:ascii="Times New Roman" w:hAnsi="Times New Roman" w:cs="Times New Roman"/>
                <w:sz w:val="24"/>
                <w:szCs w:val="24"/>
              </w:rPr>
              <w:t>Azerbaijan</w:t>
            </w:r>
            <w:r w:rsidRPr="001158A5">
              <w:rPr>
                <w:rFonts w:ascii="Times New Roman" w:hAnsi="Times New Roman" w:cs="Times New Roman"/>
                <w:sz w:val="24"/>
                <w:szCs w:val="24"/>
              </w:rPr>
              <w:t xml:space="preserve"> and the Council of Europe as part of </w:t>
            </w:r>
            <w:r>
              <w:rPr>
                <w:rFonts w:ascii="Times New Roman" w:hAnsi="Times New Roman" w:cs="Times New Roman"/>
                <w:sz w:val="24"/>
                <w:szCs w:val="24"/>
              </w:rPr>
              <w:t>Azerbaijan’s</w:t>
            </w:r>
            <w:r w:rsidRPr="001158A5">
              <w:rPr>
                <w:rFonts w:ascii="Times New Roman" w:hAnsi="Times New Roman" w:cs="Times New Roman"/>
                <w:sz w:val="24"/>
                <w:szCs w:val="24"/>
              </w:rPr>
              <w:t xml:space="preserve"> Chairmanship of the Committee of Minsters of the Council of Europe.</w:t>
            </w:r>
          </w:p>
        </w:tc>
      </w:tr>
      <w:tr w:rsidR="00B40521" w:rsidRPr="00147070" w14:paraId="25818D77" w14:textId="77777777" w:rsidTr="00285903">
        <w:trPr>
          <w:trHeight w:val="552"/>
        </w:trPr>
        <w:tc>
          <w:tcPr>
            <w:tcW w:w="3227" w:type="dxa"/>
          </w:tcPr>
          <w:p w14:paraId="5C382896" w14:textId="77777777" w:rsidR="00B40521" w:rsidRPr="00171D64" w:rsidRDefault="00B40521" w:rsidP="00891521">
            <w:pPr>
              <w:rPr>
                <w:rFonts w:ascii="Times New Roman" w:hAnsi="Times New Roman" w:cs="Times New Roman"/>
                <w:color w:val="010D2D"/>
              </w:rPr>
            </w:pPr>
            <w:r w:rsidRPr="00171D64">
              <w:rPr>
                <w:rFonts w:ascii="Times New Roman" w:hAnsi="Times New Roman" w:cs="Times New Roman"/>
                <w:color w:val="010D2D"/>
              </w:rPr>
              <w:t>Future of Higher Education - Bologna Process Researchers’ Conference (FOHE – BPRC), second edition</w:t>
            </w:r>
          </w:p>
        </w:tc>
        <w:tc>
          <w:tcPr>
            <w:tcW w:w="1417" w:type="dxa"/>
          </w:tcPr>
          <w:p w14:paraId="7179E6D2" w14:textId="77777777" w:rsidR="00B40521" w:rsidRPr="00171D64" w:rsidRDefault="00B40521" w:rsidP="00891521">
            <w:pPr>
              <w:rPr>
                <w:rFonts w:ascii="Times New Roman" w:hAnsi="Times New Roman" w:cs="Times New Roman"/>
                <w:lang w:val="en-GB"/>
              </w:rPr>
            </w:pPr>
            <w:r w:rsidRPr="00171D64">
              <w:rPr>
                <w:rFonts w:ascii="Times New Roman" w:hAnsi="Times New Roman" w:cs="Times New Roman"/>
                <w:lang w:val="en-GB"/>
              </w:rPr>
              <w:t>24.11.2014-26.11.2014</w:t>
            </w:r>
          </w:p>
        </w:tc>
        <w:tc>
          <w:tcPr>
            <w:tcW w:w="2127" w:type="dxa"/>
          </w:tcPr>
          <w:p w14:paraId="6C98E871" w14:textId="77777777" w:rsidR="00B40521" w:rsidRPr="00171D64" w:rsidRDefault="00B40521" w:rsidP="00891521">
            <w:pPr>
              <w:rPr>
                <w:rFonts w:ascii="Times New Roman" w:hAnsi="Times New Roman" w:cs="Times New Roman"/>
                <w:color w:val="010D2D"/>
              </w:rPr>
            </w:pPr>
            <w:r w:rsidRPr="00171D64">
              <w:rPr>
                <w:rFonts w:ascii="Times New Roman" w:hAnsi="Times New Roman" w:cs="Times New Roman"/>
                <w:color w:val="010D2D"/>
              </w:rPr>
              <w:t>Bucharest, Romania</w:t>
            </w:r>
          </w:p>
        </w:tc>
        <w:tc>
          <w:tcPr>
            <w:tcW w:w="3402" w:type="dxa"/>
          </w:tcPr>
          <w:p w14:paraId="411A3574" w14:textId="77777777" w:rsidR="00B40521" w:rsidRPr="00171D64" w:rsidRDefault="00B40521" w:rsidP="00891521">
            <w:pPr>
              <w:pStyle w:val="NormalWeb"/>
              <w:spacing w:before="0" w:beforeAutospacing="0" w:after="0" w:afterAutospacing="0"/>
              <w:rPr>
                <w:rFonts w:ascii="Times New Roman" w:hAnsi="Times New Roman"/>
                <w:sz w:val="24"/>
                <w:szCs w:val="24"/>
              </w:rPr>
            </w:pPr>
            <w:r w:rsidRPr="00171D64">
              <w:rPr>
                <w:rFonts w:ascii="Times New Roman" w:hAnsi="Times New Roman"/>
                <w:sz w:val="24"/>
                <w:szCs w:val="24"/>
              </w:rPr>
              <w:t xml:space="preserve">With the second edition of the Conference, the organizers wish to continue this initiative, turning it into a landmark for European and international higher education research and policy making. The focus of the conference will include both the progress on the consolidation of the EHEA towards the increasingly close 2020 political deadline, as well as the broader regional and international developments that shape national higher education and research policies. </w:t>
            </w:r>
          </w:p>
        </w:tc>
      </w:tr>
    </w:tbl>
    <w:p w14:paraId="761CDE67" w14:textId="77777777" w:rsidR="00B40521" w:rsidRDefault="00B40521" w:rsidP="00891521">
      <w:pPr>
        <w:rPr>
          <w:lang w:val="en-GB"/>
        </w:rPr>
      </w:pPr>
    </w:p>
    <w:p w14:paraId="4C8CFCE5" w14:textId="77777777" w:rsidR="00B40521" w:rsidRDefault="00B40521" w:rsidP="00891521">
      <w:pPr>
        <w:rPr>
          <w:lang w:val="en-GB"/>
        </w:rPr>
      </w:pPr>
    </w:p>
    <w:p w14:paraId="57CEB12F" w14:textId="77777777" w:rsidR="00B40521" w:rsidRDefault="00B40521" w:rsidP="00891521">
      <w:pPr>
        <w:rPr>
          <w:lang w:val="en-GB"/>
        </w:rPr>
      </w:pPr>
    </w:p>
    <w:p w14:paraId="2F7049AB" w14:textId="77777777" w:rsidR="0022105E" w:rsidRPr="00B40521" w:rsidRDefault="0022105E" w:rsidP="00891521">
      <w:pPr>
        <w:rPr>
          <w:lang w:val="en-GB"/>
        </w:rPr>
      </w:pPr>
    </w:p>
    <w:sectPr w:rsidR="0022105E" w:rsidRPr="00B40521">
      <w:headerReference w:type="default" r:id="rId28"/>
      <w:pgSz w:w="12240" w:h="15840"/>
      <w:pgMar w:top="1440" w:right="1440" w:bottom="1440" w:left="1440" w:header="708" w:footer="708"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ERGAN Sjur" w:date="2014-08-04T08:06:00Z" w:initials="BS">
    <w:p w14:paraId="2E015447" w14:textId="77777777" w:rsidR="004C7832" w:rsidRDefault="004C7832" w:rsidP="00080625">
      <w:pPr>
        <w:pStyle w:val="CommentText"/>
      </w:pPr>
      <w:r>
        <w:rPr>
          <w:rStyle w:val="CommentReference"/>
        </w:rPr>
        <w:annotationRef/>
      </w:r>
      <w:r>
        <w:t>We have chosen not to reproduce the full and very lengthy title of this point in the executive summary</w:t>
      </w:r>
    </w:p>
  </w:comment>
  <w:comment w:id="2" w:author="BERGAN Sjur" w:date="2014-07-17T07:53:00Z" w:initials="BS">
    <w:p w14:paraId="040AF57F" w14:textId="77777777" w:rsidR="004C7832" w:rsidRDefault="004C7832" w:rsidP="00080625">
      <w:pPr>
        <w:pStyle w:val="CommentText"/>
      </w:pPr>
      <w:r>
        <w:rPr>
          <w:rStyle w:val="CommentReference"/>
        </w:rPr>
        <w:annotationRef/>
      </w:r>
      <w:r>
        <w:t>To be adjusted according to the BFUG decision.</w:t>
      </w:r>
    </w:p>
  </w:comment>
  <w:comment w:id="3" w:author="iPad" w:date="2014-08-04T08:07:00Z" w:initials="">
    <w:p w14:paraId="3378CA7A" w14:textId="77777777" w:rsidR="004C7832" w:rsidRDefault="004C7832" w:rsidP="00080625">
      <w:pPr>
        <w:pStyle w:val="Default"/>
      </w:pPr>
    </w:p>
    <w:p w14:paraId="3BFC6CC8" w14:textId="77777777" w:rsidR="004C7832" w:rsidRPr="00374524" w:rsidRDefault="004C7832" w:rsidP="00080625">
      <w:pPr>
        <w:pStyle w:val="Default"/>
        <w:rPr>
          <w:rFonts w:ascii="Times New Roman" w:hAnsi="Times New Roman" w:cs="Times New Roman"/>
          <w:sz w:val="20"/>
          <w:szCs w:val="20"/>
        </w:rPr>
      </w:pPr>
      <w:r w:rsidRPr="00374524">
        <w:rPr>
          <w:rFonts w:ascii="Times New Roman" w:eastAsia="Arial Unicode MS" w:hAnsi="Times New Roman" w:cs="Times New Roman"/>
          <w:sz w:val="20"/>
          <w:szCs w:val="20"/>
        </w:rPr>
        <w:t>One SRWG member suggested deleting these references to make the report "snappier” and another suggested putting them in a footnote. The Co-Chairs, on the contrary, believe it is important to include references and direct links to the latest reports before the present one in the text.</w:t>
      </w:r>
    </w:p>
  </w:comment>
  <w:comment w:id="4" w:author="BERGAN Sjur" w:date="2014-08-04T08:08:00Z" w:initials="BS">
    <w:p w14:paraId="5DE612EA" w14:textId="77777777" w:rsidR="004C7832" w:rsidRDefault="004C7832" w:rsidP="00080625">
      <w:pPr>
        <w:pStyle w:val="CommentText"/>
      </w:pPr>
      <w:r>
        <w:rPr>
          <w:rStyle w:val="CommentReference"/>
          <w:rFonts w:eastAsia="Times New Roman Bold"/>
        </w:rPr>
        <w:annotationRef/>
      </w:r>
      <w:r>
        <w:t>A suggestion was made in Warszawa to incorporate these principles into the text.  However, while they are very valuable, they are not principles adopted by the EHEA – they are the opinion of one – although highly respected and competent – researcher. The Co-Chairs therefore suggest they be left in a footnote</w:t>
      </w:r>
    </w:p>
  </w:comment>
  <w:comment w:id="5" w:author="BERGAN Sjur" w:date="2014-08-04T08:08:00Z" w:initials="BS">
    <w:p w14:paraId="5E70882D" w14:textId="77777777" w:rsidR="004C7832" w:rsidRDefault="004C7832" w:rsidP="00080625">
      <w:pPr>
        <w:pStyle w:val="CommentText"/>
      </w:pPr>
      <w:r>
        <w:rPr>
          <w:rStyle w:val="CommentReference"/>
          <w:rFonts w:eastAsia="Times New Roman Bold"/>
        </w:rPr>
        <w:annotationRef/>
      </w:r>
      <w:r>
        <w:t>One member of the SRWG suggested deleting this quote from the ToR or put in an Appendix. The Co-Chairs feel it belongs in the text – it would not be read if relegated to an Appendix.</w:t>
      </w:r>
    </w:p>
  </w:comment>
  <w:comment w:id="6" w:author="BERGAN Sjur" w:date="2014-07-17T07:53:00Z" w:initials="BS">
    <w:p w14:paraId="1E251924" w14:textId="77777777" w:rsidR="004C7832" w:rsidRDefault="004C7832" w:rsidP="00080625">
      <w:pPr>
        <w:pStyle w:val="CommentText"/>
      </w:pPr>
      <w:r>
        <w:rPr>
          <w:rStyle w:val="CommentReference"/>
          <w:rFonts w:eastAsia="Times New Roman Bold"/>
        </w:rPr>
        <w:annotationRef/>
      </w:r>
      <w:r>
        <w:t xml:space="preserve">At the Warszawa meeting, some members suggested other terms but no consensus was reached. The Co-Chairs propose we stick to the term “area”, as the point is made that we see the EHEA (also) as an area of transparence and recognition. </w:t>
      </w:r>
    </w:p>
  </w:comment>
  <w:comment w:id="7" w:author="BERGAN Sjur" w:date="2014-07-17T07:53:00Z" w:initials="BS">
    <w:p w14:paraId="1042380C" w14:textId="77777777" w:rsidR="004C7832" w:rsidRDefault="004C7832" w:rsidP="00080625">
      <w:pPr>
        <w:pStyle w:val="CommentText"/>
      </w:pPr>
      <w:r>
        <w:rPr>
          <w:rStyle w:val="CommentReference"/>
          <w:rFonts w:eastAsia="Times New Roman Bold"/>
        </w:rPr>
        <w:annotationRef/>
      </w:r>
      <w:r>
        <w:t xml:space="preserve">Text provided by Ireland, ENQA and the Commission June 29. </w:t>
      </w:r>
    </w:p>
  </w:comment>
  <w:comment w:id="8" w:author="BERGAN Sjur" w:date="2014-08-04T08:22:00Z" w:initials="BS">
    <w:p w14:paraId="576CE027" w14:textId="77777777" w:rsidR="004C7832" w:rsidRDefault="004C7832" w:rsidP="00080625">
      <w:pPr>
        <w:pStyle w:val="CommentText"/>
      </w:pPr>
      <w:r>
        <w:rPr>
          <w:rStyle w:val="CommentReference"/>
          <w:rFonts w:eastAsia="Times New Roman Bold"/>
        </w:rPr>
        <w:annotationRef/>
      </w:r>
      <w:r>
        <w:t>Suggestion by EURASHE to the previous text, added here to the revised text.</w:t>
      </w:r>
    </w:p>
  </w:comment>
  <w:comment w:id="9" w:author="BERGAN Sjur" w:date="2014-08-04T08:22:00Z" w:initials="BS">
    <w:p w14:paraId="06E01010" w14:textId="77777777" w:rsidR="004C7832" w:rsidRDefault="004C7832" w:rsidP="00080625">
      <w:pPr>
        <w:pStyle w:val="CommentText"/>
      </w:pPr>
      <w:r>
        <w:rPr>
          <w:rStyle w:val="CommentReference"/>
          <w:rFonts w:eastAsia="Times New Roman Bold"/>
        </w:rPr>
        <w:annotationRef/>
      </w:r>
      <w:r>
        <w:t>Revised text by EQAR July 17</w:t>
      </w:r>
    </w:p>
  </w:comment>
  <w:comment w:id="10" w:author="BERGAN Sjur" w:date="2014-08-04T08:25:00Z" w:initials="BS">
    <w:p w14:paraId="5CD4EBC2" w14:textId="77777777" w:rsidR="004C7832" w:rsidRDefault="004C7832">
      <w:pPr>
        <w:pStyle w:val="CommentText"/>
      </w:pPr>
      <w:r>
        <w:rPr>
          <w:rStyle w:val="CommentReference"/>
        </w:rPr>
        <w:annotationRef/>
      </w:r>
      <w:r>
        <w:t xml:space="preserve">Text based on a contribution by the Third Cycle </w:t>
      </w:r>
      <w:r w:rsidRPr="00CD3987">
        <w:rPr>
          <w:i/>
        </w:rPr>
        <w:t>ad hoc</w:t>
      </w:r>
      <w:r>
        <w:t xml:space="preserve"> group.</w:t>
      </w:r>
    </w:p>
  </w:comment>
  <w:comment w:id="11" w:author="BERGAN Sjur" w:date="2014-08-04T08:23:00Z" w:initials="BS">
    <w:p w14:paraId="6F656949" w14:textId="77777777" w:rsidR="004C7832" w:rsidRDefault="004C7832" w:rsidP="00080625">
      <w:pPr>
        <w:pStyle w:val="CommentText"/>
      </w:pPr>
      <w:r>
        <w:rPr>
          <w:rStyle w:val="CommentReference"/>
        </w:rPr>
        <w:annotationRef/>
      </w:r>
      <w:r>
        <w:t>Text provided by the European Commission; some modifications and shortening of the text agreed directly with the Commission.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372D3" w14:textId="77777777" w:rsidR="006A7244" w:rsidRDefault="006A7244" w:rsidP="00080625">
      <w:r>
        <w:separator/>
      </w:r>
    </w:p>
  </w:endnote>
  <w:endnote w:type="continuationSeparator" w:id="0">
    <w:p w14:paraId="6037FB06" w14:textId="77777777" w:rsidR="006A7244" w:rsidRDefault="006A7244" w:rsidP="0008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Pro-Medium">
    <w:altName w:val="Corbel"/>
    <w:panose1 w:val="00000000000000000000"/>
    <w:charset w:val="00"/>
    <w:family w:val="modern"/>
    <w:notTrueType/>
    <w:pitch w:val="variable"/>
    <w:sig w:usb0="00000001" w:usb1="4000206A"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Light">
    <w:altName w:val="Arial"/>
    <w:charset w:val="00"/>
    <w:family w:val="auto"/>
    <w:pitch w:val="variable"/>
    <w:sig w:usb0="00000000"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DINPro-Regular">
    <w:altName w:val="Corbel"/>
    <w:panose1 w:val="00000000000000000000"/>
    <w:charset w:val="00"/>
    <w:family w:val="modern"/>
    <w:notTrueType/>
    <w:pitch w:val="variable"/>
    <w:sig w:usb0="00000001" w:usb1="4000206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E6DED" w14:textId="77777777" w:rsidR="006A7244" w:rsidRDefault="006A7244" w:rsidP="00080625">
      <w:r>
        <w:separator/>
      </w:r>
    </w:p>
  </w:footnote>
  <w:footnote w:type="continuationSeparator" w:id="0">
    <w:p w14:paraId="728C6403" w14:textId="77777777" w:rsidR="006A7244" w:rsidRDefault="006A7244" w:rsidP="00080625">
      <w:r>
        <w:continuationSeparator/>
      </w:r>
    </w:p>
  </w:footnote>
  <w:footnote w:id="1">
    <w:p w14:paraId="6BE6283A" w14:textId="77777777" w:rsidR="004C7832" w:rsidRPr="00B24FB8" w:rsidRDefault="004C7832" w:rsidP="00080625">
      <w:pPr>
        <w:pStyle w:val="Default"/>
        <w:rPr>
          <w:rFonts w:eastAsiaTheme="minorHAnsi"/>
          <w:bdr w:val="none" w:sz="0" w:space="0" w:color="auto"/>
        </w:rPr>
      </w:pPr>
      <w:r w:rsidRPr="00244A09">
        <w:rPr>
          <w:rStyle w:val="FootnoteReference"/>
          <w:rFonts w:ascii="Times New Roman" w:hAnsi="Times New Roman" w:cs="Times New Roman"/>
          <w:sz w:val="22"/>
          <w:szCs w:val="22"/>
        </w:rPr>
        <w:footnoteRef/>
      </w:r>
      <w:r>
        <w:t xml:space="preserve"> </w:t>
      </w:r>
      <w:r w:rsidRPr="00B24FB8">
        <w:rPr>
          <w:rFonts w:ascii="Times New Roman" w:hAnsi="Times New Roman" w:cs="Times New Roman"/>
          <w:sz w:val="20"/>
          <w:szCs w:val="20"/>
        </w:rPr>
        <w:t>Cf. the Bucharest Communiqué (2012): “</w:t>
      </w:r>
      <w:r w:rsidRPr="008F2F72">
        <w:rPr>
          <w:rFonts w:ascii="Times New Roman" w:eastAsiaTheme="minorHAnsi" w:hAnsi="Times New Roman" w:cs="Times New Roman"/>
          <w:color w:val="auto"/>
          <w:sz w:val="20"/>
          <w:szCs w:val="20"/>
          <w:bdr w:val="none" w:sz="0" w:space="0" w:color="auto"/>
        </w:rPr>
        <w:t>We are determined to remove outstanding obstacles hindering effective and proper recognition and are willing to work together towards the automatic recognition of comparable academic degrees, building on the tools of the Bologna framework, as a long-term goal of the EHEA</w:t>
      </w:r>
      <w:r>
        <w:rPr>
          <w:rFonts w:ascii="Times New Roman" w:eastAsiaTheme="minorHAnsi" w:hAnsi="Times New Roman" w:cs="Times New Roman"/>
          <w:color w:val="auto"/>
          <w:sz w:val="20"/>
          <w:szCs w:val="20"/>
          <w:bdr w:val="none" w:sz="0" w:space="0" w:color="auto"/>
        </w:rPr>
        <w:t>”</w:t>
      </w:r>
      <w:r w:rsidRPr="00B24FB8">
        <w:rPr>
          <w:rFonts w:ascii="Times New Roman" w:eastAsiaTheme="minorHAnsi" w:hAnsi="Times New Roman" w:cs="Times New Roman"/>
          <w:color w:val="auto"/>
          <w:sz w:val="20"/>
          <w:szCs w:val="20"/>
          <w:bdr w:val="none" w:sz="0" w:space="0" w:color="auto"/>
        </w:rPr>
        <w:t>.</w:t>
      </w:r>
    </w:p>
  </w:footnote>
  <w:footnote w:id="2">
    <w:p w14:paraId="77A23A18" w14:textId="77777777" w:rsidR="004C7832" w:rsidRPr="00061E43" w:rsidRDefault="004C7832" w:rsidP="00080625">
      <w:pPr>
        <w:pStyle w:val="FootnoteText"/>
        <w:rPr>
          <w:lang w:val="fr-FR"/>
        </w:rPr>
      </w:pPr>
      <w:r>
        <w:rPr>
          <w:rStyle w:val="FootnoteReference"/>
        </w:rPr>
        <w:footnoteRef/>
      </w:r>
      <w:r w:rsidRPr="00061E43">
        <w:rPr>
          <w:lang w:val="fr-FR"/>
        </w:rPr>
        <w:t xml:space="preserve"> London Communiqué (2007), paragraph 1.4.</w:t>
      </w:r>
    </w:p>
  </w:footnote>
  <w:footnote w:id="3">
    <w:p w14:paraId="259BA2D5" w14:textId="77777777" w:rsidR="004C7832" w:rsidRPr="00061E43" w:rsidRDefault="004C7832" w:rsidP="00080625">
      <w:pPr>
        <w:pStyle w:val="FootnoteText"/>
        <w:rPr>
          <w:lang w:val="fr-FR"/>
        </w:rPr>
      </w:pPr>
      <w:r w:rsidRPr="00E73C72">
        <w:rPr>
          <w:b/>
          <w:bCs/>
          <w:iCs/>
          <w:color w:val="auto"/>
          <w:u w:color="FF0000"/>
          <w:vertAlign w:val="superscript"/>
        </w:rPr>
        <w:footnoteRef/>
      </w:r>
      <w:r w:rsidRPr="00E73C72">
        <w:rPr>
          <w:rFonts w:eastAsia="Arial Unicode MS" w:hAnsi="Arial Unicode MS" w:cs="Arial Unicode MS"/>
          <w:color w:val="auto"/>
          <w:lang w:val="fr-FR"/>
        </w:rPr>
        <w:t xml:space="preserve"> </w:t>
      </w:r>
      <w:hyperlink r:id="rId1" w:history="1">
        <w:r w:rsidRPr="00061E43">
          <w:rPr>
            <w:rStyle w:val="Hyperlink1"/>
            <w:rFonts w:eastAsia="Arial Unicode MS" w:hAnsi="Arial Unicode MS" w:cs="Arial Unicode MS"/>
            <w:lang w:val="fr-FR"/>
          </w:rPr>
          <w:t>http://paginas.fe.up.pt/~sfeyo/Docs_SFA_Bologna/120_Ref%20Doc_20041018%20%5BJQIG%20Dublin%20Descriptors%5D.pdf</w:t>
        </w:r>
      </w:hyperlink>
      <w:r w:rsidRPr="00061E43">
        <w:rPr>
          <w:rFonts w:eastAsia="Arial Unicode MS" w:hAnsi="Arial Unicode MS" w:cs="Arial Unicode MS"/>
          <w:lang w:val="fr-FR"/>
        </w:rPr>
        <w:t xml:space="preserve">. </w:t>
      </w:r>
    </w:p>
  </w:footnote>
  <w:footnote w:id="4">
    <w:p w14:paraId="5EC27F72" w14:textId="77777777" w:rsidR="004C7832" w:rsidRPr="00867363" w:rsidRDefault="004C7832" w:rsidP="00080625">
      <w:pPr>
        <w:pStyle w:val="FootnoteText"/>
        <w:rPr>
          <w:lang w:val="de-DE"/>
        </w:rPr>
      </w:pPr>
      <w:r>
        <w:rPr>
          <w:vertAlign w:val="superscript"/>
        </w:rPr>
        <w:footnoteRef/>
      </w:r>
      <w:r w:rsidRPr="00867363">
        <w:rPr>
          <w:rFonts w:eastAsia="Arial Unicode MS" w:hAnsi="Arial Unicode MS" w:cs="Arial Unicode MS"/>
          <w:lang w:val="de-DE"/>
        </w:rPr>
        <w:t xml:space="preserve"> Mark Fredericks, Achim Hopbach, Andrejs Rauhvargers, Colin T</w:t>
      </w:r>
      <w:r w:rsidRPr="00867363">
        <w:rPr>
          <w:rFonts w:ascii="Arial Unicode MS" w:eastAsia="Arial Unicode MS" w:hAnsi="Arial Unicode MS" w:cs="Arial Unicode MS"/>
          <w:lang w:val="de-DE"/>
        </w:rPr>
        <w:t>ü</w:t>
      </w:r>
      <w:r w:rsidRPr="00867363">
        <w:rPr>
          <w:rFonts w:eastAsia="Arial Unicode MS" w:hAnsi="Arial Unicode MS" w:cs="Arial Unicode MS"/>
          <w:lang w:val="de-DE"/>
        </w:rPr>
        <w:t>ck.</w:t>
      </w:r>
    </w:p>
  </w:footnote>
  <w:footnote w:id="5">
    <w:p w14:paraId="66A02FD9" w14:textId="77777777" w:rsidR="004C7832" w:rsidRPr="00867363" w:rsidRDefault="004C7832" w:rsidP="00080625">
      <w:pPr>
        <w:pStyle w:val="FootnoteText"/>
        <w:rPr>
          <w:lang w:val="de-DE"/>
        </w:rPr>
      </w:pPr>
      <w:r>
        <w:rPr>
          <w:vertAlign w:val="superscript"/>
        </w:rPr>
        <w:footnoteRef/>
      </w:r>
      <w:r w:rsidRPr="00867363">
        <w:rPr>
          <w:rFonts w:eastAsia="Arial Unicode MS" w:hAnsi="Arial Unicode MS" w:cs="Arial Unicode MS"/>
          <w:lang w:val="de-DE"/>
        </w:rPr>
        <w:t xml:space="preserve"> </w:t>
      </w:r>
      <w:hyperlink r:id="rId2" w:history="1">
        <w:r w:rsidRPr="00867363">
          <w:rPr>
            <w:rStyle w:val="Hyperlink0"/>
            <w:rFonts w:eastAsia="Arial Unicode MS" w:hAnsi="Arial Unicode MS" w:cs="Arial Unicode MS"/>
          </w:rPr>
          <w:t>http://www.ehea.info/Uploads/Documents/ESG_3rdedition.pdf</w:t>
        </w:r>
      </w:hyperlink>
      <w:r w:rsidRPr="00867363">
        <w:rPr>
          <w:rFonts w:eastAsia="Arial Unicode MS" w:hAnsi="Arial Unicode MS" w:cs="Arial Unicode MS"/>
          <w:lang w:val="de-DE"/>
        </w:rPr>
        <w:t xml:space="preserve"> </w:t>
      </w:r>
    </w:p>
  </w:footnote>
  <w:footnote w:id="6">
    <w:p w14:paraId="2A588634" w14:textId="77777777" w:rsidR="004C7832" w:rsidRPr="00867363" w:rsidRDefault="004C7832" w:rsidP="00080625">
      <w:pPr>
        <w:pStyle w:val="FootnoteText"/>
        <w:rPr>
          <w:lang w:val="de-DE"/>
        </w:rPr>
      </w:pPr>
      <w:r>
        <w:rPr>
          <w:vertAlign w:val="superscript"/>
        </w:rPr>
        <w:footnoteRef/>
      </w:r>
      <w:r w:rsidRPr="00867363">
        <w:rPr>
          <w:rFonts w:eastAsia="Arial Unicode MS" w:hAnsi="Arial Unicode MS" w:cs="Arial Unicode MS"/>
          <w:lang w:val="de-DE"/>
        </w:rPr>
        <w:t xml:space="preserve"> </w:t>
      </w:r>
      <w:hyperlink r:id="rId3" w:history="1">
        <w:r w:rsidRPr="00867363">
          <w:rPr>
            <w:rStyle w:val="Hyperlink0"/>
            <w:rFonts w:eastAsia="Arial Unicode MS" w:hAnsi="Arial Unicode MS" w:cs="Arial Unicode MS"/>
          </w:rPr>
          <w:t>http://www.eqar.eu/index.php?id=32</w:t>
        </w:r>
      </w:hyperlink>
      <w:r w:rsidRPr="00867363">
        <w:rPr>
          <w:rFonts w:eastAsia="Arial Unicode MS" w:hAnsi="Arial Unicode MS" w:cs="Arial Unicode MS"/>
          <w:lang w:val="de-DE"/>
        </w:rPr>
        <w:t xml:space="preserve"> </w:t>
      </w:r>
    </w:p>
  </w:footnote>
  <w:footnote w:id="7">
    <w:p w14:paraId="212141B9" w14:textId="77777777" w:rsidR="004C7832" w:rsidRPr="00867363" w:rsidRDefault="004C7832" w:rsidP="00080625">
      <w:pPr>
        <w:pStyle w:val="FootnoteText"/>
        <w:rPr>
          <w:lang w:val="de-DE"/>
        </w:rPr>
      </w:pPr>
      <w:r>
        <w:rPr>
          <w:vertAlign w:val="superscript"/>
        </w:rPr>
        <w:footnoteRef/>
      </w:r>
      <w:r w:rsidRPr="00867363">
        <w:rPr>
          <w:rFonts w:eastAsia="Arial Unicode MS" w:hAnsi="Arial Unicode MS" w:cs="Arial Unicode MS"/>
          <w:lang w:val="de-DE"/>
        </w:rPr>
        <w:t xml:space="preserve"> </w:t>
      </w:r>
      <w:hyperlink r:id="rId4" w:history="1">
        <w:r w:rsidRPr="00867363">
          <w:rPr>
            <w:rStyle w:val="Hyperlink0"/>
            <w:rFonts w:eastAsia="Arial Unicode MS" w:hAnsi="Arial Unicode MS" w:cs="Arial Unicode MS"/>
          </w:rPr>
          <w:t>http://www.ehea.info/Uploads/qualification/QF-EHEA-May2005.pdf</w:t>
        </w:r>
      </w:hyperlink>
      <w:r w:rsidRPr="00867363">
        <w:rPr>
          <w:rFonts w:eastAsia="Arial Unicode MS" w:hAnsi="Arial Unicode MS" w:cs="Arial Unicode MS"/>
          <w:lang w:val="de-DE"/>
        </w:rPr>
        <w:t xml:space="preserve"> </w:t>
      </w:r>
    </w:p>
  </w:footnote>
  <w:footnote w:id="8">
    <w:p w14:paraId="13E31EF7" w14:textId="77777777" w:rsidR="004C7832" w:rsidRPr="00867363" w:rsidRDefault="004C7832" w:rsidP="00080625">
      <w:pPr>
        <w:pStyle w:val="FootnoteText"/>
        <w:rPr>
          <w:lang w:val="de-DE"/>
        </w:rPr>
      </w:pPr>
      <w:r>
        <w:rPr>
          <w:vertAlign w:val="superscript"/>
        </w:rPr>
        <w:footnoteRef/>
      </w:r>
      <w:r w:rsidRPr="00867363">
        <w:rPr>
          <w:rFonts w:eastAsia="Arial Unicode MS" w:hAnsi="Arial Unicode MS" w:cs="Arial Unicode MS"/>
          <w:lang w:val="de-DE"/>
        </w:rPr>
        <w:t xml:space="preserve"> </w:t>
      </w:r>
      <w:hyperlink r:id="rId5" w:history="1">
        <w:r w:rsidRPr="00867363">
          <w:rPr>
            <w:rStyle w:val="Hyperlink0"/>
            <w:rFonts w:eastAsia="Arial Unicode MS" w:hAnsi="Arial Unicode MS" w:cs="Arial Unicode MS"/>
          </w:rPr>
          <w:t>http://www.ehea.info/Uploads/QF/EQF_EN.pdf</w:t>
        </w:r>
      </w:hyperlink>
      <w:r w:rsidRPr="00867363">
        <w:rPr>
          <w:rFonts w:eastAsia="Arial Unicode MS" w:hAnsi="Arial Unicode MS" w:cs="Arial Unicode MS"/>
          <w:lang w:val="de-DE"/>
        </w:rPr>
        <w:t xml:space="preserve"> </w:t>
      </w:r>
    </w:p>
  </w:footnote>
  <w:footnote w:id="9">
    <w:p w14:paraId="0B27AB85" w14:textId="77777777" w:rsidR="004C7832" w:rsidRDefault="004C7832" w:rsidP="00080625">
      <w:pPr>
        <w:pStyle w:val="FootnoteText"/>
      </w:pPr>
      <w:r>
        <w:rPr>
          <w:vertAlign w:val="superscript"/>
        </w:rPr>
        <w:footnoteRef/>
      </w:r>
      <w:r>
        <w:rPr>
          <w:rFonts w:eastAsia="Arial Unicode MS" w:hAnsi="Arial Unicode MS" w:cs="Arial Unicode MS"/>
        </w:rPr>
        <w:t xml:space="preserve"> </w:t>
      </w:r>
      <w:hyperlink r:id="rId6" w:history="1">
        <w:r>
          <w:rPr>
            <w:rStyle w:val="Hyperlink1"/>
            <w:rFonts w:eastAsia="Arial Unicode MS" w:hAnsi="Arial Unicode MS" w:cs="Arial Unicode MS"/>
          </w:rPr>
          <w:t>http://conventions.coe.int/Treaty/en/Treaties/Html/165.htm</w:t>
        </w:r>
      </w:hyperlink>
      <w:r>
        <w:rPr>
          <w:rFonts w:eastAsia="Arial Unicode MS" w:hAnsi="Arial Unicode MS" w:cs="Arial Unicode MS"/>
        </w:rPr>
        <w:t xml:space="preserve"> (text of the Convention) and </w:t>
      </w:r>
      <w:hyperlink r:id="rId7" w:history="1">
        <w:r>
          <w:rPr>
            <w:rStyle w:val="Hyperlink1"/>
            <w:rFonts w:eastAsia="Arial Unicode MS" w:hAnsi="Arial Unicode MS" w:cs="Arial Unicode MS"/>
          </w:rPr>
          <w:t>http://conventions.coe.int/Treaty/en/reports/Html/165.htm</w:t>
        </w:r>
      </w:hyperlink>
      <w:r>
        <w:rPr>
          <w:rFonts w:eastAsia="Arial Unicode MS" w:hAnsi="Arial Unicode MS" w:cs="Arial Unicode MS"/>
        </w:rPr>
        <w:t xml:space="preserve"> (Explanatory Report)</w:t>
      </w:r>
    </w:p>
  </w:footnote>
  <w:footnote w:id="10">
    <w:p w14:paraId="0BEBD33A" w14:textId="77777777" w:rsidR="004C7832" w:rsidRDefault="004C7832" w:rsidP="00080625">
      <w:pPr>
        <w:pStyle w:val="FootnoteText"/>
      </w:pPr>
      <w:r>
        <w:rPr>
          <w:vertAlign w:val="superscript"/>
        </w:rPr>
        <w:footnoteRef/>
      </w:r>
      <w:hyperlink r:id="rId8" w:history="1">
        <w:r>
          <w:rPr>
            <w:rStyle w:val="Hyperlink1"/>
            <w:rFonts w:eastAsia="Arial Unicode MS" w:hAnsi="Arial Unicode MS" w:cs="Arial Unicode MS"/>
          </w:rPr>
          <w:t>http://www.enic-naric.net/index.aspx?s=n&amp;r=ena&amp;d=ds</w:t>
        </w:r>
      </w:hyperlink>
      <w:r>
        <w:rPr>
          <w:rFonts w:eastAsia="Arial Unicode MS" w:hAnsi="Arial Unicode MS" w:cs="Arial Unicode MS"/>
        </w:rPr>
        <w:t xml:space="preserve">  </w:t>
      </w:r>
    </w:p>
  </w:footnote>
  <w:footnote w:id="11">
    <w:p w14:paraId="71131D9A" w14:textId="77777777" w:rsidR="004C7832" w:rsidRPr="00E24EC6" w:rsidRDefault="004C7832" w:rsidP="00EB53C9">
      <w:pPr>
        <w:pStyle w:val="NoSpacing"/>
        <w:jc w:val="both"/>
        <w:rPr>
          <w:sz w:val="20"/>
          <w:szCs w:val="20"/>
        </w:rPr>
      </w:pPr>
      <w:r w:rsidRPr="00E24EC6">
        <w:rPr>
          <w:sz w:val="20"/>
          <w:szCs w:val="20"/>
          <w:vertAlign w:val="superscript"/>
        </w:rPr>
        <w:footnoteRef/>
      </w:r>
      <w:r w:rsidRPr="00E24EC6">
        <w:rPr>
          <w:sz w:val="20"/>
          <w:szCs w:val="20"/>
        </w:rPr>
        <w:t xml:space="preserve"> See e.g. Pavel Zgaga (2012): “Reconsidering the EHEA principles: Is there a “Bologna Philosophy”?”, in A. Curaj, P. Scott, L. Vlasceanu &amp; L. Wilson (eds.) </w:t>
      </w:r>
      <w:r w:rsidRPr="00E24EC6">
        <w:rPr>
          <w:i/>
          <w:iCs/>
          <w:sz w:val="20"/>
          <w:szCs w:val="20"/>
        </w:rPr>
        <w:t>European higher education at the crossroads: Between the Bologna Process and national reforms (pp17-38).</w:t>
      </w:r>
      <w:r w:rsidRPr="00E24EC6">
        <w:rPr>
          <w:sz w:val="20"/>
          <w:szCs w:val="20"/>
        </w:rPr>
        <w:t xml:space="preserve"> Dordrecht Springer. Pavel Zgaga identifies the following “Bologna principles”:</w:t>
      </w:r>
    </w:p>
    <w:p w14:paraId="05638C5E" w14:textId="77777777" w:rsidR="004C7832" w:rsidRPr="00E24EC6" w:rsidRDefault="004C7832" w:rsidP="00787ED4">
      <w:pPr>
        <w:pStyle w:val="ListParagraph"/>
        <w:numPr>
          <w:ilvl w:val="0"/>
          <w:numId w:val="17"/>
        </w:numPr>
        <w:rPr>
          <w:sz w:val="20"/>
          <w:szCs w:val="20"/>
        </w:rPr>
      </w:pPr>
      <w:r w:rsidRPr="00E24EC6">
        <w:rPr>
          <w:sz w:val="20"/>
          <w:szCs w:val="20"/>
        </w:rPr>
        <w:t>Democracy and democratic values,</w:t>
      </w:r>
    </w:p>
    <w:p w14:paraId="570CA985" w14:textId="77777777" w:rsidR="004C7832" w:rsidRPr="00E24EC6" w:rsidRDefault="004C7832" w:rsidP="00787ED4">
      <w:pPr>
        <w:pStyle w:val="ListParagraph"/>
        <w:numPr>
          <w:ilvl w:val="0"/>
          <w:numId w:val="18"/>
        </w:numPr>
        <w:rPr>
          <w:sz w:val="20"/>
          <w:szCs w:val="20"/>
        </w:rPr>
      </w:pPr>
      <w:r w:rsidRPr="00E24EC6">
        <w:rPr>
          <w:sz w:val="20"/>
          <w:szCs w:val="20"/>
        </w:rPr>
        <w:t>Academic values,</w:t>
      </w:r>
    </w:p>
    <w:p w14:paraId="1BD03613" w14:textId="77777777" w:rsidR="004C7832" w:rsidRPr="00E24EC6" w:rsidRDefault="004C7832" w:rsidP="00787ED4">
      <w:pPr>
        <w:pStyle w:val="ListParagraph"/>
        <w:numPr>
          <w:ilvl w:val="0"/>
          <w:numId w:val="19"/>
        </w:numPr>
        <w:rPr>
          <w:sz w:val="20"/>
          <w:szCs w:val="20"/>
        </w:rPr>
      </w:pPr>
      <w:r w:rsidRPr="00E24EC6">
        <w:rPr>
          <w:sz w:val="20"/>
          <w:szCs w:val="20"/>
        </w:rPr>
        <w:t>International cooperation in education and research and broadening mobility,</w:t>
      </w:r>
    </w:p>
    <w:p w14:paraId="1DB739D1" w14:textId="77777777" w:rsidR="004C7832" w:rsidRPr="00E24EC6" w:rsidRDefault="004C7832" w:rsidP="00787ED4">
      <w:pPr>
        <w:pStyle w:val="ListParagraph"/>
        <w:numPr>
          <w:ilvl w:val="0"/>
          <w:numId w:val="20"/>
        </w:numPr>
        <w:rPr>
          <w:sz w:val="20"/>
          <w:szCs w:val="20"/>
        </w:rPr>
      </w:pPr>
      <w:r w:rsidRPr="00E24EC6">
        <w:rPr>
          <w:sz w:val="20"/>
          <w:szCs w:val="20"/>
        </w:rPr>
        <w:t>Higher education is a public good: it requires public responsibility but,</w:t>
      </w:r>
    </w:p>
    <w:p w14:paraId="1931C246" w14:textId="77777777" w:rsidR="004C7832" w:rsidRPr="00E24EC6" w:rsidRDefault="004C7832" w:rsidP="00787ED4">
      <w:pPr>
        <w:pStyle w:val="ListParagraph"/>
        <w:numPr>
          <w:ilvl w:val="0"/>
          <w:numId w:val="21"/>
        </w:numPr>
        <w:rPr>
          <w:sz w:val="20"/>
          <w:szCs w:val="20"/>
        </w:rPr>
      </w:pPr>
      <w:r w:rsidRPr="00E24EC6">
        <w:rPr>
          <w:sz w:val="20"/>
          <w:szCs w:val="20"/>
        </w:rPr>
        <w:t>Also the responsibility of higher education,</w:t>
      </w:r>
    </w:p>
    <w:p w14:paraId="24F6A583" w14:textId="77777777" w:rsidR="004C7832" w:rsidRPr="00E24EC6" w:rsidRDefault="004C7832" w:rsidP="00787ED4">
      <w:pPr>
        <w:pStyle w:val="ListParagraph"/>
        <w:numPr>
          <w:ilvl w:val="0"/>
          <w:numId w:val="22"/>
        </w:numPr>
        <w:rPr>
          <w:sz w:val="20"/>
          <w:szCs w:val="20"/>
        </w:rPr>
      </w:pPr>
      <w:r w:rsidRPr="00E24EC6">
        <w:rPr>
          <w:sz w:val="20"/>
          <w:szCs w:val="20"/>
        </w:rPr>
        <w:t>The full range of purposes of higher education may not be forgotten,</w:t>
      </w:r>
    </w:p>
    <w:p w14:paraId="25386144" w14:textId="77777777" w:rsidR="004C7832" w:rsidRPr="00E24EC6" w:rsidRDefault="004C7832" w:rsidP="00787ED4">
      <w:pPr>
        <w:pStyle w:val="ListParagraph"/>
        <w:numPr>
          <w:ilvl w:val="0"/>
          <w:numId w:val="23"/>
        </w:numPr>
        <w:rPr>
          <w:sz w:val="20"/>
          <w:szCs w:val="20"/>
        </w:rPr>
      </w:pPr>
      <w:r w:rsidRPr="00E24EC6">
        <w:rPr>
          <w:sz w:val="20"/>
          <w:szCs w:val="20"/>
        </w:rPr>
        <w:t>Comparability and compatibility of degrees structures, quality assurance, recognition of degrees,</w:t>
      </w:r>
    </w:p>
    <w:p w14:paraId="7EF83CE6" w14:textId="77777777" w:rsidR="004C7832" w:rsidRPr="00E24EC6" w:rsidRDefault="004C7832" w:rsidP="00787ED4">
      <w:pPr>
        <w:pStyle w:val="ListParagraph"/>
        <w:numPr>
          <w:ilvl w:val="0"/>
          <w:numId w:val="24"/>
        </w:numPr>
        <w:rPr>
          <w:sz w:val="20"/>
          <w:szCs w:val="20"/>
        </w:rPr>
      </w:pPr>
      <w:r w:rsidRPr="00E24EC6">
        <w:rPr>
          <w:sz w:val="20"/>
          <w:szCs w:val="20"/>
        </w:rPr>
        <w:t>The social dimension,</w:t>
      </w:r>
    </w:p>
    <w:p w14:paraId="14454389" w14:textId="77777777" w:rsidR="004C7832" w:rsidRPr="00E24EC6" w:rsidRDefault="004C7832" w:rsidP="00787ED4">
      <w:pPr>
        <w:pStyle w:val="ListParagraph"/>
        <w:numPr>
          <w:ilvl w:val="0"/>
          <w:numId w:val="25"/>
        </w:numPr>
        <w:rPr>
          <w:sz w:val="20"/>
          <w:szCs w:val="20"/>
        </w:rPr>
      </w:pPr>
      <w:r w:rsidRPr="00E24EC6">
        <w:rPr>
          <w:sz w:val="20"/>
          <w:szCs w:val="20"/>
        </w:rPr>
        <w:t>The global dimension,</w:t>
      </w:r>
    </w:p>
    <w:p w14:paraId="403C9B89" w14:textId="77777777" w:rsidR="004C7832" w:rsidRPr="00E24EC6" w:rsidRDefault="004C7832" w:rsidP="00787ED4">
      <w:pPr>
        <w:pStyle w:val="ListParagraph"/>
        <w:numPr>
          <w:ilvl w:val="0"/>
          <w:numId w:val="26"/>
        </w:numPr>
        <w:rPr>
          <w:sz w:val="20"/>
          <w:szCs w:val="20"/>
        </w:rPr>
      </w:pPr>
      <w:r w:rsidRPr="00E24EC6">
        <w:rPr>
          <w:sz w:val="20"/>
          <w:szCs w:val="20"/>
        </w:rPr>
        <w:t>The European dimension,</w:t>
      </w:r>
    </w:p>
    <w:p w14:paraId="7027BC85" w14:textId="77777777" w:rsidR="004C7832" w:rsidRDefault="004C7832" w:rsidP="00787ED4">
      <w:pPr>
        <w:pStyle w:val="ListParagraph"/>
        <w:numPr>
          <w:ilvl w:val="0"/>
          <w:numId w:val="27"/>
        </w:numPr>
      </w:pPr>
      <w:r w:rsidRPr="00E24EC6">
        <w:rPr>
          <w:sz w:val="20"/>
          <w:szCs w:val="20"/>
        </w:rPr>
        <w:t>Partnership between all stakeholders.</w:t>
      </w:r>
    </w:p>
  </w:footnote>
  <w:footnote w:id="12">
    <w:p w14:paraId="3F782DC8" w14:textId="77777777" w:rsidR="004C7832" w:rsidRPr="00FB24A4" w:rsidRDefault="004C7832" w:rsidP="00080625">
      <w:pPr>
        <w:pStyle w:val="FootnoteText"/>
      </w:pPr>
      <w:r>
        <w:rPr>
          <w:rStyle w:val="FootnoteReference"/>
        </w:rPr>
        <w:footnoteRef/>
      </w:r>
      <w:r>
        <w:t xml:space="preserve"> London Communiqué, para. 1.4.</w:t>
      </w:r>
    </w:p>
  </w:footnote>
  <w:footnote w:id="13">
    <w:p w14:paraId="0081280E" w14:textId="77777777" w:rsidR="004C7832" w:rsidRPr="00061E43" w:rsidRDefault="004C7832" w:rsidP="00080625">
      <w:pPr>
        <w:pStyle w:val="Default"/>
        <w:rPr>
          <w:rFonts w:eastAsiaTheme="minorHAnsi"/>
          <w:bdr w:val="none" w:sz="0" w:space="0" w:color="auto"/>
        </w:rPr>
      </w:pPr>
      <w:r>
        <w:rPr>
          <w:rStyle w:val="FootnoteReference"/>
        </w:rPr>
        <w:footnoteRef/>
      </w:r>
      <w:r>
        <w:t xml:space="preserve"> </w:t>
      </w:r>
      <w:r w:rsidRPr="00061E43">
        <w:rPr>
          <w:rFonts w:ascii="Times New Roman" w:hAnsi="Times New Roman" w:cs="Times New Roman"/>
          <w:sz w:val="20"/>
          <w:szCs w:val="20"/>
        </w:rPr>
        <w:t>Cf. the Bucharest Communiqué (2012): “</w:t>
      </w:r>
      <w:r w:rsidRPr="008F2F72">
        <w:rPr>
          <w:rFonts w:ascii="Times New Roman" w:eastAsiaTheme="minorHAnsi" w:hAnsi="Times New Roman" w:cs="Times New Roman"/>
          <w:color w:val="auto"/>
          <w:sz w:val="20"/>
          <w:szCs w:val="20"/>
          <w:bdr w:val="none" w:sz="0" w:space="0" w:color="auto"/>
        </w:rPr>
        <w:t>We are determined to remove outstanding obstacles hindering effective and proper recognition and are willing to work together towards the automatic recognition of comparable academic degrees, building on the tools of the Bologna framework, as a long-term goal of the EHEA</w:t>
      </w:r>
      <w:r>
        <w:rPr>
          <w:rFonts w:ascii="Times New Roman" w:eastAsiaTheme="minorHAnsi" w:hAnsi="Times New Roman" w:cs="Times New Roman"/>
          <w:color w:val="auto"/>
          <w:sz w:val="20"/>
          <w:szCs w:val="20"/>
          <w:bdr w:val="none" w:sz="0" w:space="0" w:color="auto"/>
        </w:rPr>
        <w:t>”</w:t>
      </w:r>
      <w:r w:rsidRPr="00061E43">
        <w:rPr>
          <w:rFonts w:ascii="Times New Roman" w:eastAsiaTheme="minorHAnsi" w:hAnsi="Times New Roman" w:cs="Times New Roman"/>
          <w:color w:val="auto"/>
          <w:sz w:val="20"/>
          <w:szCs w:val="20"/>
          <w:bdr w:val="none" w:sz="0" w:space="0" w:color="auto"/>
        </w:rPr>
        <w:t>.</w:t>
      </w:r>
    </w:p>
  </w:footnote>
  <w:footnote w:id="14">
    <w:p w14:paraId="75EA3EC1" w14:textId="77777777" w:rsidR="004C7832" w:rsidRDefault="004C7832" w:rsidP="00080625">
      <w:pPr>
        <w:pStyle w:val="FootnoteText"/>
      </w:pPr>
      <w:r>
        <w:rPr>
          <w:vertAlign w:val="superscript"/>
        </w:rPr>
        <w:footnoteRef/>
      </w:r>
      <w:r>
        <w:rPr>
          <w:rFonts w:eastAsia="Arial Unicode MS" w:hAnsi="Arial Unicode MS" w:cs="Arial Unicode MS"/>
        </w:rPr>
        <w:t xml:space="preserve"> This point was made by David Crosier in his presentation to the annual conference of the European Access Network in Strasbourg on June 3 - 5, 2013.</w:t>
      </w:r>
    </w:p>
  </w:footnote>
  <w:footnote w:id="15">
    <w:p w14:paraId="36766F9F" w14:textId="77777777" w:rsidR="004C7832" w:rsidRPr="003E4D08" w:rsidRDefault="004C7832" w:rsidP="003E4D08">
      <w:pPr>
        <w:pStyle w:val="NoSpacing"/>
        <w:jc w:val="both"/>
        <w:rPr>
          <w:sz w:val="20"/>
          <w:szCs w:val="20"/>
        </w:rPr>
      </w:pPr>
      <w:r w:rsidRPr="007E3326">
        <w:rPr>
          <w:sz w:val="20"/>
          <w:szCs w:val="20"/>
          <w:vertAlign w:val="superscript"/>
        </w:rPr>
        <w:footnoteRef/>
      </w:r>
      <w:r>
        <w:t xml:space="preserve"> </w:t>
      </w:r>
      <w:r w:rsidRPr="003E4D08">
        <w:rPr>
          <w:sz w:val="20"/>
          <w:szCs w:val="20"/>
        </w:rPr>
        <w:t xml:space="preserve">Learning outcomes may also be formulated as goals for what students should know, understand, and be able to do </w:t>
      </w:r>
      <w:r w:rsidRPr="003E4D08">
        <w:rPr>
          <w:rFonts w:ascii="Arial Unicode MS"/>
          <w:sz w:val="20"/>
          <w:szCs w:val="20"/>
        </w:rPr>
        <w:t>–</w:t>
      </w:r>
      <w:r w:rsidRPr="003E4D08">
        <w:rPr>
          <w:rFonts w:ascii="Arial Unicode MS"/>
          <w:sz w:val="20"/>
          <w:szCs w:val="20"/>
        </w:rPr>
        <w:t xml:space="preserve"> </w:t>
      </w:r>
      <w:r w:rsidRPr="003E4D08">
        <w:rPr>
          <w:sz w:val="20"/>
          <w:szCs w:val="20"/>
        </w:rPr>
        <w:t xml:space="preserve">and of the attitudes they should develop </w:t>
      </w:r>
      <w:r w:rsidRPr="003E4D08">
        <w:rPr>
          <w:rFonts w:ascii="Arial Unicode MS"/>
          <w:sz w:val="20"/>
          <w:szCs w:val="20"/>
        </w:rPr>
        <w:t>–</w:t>
      </w:r>
      <w:r w:rsidRPr="003E4D08">
        <w:rPr>
          <w:rFonts w:ascii="Arial Unicode MS"/>
          <w:sz w:val="20"/>
          <w:szCs w:val="20"/>
        </w:rPr>
        <w:t xml:space="preserve"> </w:t>
      </w:r>
      <w:r w:rsidRPr="003E4D08">
        <w:rPr>
          <w:sz w:val="20"/>
          <w:szCs w:val="20"/>
        </w:rPr>
        <w:t xml:space="preserve">at the end of a learning module, course or study program, on the model </w:t>
      </w:r>
      <w:r w:rsidRPr="003E4D08">
        <w:rPr>
          <w:rFonts w:ascii="Arial Unicode MS"/>
          <w:sz w:val="20"/>
          <w:szCs w:val="20"/>
        </w:rPr>
        <w:t>“</w:t>
      </w:r>
      <w:r w:rsidRPr="003E4D08">
        <w:rPr>
          <w:sz w:val="20"/>
          <w:szCs w:val="20"/>
        </w:rPr>
        <w:t>by the end of this learning module/course/study program, students will</w:t>
      </w:r>
      <w:r w:rsidRPr="003E4D08">
        <w:rPr>
          <w:rFonts w:ascii="Arial Unicode MS"/>
          <w:sz w:val="20"/>
          <w:szCs w:val="20"/>
        </w:rPr>
        <w:t>…”</w:t>
      </w:r>
      <w:r w:rsidRPr="003E4D08">
        <w:rPr>
          <w:sz w:val="20"/>
          <w:szCs w:val="20"/>
        </w:rPr>
        <w:t xml:space="preserve">. For the purposes of this report, no distinction will be made between achieved and aspirational learning outcomes. </w:t>
      </w:r>
    </w:p>
  </w:footnote>
  <w:footnote w:id="16">
    <w:p w14:paraId="78A4EF5D" w14:textId="77777777" w:rsidR="004C7832" w:rsidRPr="003E4D08" w:rsidRDefault="004C7832" w:rsidP="003E4D08">
      <w:pPr>
        <w:pStyle w:val="NoSpacing"/>
        <w:jc w:val="both"/>
        <w:rPr>
          <w:sz w:val="20"/>
          <w:szCs w:val="20"/>
        </w:rPr>
      </w:pPr>
      <w:r w:rsidRPr="003E4D08">
        <w:rPr>
          <w:rStyle w:val="FootnoteReference"/>
          <w:sz w:val="20"/>
          <w:szCs w:val="20"/>
        </w:rPr>
        <w:footnoteRef/>
      </w:r>
      <w:r w:rsidRPr="003E4D08">
        <w:rPr>
          <w:sz w:val="20"/>
          <w:szCs w:val="20"/>
        </w:rPr>
        <w:t xml:space="preserve"> For the purpose of the report, the term “doctoral education” will generally be preferred to “doctoral training”. The final report of the </w:t>
      </w:r>
      <w:r w:rsidRPr="003E4D08">
        <w:rPr>
          <w:i/>
          <w:sz w:val="20"/>
          <w:szCs w:val="20"/>
        </w:rPr>
        <w:t>ad hoc</w:t>
      </w:r>
      <w:r w:rsidRPr="003E4D08">
        <w:rPr>
          <w:sz w:val="20"/>
          <w:szCs w:val="20"/>
        </w:rPr>
        <w:t xml:space="preserve"> sub-group on the third cycle, in its appendix, uses only the terminology “doctoral training”</w:t>
      </w:r>
    </w:p>
  </w:footnote>
  <w:footnote w:id="17">
    <w:p w14:paraId="6A7FC35C" w14:textId="77777777" w:rsidR="004C7832" w:rsidRPr="00F90B13" w:rsidRDefault="004C7832" w:rsidP="0008062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 w:rsidRPr="003B23C3">
        <w:rPr>
          <w:rStyle w:val="FootnoteReference"/>
          <w:sz w:val="20"/>
          <w:szCs w:val="20"/>
        </w:rPr>
        <w:footnoteRef/>
      </w:r>
      <w:r w:rsidRPr="003B23C3">
        <w:rPr>
          <w:sz w:val="20"/>
          <w:szCs w:val="20"/>
        </w:rPr>
        <w:t xml:space="preserve"> </w:t>
      </w:r>
      <w:r w:rsidRPr="00F90B13">
        <w:rPr>
          <w:sz w:val="20"/>
          <w:szCs w:val="20"/>
        </w:rPr>
        <w:t xml:space="preserve">EACEA; Eurydice; Eurostat; Eurostudent: </w:t>
      </w:r>
      <w:r w:rsidRPr="00F90B13">
        <w:rPr>
          <w:bCs/>
          <w:i/>
          <w:sz w:val="20"/>
          <w:szCs w:val="20"/>
        </w:rPr>
        <w:t>The European Higher Education Area in 2012: Bologna Process Implementation Report</w:t>
      </w:r>
      <w:r w:rsidRPr="00F90B13">
        <w:rPr>
          <w:b/>
          <w:bCs/>
          <w:sz w:val="20"/>
          <w:szCs w:val="20"/>
        </w:rPr>
        <w:t xml:space="preserve"> (</w:t>
      </w:r>
      <w:r w:rsidRPr="00F90B13">
        <w:rPr>
          <w:sz w:val="20"/>
          <w:szCs w:val="20"/>
        </w:rPr>
        <w:t>Brussels 2012: Eurydice), p. 114</w:t>
      </w:r>
    </w:p>
  </w:footnote>
  <w:footnote w:id="18">
    <w:p w14:paraId="427694EF" w14:textId="77777777" w:rsidR="004C7832" w:rsidRPr="00166C03" w:rsidRDefault="004C7832" w:rsidP="00080625">
      <w:pPr>
        <w:pStyle w:val="FootnoteText"/>
      </w:pPr>
      <w:r>
        <w:rPr>
          <w:rStyle w:val="FootnoteReference"/>
        </w:rPr>
        <w:footnoteRef/>
      </w:r>
      <w:r>
        <w:t xml:space="preserve"> The European Research Area mentioned in the opening section is concentrating a many policy development efforts on developing guidance to policy makers, institutions and research institutes and young researchers on the quality of young researchers’ careers.</w:t>
      </w:r>
    </w:p>
  </w:footnote>
  <w:footnote w:id="19">
    <w:p w14:paraId="5A3C7FF8" w14:textId="77777777" w:rsidR="004C7832" w:rsidRDefault="004C7832" w:rsidP="00080625">
      <w:pPr>
        <w:pStyle w:val="FootnoteText"/>
      </w:pPr>
      <w:r>
        <w:rPr>
          <w:vertAlign w:val="superscript"/>
        </w:rPr>
        <w:footnoteRef/>
      </w:r>
      <w:r>
        <w:rPr>
          <w:rFonts w:eastAsia="Arial Unicode MS" w:hAnsi="Arial Unicode MS" w:cs="Arial Unicode MS"/>
        </w:rPr>
        <w:t xml:space="preserve"> </w:t>
      </w:r>
      <w:hyperlink r:id="rId9" w:anchor="TopOfPage" w:history="1">
        <w:r>
          <w:rPr>
            <w:rStyle w:val="Hyperlink1"/>
            <w:rFonts w:eastAsia="Arial Unicode MS" w:hAnsi="Arial Unicode MS" w:cs="Arial Unicode MS"/>
          </w:rPr>
          <w:t>http://www.coe.int/t/dg4/highereducation/Recognition/DGIIEDUHE(2012)14%20Rev09%20FINAL%20-%20LRC%20Supplementary%20Text%20on%20the%20Use%20of%20QFs%20ENGLISH.asp#TopOfPage</w:t>
        </w:r>
      </w:hyperlink>
      <w:r>
        <w:rPr>
          <w:rFonts w:eastAsia="Arial Unicode MS" w:hAnsi="Arial Unicode MS" w:cs="Arial Unicode MS"/>
        </w:rPr>
        <w:t xml:space="preserve"> </w:t>
      </w:r>
    </w:p>
  </w:footnote>
  <w:footnote w:id="20">
    <w:p w14:paraId="5E06438E" w14:textId="77777777" w:rsidR="004C7832" w:rsidRPr="003C088C" w:rsidRDefault="004C7832" w:rsidP="003C088C">
      <w:pPr>
        <w:pStyle w:val="NoSpacing"/>
        <w:jc w:val="both"/>
        <w:rPr>
          <w:sz w:val="20"/>
          <w:szCs w:val="20"/>
        </w:rPr>
      </w:pPr>
      <w:r w:rsidRPr="007E3326">
        <w:rPr>
          <w:sz w:val="20"/>
          <w:szCs w:val="20"/>
          <w:vertAlign w:val="superscript"/>
        </w:rPr>
        <w:footnoteRef/>
      </w:r>
      <w:r>
        <w:t xml:space="preserve"> </w:t>
      </w:r>
      <w:r w:rsidRPr="003C088C">
        <w:rPr>
          <w:sz w:val="20"/>
          <w:szCs w:val="20"/>
        </w:rPr>
        <w:t xml:space="preserve">Cf. criterion no. 5 (The national quality assurance system for higher education refer to the national framework of qualifications and are consistent with the Berlin Communiqué and any subsequent communiqué agreed by ministers in the Bologna Process) and procedure no. 2 (The self-certification process shall include the stated agreement of the quality assurance bodies in the country in question recognised through the Bologna Process) of the criteria and procedures for the self-certification of national frameworks against the QF-EHEA, </w:t>
      </w:r>
      <w:hyperlink r:id="rId10" w:history="1">
        <w:r w:rsidRPr="003C088C">
          <w:rPr>
            <w:sz w:val="20"/>
            <w:szCs w:val="20"/>
          </w:rPr>
          <w:t>http://www.ehea.info/Uploads/QF/Bologna_Framework_and_Certification_revised_29_02_08.pdf</w:t>
        </w:r>
      </w:hyperlink>
      <w:r w:rsidRPr="003C088C">
        <w:rPr>
          <w:sz w:val="20"/>
          <w:szCs w:val="20"/>
        </w:rPr>
        <w:t xml:space="preserve">.  The criteria for referencing national frameworks against the EQF include similar provisions.   </w:t>
      </w:r>
    </w:p>
    <w:p w14:paraId="315A7F18" w14:textId="77777777" w:rsidR="004C7832" w:rsidRDefault="004C7832" w:rsidP="00080625">
      <w:pPr>
        <w:pStyle w:val="Default"/>
      </w:pPr>
      <w:r>
        <w:rPr>
          <w:rFonts w:ascii="Times New Roman"/>
          <w:sz w:val="20"/>
          <w:szCs w:val="20"/>
        </w:rPr>
        <w:t xml:space="preserve"> </w:t>
      </w:r>
    </w:p>
  </w:footnote>
  <w:footnote w:id="21">
    <w:p w14:paraId="77CA93C2" w14:textId="77777777" w:rsidR="004C7832" w:rsidRDefault="004C7832" w:rsidP="00080625">
      <w:pPr>
        <w:pStyle w:val="FootnoteText"/>
      </w:pPr>
      <w:r>
        <w:rPr>
          <w:vertAlign w:val="superscript"/>
        </w:rPr>
        <w:footnoteRef/>
      </w:r>
      <w:r>
        <w:rPr>
          <w:rFonts w:eastAsia="Arial Unicode MS" w:hAnsi="Arial Unicode MS" w:cs="Arial Unicode MS"/>
        </w:rPr>
        <w:t xml:space="preserve"> </w:t>
      </w:r>
      <w:hyperlink r:id="rId11" w:history="1">
        <w:r>
          <w:rPr>
            <w:rStyle w:val="Hyperlink1"/>
            <w:rFonts w:eastAsia="Arial Unicode MS" w:hAnsi="Arial Unicode MS" w:cs="Arial Unicode MS"/>
          </w:rPr>
          <w:t>http://www.iau-aiu.net/sites/all/files/Ethics_Guidelines_FinalDef_08.02.13.pdf</w:t>
        </w:r>
      </w:hyperlink>
      <w:r>
        <w:rPr>
          <w:rFonts w:eastAsia="Arial Unicode MS" w:hAnsi="Arial Unicode MS" w:cs="Arial Unicode MS"/>
        </w:rPr>
        <w:t xml:space="preserve"> </w:t>
      </w:r>
    </w:p>
  </w:footnote>
  <w:footnote w:id="22">
    <w:p w14:paraId="319363BA" w14:textId="77777777" w:rsidR="004C7832" w:rsidRPr="00245938" w:rsidRDefault="004C7832" w:rsidP="00080625">
      <w:pPr>
        <w:pStyle w:val="FootnoteText"/>
      </w:pPr>
      <w:r>
        <w:rPr>
          <w:rStyle w:val="FootnoteReference"/>
        </w:rPr>
        <w:footnoteRef/>
      </w:r>
      <w:r>
        <w:t xml:space="preserve"> See </w:t>
      </w:r>
      <w:r w:rsidRPr="00245938">
        <w:t>http://www.eua.be/eua-work-and-policy-area/building-the-european-higher-education-area/projects/tracking-learners-and-graduates-progression-paths.aspx</w:t>
      </w:r>
      <w:r>
        <w:t xml:space="preserve"> . </w:t>
      </w:r>
    </w:p>
  </w:footnote>
  <w:footnote w:id="23">
    <w:p w14:paraId="7E659FEC" w14:textId="77777777" w:rsidR="004C7832" w:rsidRDefault="004C7832" w:rsidP="003C75DC">
      <w:pPr>
        <w:pStyle w:val="FootnoteText"/>
        <w:jc w:val="both"/>
      </w:pPr>
      <w:r>
        <w:rPr>
          <w:vertAlign w:val="superscript"/>
        </w:rPr>
        <w:footnoteRef/>
      </w:r>
      <w:r>
        <w:rPr>
          <w:rFonts w:eastAsia="Arial Unicode MS" w:hAnsi="Arial Unicode MS" w:cs="Arial Unicode MS"/>
        </w:rPr>
        <w:t xml:space="preserve"> </w:t>
      </w:r>
      <w:r w:rsidRPr="003C75DC">
        <w:rPr>
          <w:rFonts w:eastAsia="Arial Unicode MS"/>
        </w:rPr>
        <w:t xml:space="preserve">Andrejs Rauhvargers: </w:t>
      </w:r>
      <w:r w:rsidRPr="003C75DC">
        <w:rPr>
          <w:rFonts w:eastAsia="Arial Unicode MS"/>
          <w:i/>
          <w:iCs/>
        </w:rPr>
        <w:t>Global University Rankings and Their Impact</w:t>
      </w:r>
      <w:r w:rsidRPr="003C75DC">
        <w:rPr>
          <w:rFonts w:eastAsia="Arial Unicode MS"/>
        </w:rPr>
        <w:t xml:space="preserve"> (Brussels 2011: European University Association), available at </w:t>
      </w:r>
      <w:hyperlink r:id="rId12" w:history="1">
        <w:r w:rsidRPr="003C75DC">
          <w:rPr>
            <w:rStyle w:val="Hyperlink3"/>
            <w:rFonts w:eastAsia="Arial Unicode MS"/>
          </w:rPr>
          <w:t>http://www.eua.be/pubs/global_university_rankings_and_their_impact.pdf</w:t>
        </w:r>
      </w:hyperlink>
      <w:r w:rsidRPr="003C75DC">
        <w:rPr>
          <w:rFonts w:eastAsia="Arial Unicode MS"/>
        </w:rPr>
        <w:t xml:space="preserve">  and Andrejs Rauhvargers: </w:t>
      </w:r>
      <w:r w:rsidRPr="003C75DC">
        <w:rPr>
          <w:rFonts w:eastAsia="Arial Unicode MS"/>
          <w:i/>
          <w:iCs/>
        </w:rPr>
        <w:t>Global University Rankings and Their Impact – Report II</w:t>
      </w:r>
      <w:r w:rsidRPr="003C75DC">
        <w:rPr>
          <w:rFonts w:eastAsia="Arial Unicode MS"/>
        </w:rPr>
        <w:t xml:space="preserve"> (Brussels 2013): European University Association), available at </w:t>
      </w:r>
      <w:hyperlink r:id="rId13" w:history="1">
        <w:r w:rsidRPr="003C75DC">
          <w:rPr>
            <w:rStyle w:val="Hyperlink3"/>
            <w:rFonts w:eastAsia="Arial Unicode MS"/>
          </w:rPr>
          <w:t>http://www.eua.be/Libraries/Publications_homepage_list/EUA_Global_University_Rankings_and_Their_Impact_-_Report_II.sflb.ashx</w:t>
        </w:r>
      </w:hyperlink>
      <w:r w:rsidRPr="003C75DC">
        <w:rPr>
          <w:rFonts w:eastAsia="Arial Unicode MS"/>
        </w:rPr>
        <w:t>.</w:t>
      </w:r>
      <w:r>
        <w:rPr>
          <w:rFonts w:eastAsia="Arial Unicode MS" w:hAnsi="Arial Unicode MS" w:cs="Arial Unicode MS"/>
        </w:rPr>
        <w:t xml:space="preserve"> </w:t>
      </w:r>
    </w:p>
  </w:footnote>
  <w:footnote w:id="24">
    <w:p w14:paraId="1BB51A45" w14:textId="77777777" w:rsidR="004C7832" w:rsidRPr="003B23C3" w:rsidRDefault="004C7832" w:rsidP="00080625">
      <w:pPr>
        <w:pStyle w:val="FootnoteText"/>
        <w:rPr>
          <w:lang w:val="en-CA"/>
        </w:rPr>
      </w:pPr>
      <w:r>
        <w:rPr>
          <w:rStyle w:val="FootnoteReference"/>
        </w:rPr>
        <w:footnoteRef/>
      </w:r>
      <w:r>
        <w:t xml:space="preserve"> </w:t>
      </w:r>
      <w:hyperlink r:id="rId14" w:history="1">
        <w:r w:rsidRPr="00C66BD6">
          <w:rPr>
            <w:rStyle w:val="Hyperlink"/>
            <w:rFonts w:eastAsia="DINPro-Medium"/>
          </w:rPr>
          <w:t>http://www.ehea.info/Uploads/Global%20context/Strategy-for-EHEA-in-global-setting.pdf</w:t>
        </w:r>
      </w:hyperlink>
      <w:r>
        <w:t xml:space="preserve"> </w:t>
      </w:r>
    </w:p>
  </w:footnote>
  <w:footnote w:id="25">
    <w:p w14:paraId="0DBD9486" w14:textId="77777777" w:rsidR="004C7832" w:rsidRPr="00BF67F2" w:rsidRDefault="004C7832" w:rsidP="00BF67F2">
      <w:pPr>
        <w:pStyle w:val="Body"/>
        <w:ind w:left="284" w:hanging="284"/>
        <w:jc w:val="both"/>
        <w:rPr>
          <w:rFonts w:ascii="Verdana" w:eastAsia="Verdana" w:hAnsi="Verdana" w:cs="Verdana"/>
          <w:sz w:val="20"/>
          <w:szCs w:val="20"/>
        </w:rPr>
      </w:pPr>
      <w:r w:rsidRPr="00BF67F2">
        <w:rPr>
          <w:sz w:val="20"/>
          <w:szCs w:val="20"/>
          <w:vertAlign w:val="superscript"/>
        </w:rPr>
        <w:footnoteRef/>
      </w:r>
      <w:r w:rsidRPr="00BF67F2">
        <w:rPr>
          <w:sz w:val="20"/>
          <w:szCs w:val="20"/>
        </w:rPr>
        <w:t xml:space="preserve"> These are:</w:t>
      </w:r>
    </w:p>
    <w:p w14:paraId="3CF788C9" w14:textId="77777777" w:rsidR="004C7832" w:rsidRPr="00BF67F2" w:rsidRDefault="004C7832" w:rsidP="00B40521">
      <w:pPr>
        <w:pStyle w:val="ListParagraph"/>
        <w:numPr>
          <w:ilvl w:val="0"/>
          <w:numId w:val="68"/>
        </w:numPr>
        <w:ind w:left="284" w:hanging="284"/>
        <w:rPr>
          <w:sz w:val="20"/>
          <w:szCs w:val="20"/>
        </w:rPr>
      </w:pPr>
      <w:r w:rsidRPr="00BF67F2">
        <w:rPr>
          <w:sz w:val="20"/>
          <w:szCs w:val="20"/>
        </w:rPr>
        <w:t>As appropriate, commission research to support its work;</w:t>
      </w:r>
    </w:p>
    <w:p w14:paraId="7F475205" w14:textId="77777777" w:rsidR="004C7832" w:rsidRPr="00BF67F2" w:rsidRDefault="004C7832" w:rsidP="00B40521">
      <w:pPr>
        <w:pStyle w:val="ListParagraph"/>
        <w:numPr>
          <w:ilvl w:val="0"/>
          <w:numId w:val="68"/>
        </w:numPr>
        <w:ind w:left="284" w:hanging="284"/>
        <w:rPr>
          <w:sz w:val="20"/>
          <w:szCs w:val="20"/>
        </w:rPr>
      </w:pPr>
      <w:r w:rsidRPr="00BF67F2">
        <w:rPr>
          <w:sz w:val="20"/>
          <w:szCs w:val="20"/>
        </w:rPr>
        <w:t>Maintain contact with and, as needed, oversee the work of any sub groups established to address specific aspects of structural reforms;</w:t>
      </w:r>
    </w:p>
    <w:p w14:paraId="6E228333" w14:textId="77777777" w:rsidR="004C7832" w:rsidRPr="00BF67F2" w:rsidRDefault="004C7832" w:rsidP="00B40521">
      <w:pPr>
        <w:pStyle w:val="ListParagraph"/>
        <w:numPr>
          <w:ilvl w:val="0"/>
          <w:numId w:val="68"/>
        </w:numPr>
        <w:ind w:left="284" w:hanging="284"/>
        <w:rPr>
          <w:sz w:val="20"/>
          <w:szCs w:val="20"/>
        </w:rPr>
      </w:pPr>
      <w:r w:rsidRPr="00BF67F2">
        <w:rPr>
          <w:sz w:val="20"/>
          <w:szCs w:val="20"/>
        </w:rPr>
        <w:t xml:space="preserve">Advice the BFUG on any issues referred to it by the BFUG;  </w:t>
      </w:r>
    </w:p>
    <w:p w14:paraId="3D101F42" w14:textId="77777777" w:rsidR="004C7832" w:rsidRDefault="004C7832" w:rsidP="00B40521">
      <w:pPr>
        <w:pStyle w:val="ListParagraph"/>
        <w:numPr>
          <w:ilvl w:val="0"/>
          <w:numId w:val="68"/>
        </w:numPr>
        <w:ind w:left="284" w:hanging="284"/>
      </w:pPr>
      <w:r w:rsidRPr="00BF67F2">
        <w:rPr>
          <w:sz w:val="20"/>
          <w:szCs w:val="20"/>
        </w:rPr>
        <w:t>Submit proposals to the 2015 Ministerial conference, through the BFUG, aiming to improve the coherence of the structural reforms within the EHEA.</w:t>
      </w:r>
    </w:p>
  </w:footnote>
  <w:footnote w:id="26">
    <w:p w14:paraId="2E8BF7D3" w14:textId="77777777" w:rsidR="004C7832" w:rsidRPr="004632C3" w:rsidRDefault="004C7832" w:rsidP="00FE6317">
      <w:pPr>
        <w:pStyle w:val="NoSpacing"/>
        <w:tabs>
          <w:tab w:val="left" w:pos="284"/>
        </w:tabs>
        <w:rPr>
          <w:sz w:val="20"/>
          <w:szCs w:val="20"/>
        </w:rPr>
      </w:pPr>
      <w:r w:rsidRPr="004632C3">
        <w:rPr>
          <w:rStyle w:val="FootnoteCharacters"/>
          <w:sz w:val="20"/>
          <w:szCs w:val="20"/>
          <w:vertAlign w:val="superscript"/>
        </w:rPr>
        <w:footnoteRef/>
      </w:r>
      <w:r w:rsidRPr="004632C3">
        <w:rPr>
          <w:rStyle w:val="FootnoteReference1"/>
          <w:sz w:val="20"/>
          <w:szCs w:val="20"/>
        </w:rPr>
        <w:tab/>
      </w:r>
      <w:hyperlink r:id="rId15" w:history="1">
        <w:r w:rsidRPr="004632C3">
          <w:rPr>
            <w:rStyle w:val="Hyperlink"/>
            <w:sz w:val="20"/>
            <w:szCs w:val="20"/>
          </w:rPr>
          <w:t>http://eur-lex.europa.eu/LexUriServ/LexUriServ.do?uri=OJ:C:2009:155:0001:0010:EN:PDF</w:t>
        </w:r>
      </w:hyperlink>
    </w:p>
  </w:footnote>
  <w:footnote w:id="27">
    <w:p w14:paraId="4AAF331E" w14:textId="77777777" w:rsidR="004C7832" w:rsidRPr="004632C3" w:rsidRDefault="004C7832" w:rsidP="00FE6317">
      <w:pPr>
        <w:pStyle w:val="NoSpacing"/>
        <w:tabs>
          <w:tab w:val="left" w:pos="284"/>
        </w:tabs>
        <w:rPr>
          <w:sz w:val="20"/>
          <w:szCs w:val="20"/>
        </w:rPr>
      </w:pPr>
      <w:r w:rsidRPr="004632C3">
        <w:rPr>
          <w:rStyle w:val="FootnoteReference"/>
          <w:sz w:val="20"/>
          <w:szCs w:val="20"/>
        </w:rPr>
        <w:footnoteRef/>
      </w:r>
      <w:r w:rsidRPr="004632C3">
        <w:rPr>
          <w:sz w:val="20"/>
          <w:szCs w:val="20"/>
        </w:rPr>
        <w:t xml:space="preserve"> </w:t>
      </w:r>
      <w:r>
        <w:rPr>
          <w:sz w:val="20"/>
          <w:szCs w:val="20"/>
        </w:rPr>
        <w:tab/>
      </w:r>
      <w:hyperlink r:id="rId16" w:history="1">
        <w:r w:rsidRPr="004632C3">
          <w:rPr>
            <w:rStyle w:val="Hyperlink"/>
            <w:rFonts w:eastAsia="DINPro-Medium"/>
            <w:sz w:val="20"/>
            <w:szCs w:val="20"/>
          </w:rPr>
          <w:t>http://www.eqavet.eu/gns/home.aspx</w:t>
        </w:r>
      </w:hyperlink>
      <w:r w:rsidRPr="004632C3">
        <w:rPr>
          <w:sz w:val="20"/>
          <w:szCs w:val="20"/>
        </w:rPr>
        <w:t xml:space="preserve"> </w:t>
      </w:r>
    </w:p>
  </w:footnote>
  <w:footnote w:id="28">
    <w:p w14:paraId="3E48DB18" w14:textId="77777777" w:rsidR="004C7832" w:rsidRPr="004632C3" w:rsidRDefault="004C7832" w:rsidP="00FE6317">
      <w:pPr>
        <w:pStyle w:val="NoSpacing"/>
        <w:tabs>
          <w:tab w:val="left" w:pos="284"/>
        </w:tabs>
        <w:rPr>
          <w:sz w:val="20"/>
          <w:szCs w:val="20"/>
        </w:rPr>
      </w:pPr>
      <w:r w:rsidRPr="004632C3">
        <w:rPr>
          <w:rStyle w:val="FootnoteCharacters"/>
          <w:sz w:val="20"/>
          <w:szCs w:val="20"/>
          <w:vertAlign w:val="superscript"/>
        </w:rPr>
        <w:footnoteRef/>
      </w:r>
      <w:r w:rsidRPr="004632C3">
        <w:rPr>
          <w:rStyle w:val="FootnoteReference1"/>
          <w:sz w:val="20"/>
          <w:szCs w:val="20"/>
        </w:rPr>
        <w:tab/>
      </w:r>
      <w:hyperlink r:id="rId17" w:history="1">
        <w:r w:rsidRPr="004632C3">
          <w:rPr>
            <w:rStyle w:val="Hyperlink"/>
            <w:sz w:val="20"/>
            <w:szCs w:val="20"/>
          </w:rPr>
          <w:t>http://www.education.ie/en/Press-Events/Conferences/Ireland-s-Presidency-of-the-EU/Conference-12-13-March-2013/Conclusions.pdf</w:t>
        </w:r>
      </w:hyperlink>
      <w:r w:rsidRPr="004632C3">
        <w:rPr>
          <w:sz w:val="20"/>
          <w:szCs w:val="20"/>
        </w:rPr>
        <w:t xml:space="preserve"> </w:t>
      </w:r>
    </w:p>
  </w:footnote>
  <w:footnote w:id="29">
    <w:p w14:paraId="0C09EF5B" w14:textId="77777777" w:rsidR="004C7832" w:rsidRPr="004632C3" w:rsidRDefault="004C7832" w:rsidP="00FE6317">
      <w:pPr>
        <w:pStyle w:val="NoSpacing"/>
        <w:tabs>
          <w:tab w:val="left" w:pos="284"/>
        </w:tabs>
        <w:rPr>
          <w:sz w:val="20"/>
          <w:szCs w:val="20"/>
        </w:rPr>
      </w:pPr>
      <w:r w:rsidRPr="004632C3">
        <w:rPr>
          <w:rStyle w:val="FootnoteCharacters"/>
          <w:sz w:val="20"/>
          <w:szCs w:val="20"/>
          <w:vertAlign w:val="superscript"/>
        </w:rPr>
        <w:footnoteRef/>
      </w:r>
      <w:r w:rsidRPr="004632C3">
        <w:rPr>
          <w:rStyle w:val="FootnoteReference1"/>
          <w:sz w:val="20"/>
          <w:szCs w:val="20"/>
        </w:rPr>
        <w:tab/>
      </w:r>
      <w:r w:rsidRPr="004632C3">
        <w:rPr>
          <w:sz w:val="20"/>
          <w:szCs w:val="20"/>
          <w:lang w:val="en-GB"/>
        </w:rPr>
        <w:t xml:space="preserve">Published in the Council of the European Union website </w:t>
      </w:r>
      <w:hyperlink r:id="rId18" w:history="1">
        <w:r w:rsidRPr="004632C3">
          <w:rPr>
            <w:rStyle w:val="Hyperlink"/>
            <w:sz w:val="20"/>
            <w:szCs w:val="20"/>
            <w:lang w:val="en-GB"/>
          </w:rPr>
          <w:t>http://www.consilium.europa.eu/uedocs/cms_data/docs/pressdata/en/educ/142694.pdf</w:t>
        </w:r>
      </w:hyperlink>
      <w:r w:rsidRPr="004632C3">
        <w:rPr>
          <w:sz w:val="20"/>
          <w:szCs w:val="20"/>
          <w:lang w:val="en-GB"/>
        </w:rPr>
        <w:t xml:space="preserve"> (accessed 25 June, 2014)</w:t>
      </w:r>
    </w:p>
  </w:footnote>
  <w:footnote w:id="30">
    <w:p w14:paraId="74301C0B" w14:textId="77777777" w:rsidR="004C7832" w:rsidRPr="004632C3" w:rsidRDefault="004C7832" w:rsidP="00FE6317">
      <w:pPr>
        <w:pStyle w:val="NoSpacing"/>
        <w:tabs>
          <w:tab w:val="left" w:pos="284"/>
        </w:tabs>
        <w:rPr>
          <w:sz w:val="20"/>
          <w:szCs w:val="20"/>
        </w:rPr>
      </w:pPr>
      <w:r w:rsidRPr="004632C3">
        <w:rPr>
          <w:rStyle w:val="FootnoteCharacters"/>
          <w:sz w:val="20"/>
          <w:szCs w:val="20"/>
          <w:vertAlign w:val="superscript"/>
        </w:rPr>
        <w:footnoteRef/>
      </w:r>
      <w:r w:rsidRPr="004632C3">
        <w:rPr>
          <w:rStyle w:val="FootnoteReference1"/>
          <w:sz w:val="20"/>
          <w:szCs w:val="20"/>
        </w:rPr>
        <w:tab/>
      </w:r>
      <w:r w:rsidRPr="004632C3">
        <w:rPr>
          <w:sz w:val="20"/>
          <w:szCs w:val="20"/>
        </w:rPr>
        <w:t>Published in the Official journal of the European Union on May 6, 2008, C 111/7.</w:t>
      </w:r>
    </w:p>
  </w:footnote>
  <w:footnote w:id="31">
    <w:p w14:paraId="74B0D5B8" w14:textId="77777777" w:rsidR="004C7832" w:rsidRPr="004632C3" w:rsidRDefault="004C7832" w:rsidP="00FE6317">
      <w:pPr>
        <w:pStyle w:val="NoSpacing"/>
        <w:tabs>
          <w:tab w:val="left" w:pos="284"/>
        </w:tabs>
        <w:jc w:val="both"/>
        <w:rPr>
          <w:sz w:val="20"/>
          <w:szCs w:val="20"/>
        </w:rPr>
      </w:pPr>
      <w:r w:rsidRPr="004632C3">
        <w:rPr>
          <w:rStyle w:val="FootnoteReference"/>
          <w:sz w:val="20"/>
          <w:szCs w:val="20"/>
        </w:rPr>
        <w:footnoteRef/>
      </w:r>
      <w:r w:rsidRPr="004632C3">
        <w:rPr>
          <w:sz w:val="20"/>
          <w:szCs w:val="20"/>
        </w:rPr>
        <w:t xml:space="preserve"> </w:t>
      </w:r>
      <w:r>
        <w:rPr>
          <w:sz w:val="20"/>
          <w:szCs w:val="20"/>
        </w:rPr>
        <w:tab/>
      </w:r>
      <w:r w:rsidRPr="004632C3">
        <w:rPr>
          <w:sz w:val="20"/>
          <w:szCs w:val="20"/>
        </w:rPr>
        <w:t>When implementing the European Qualifications Framework, quality assurance — which is necessary to ensure accountability and the improvement of higher education and vocational education and training — should be carried out in accordance with the following principles:</w:t>
      </w:r>
    </w:p>
    <w:p w14:paraId="3F03DA45" w14:textId="77777777" w:rsidR="004C7832" w:rsidRPr="004632C3" w:rsidRDefault="004C7832" w:rsidP="00FE6317">
      <w:pPr>
        <w:pStyle w:val="NoSpacing"/>
        <w:tabs>
          <w:tab w:val="left" w:pos="284"/>
        </w:tabs>
        <w:jc w:val="both"/>
        <w:rPr>
          <w:sz w:val="20"/>
          <w:szCs w:val="20"/>
        </w:rPr>
      </w:pPr>
      <w:r>
        <w:rPr>
          <w:sz w:val="20"/>
          <w:szCs w:val="20"/>
        </w:rPr>
        <w:t>-</w:t>
      </w:r>
      <w:r w:rsidRPr="004632C3">
        <w:rPr>
          <w:sz w:val="20"/>
          <w:szCs w:val="20"/>
        </w:rPr>
        <w:t>quality assurance policies and procedures should underpin all levels of the European Qualifications Framework,</w:t>
      </w:r>
    </w:p>
    <w:p w14:paraId="11D96E99" w14:textId="77777777" w:rsidR="004C7832" w:rsidRPr="004632C3" w:rsidRDefault="004C7832" w:rsidP="00FE6317">
      <w:pPr>
        <w:pStyle w:val="NoSpacing"/>
        <w:tabs>
          <w:tab w:val="left" w:pos="284"/>
        </w:tabs>
        <w:jc w:val="both"/>
        <w:rPr>
          <w:sz w:val="20"/>
          <w:szCs w:val="20"/>
        </w:rPr>
      </w:pPr>
      <w:r>
        <w:rPr>
          <w:sz w:val="20"/>
          <w:szCs w:val="20"/>
        </w:rPr>
        <w:t>-</w:t>
      </w:r>
      <w:r w:rsidRPr="004632C3">
        <w:rPr>
          <w:sz w:val="20"/>
          <w:szCs w:val="20"/>
        </w:rPr>
        <w:t>quality assurance should be an integral part of the internal management of education and training institutions,</w:t>
      </w:r>
    </w:p>
    <w:p w14:paraId="5D749BC7" w14:textId="77777777" w:rsidR="004C7832" w:rsidRPr="004632C3" w:rsidRDefault="004C7832" w:rsidP="00FE6317">
      <w:pPr>
        <w:pStyle w:val="NoSpacing"/>
        <w:tabs>
          <w:tab w:val="left" w:pos="284"/>
        </w:tabs>
        <w:jc w:val="both"/>
        <w:rPr>
          <w:sz w:val="20"/>
          <w:szCs w:val="20"/>
        </w:rPr>
      </w:pPr>
      <w:r>
        <w:rPr>
          <w:sz w:val="20"/>
          <w:szCs w:val="20"/>
        </w:rPr>
        <w:t>-</w:t>
      </w:r>
      <w:r w:rsidRPr="004632C3">
        <w:rPr>
          <w:sz w:val="20"/>
          <w:szCs w:val="20"/>
        </w:rPr>
        <w:t>quality assurance should include regular evaluation of institutions, their programmes or their quality assurance systems by external monitoring bodies or agencies,</w:t>
      </w:r>
    </w:p>
    <w:p w14:paraId="5D8903F9" w14:textId="77777777" w:rsidR="004C7832" w:rsidRPr="004632C3" w:rsidRDefault="004C7832" w:rsidP="00FE6317">
      <w:pPr>
        <w:pStyle w:val="NoSpacing"/>
        <w:jc w:val="both"/>
        <w:rPr>
          <w:sz w:val="20"/>
          <w:szCs w:val="20"/>
        </w:rPr>
      </w:pPr>
      <w:r>
        <w:rPr>
          <w:sz w:val="20"/>
          <w:szCs w:val="20"/>
        </w:rPr>
        <w:t>-</w:t>
      </w:r>
      <w:r w:rsidRPr="004632C3">
        <w:rPr>
          <w:sz w:val="20"/>
          <w:szCs w:val="20"/>
        </w:rPr>
        <w:t>external monitoring bodies or agencies carrying out quality assurance should be subject to regular review,</w:t>
      </w:r>
    </w:p>
    <w:p w14:paraId="6C6A49C3" w14:textId="77777777" w:rsidR="004C7832" w:rsidRPr="004632C3" w:rsidRDefault="004C7832" w:rsidP="00FE6317">
      <w:pPr>
        <w:pStyle w:val="NoSpacing"/>
        <w:jc w:val="both"/>
        <w:rPr>
          <w:sz w:val="20"/>
          <w:szCs w:val="20"/>
        </w:rPr>
      </w:pPr>
      <w:r>
        <w:rPr>
          <w:sz w:val="20"/>
          <w:szCs w:val="20"/>
        </w:rPr>
        <w:t>-</w:t>
      </w:r>
      <w:r w:rsidRPr="004632C3">
        <w:rPr>
          <w:sz w:val="20"/>
          <w:szCs w:val="20"/>
        </w:rPr>
        <w:t>quality assurance should include context, input, process and output dimensions, while giving emphasis to outputs and learning outcomes,</w:t>
      </w:r>
    </w:p>
    <w:p w14:paraId="449CA3AB" w14:textId="77777777" w:rsidR="004C7832" w:rsidRPr="004632C3" w:rsidRDefault="004C7832" w:rsidP="00FE6317">
      <w:pPr>
        <w:pStyle w:val="NoSpacing"/>
        <w:jc w:val="both"/>
        <w:rPr>
          <w:sz w:val="20"/>
          <w:szCs w:val="20"/>
        </w:rPr>
      </w:pPr>
      <w:r>
        <w:rPr>
          <w:sz w:val="20"/>
          <w:szCs w:val="20"/>
        </w:rPr>
        <w:t>-</w:t>
      </w:r>
      <w:r w:rsidRPr="004632C3">
        <w:rPr>
          <w:sz w:val="20"/>
          <w:szCs w:val="20"/>
        </w:rPr>
        <w:t>quality assurance systems should include the following elements:</w:t>
      </w:r>
    </w:p>
    <w:p w14:paraId="483FAB44" w14:textId="77777777" w:rsidR="004C7832" w:rsidRPr="004632C3" w:rsidRDefault="004C7832" w:rsidP="00B40521">
      <w:pPr>
        <w:pStyle w:val="NoSpacing"/>
        <w:numPr>
          <w:ilvl w:val="1"/>
          <w:numId w:val="69"/>
        </w:numPr>
        <w:tabs>
          <w:tab w:val="clear" w:pos="1843"/>
          <w:tab w:val="num" w:pos="851"/>
        </w:tabs>
        <w:ind w:left="851" w:hanging="284"/>
        <w:jc w:val="both"/>
      </w:pPr>
      <w:r w:rsidRPr="004632C3">
        <w:rPr>
          <w:sz w:val="20"/>
          <w:szCs w:val="20"/>
        </w:rPr>
        <w:t>clear and measurable objectives and standards, guidelines for implementation, including stakeholder involvement, appropriate resources,</w:t>
      </w:r>
    </w:p>
    <w:p w14:paraId="4D9A28DE" w14:textId="77777777" w:rsidR="004C7832" w:rsidRPr="004632C3" w:rsidRDefault="004C7832" w:rsidP="00B40521">
      <w:pPr>
        <w:pStyle w:val="NoSpacing"/>
        <w:numPr>
          <w:ilvl w:val="1"/>
          <w:numId w:val="69"/>
        </w:numPr>
        <w:tabs>
          <w:tab w:val="clear" w:pos="1843"/>
          <w:tab w:val="num" w:pos="851"/>
        </w:tabs>
        <w:ind w:left="851" w:hanging="284"/>
        <w:jc w:val="both"/>
      </w:pPr>
      <w:r w:rsidRPr="004632C3">
        <w:rPr>
          <w:sz w:val="20"/>
          <w:szCs w:val="20"/>
        </w:rPr>
        <w:t>consistent evaluation methods, associating self-assessment and external review,</w:t>
      </w:r>
    </w:p>
    <w:p w14:paraId="2E1EAC55" w14:textId="77777777" w:rsidR="004C7832" w:rsidRPr="004632C3" w:rsidRDefault="004C7832" w:rsidP="00B40521">
      <w:pPr>
        <w:pStyle w:val="NoSpacing"/>
        <w:numPr>
          <w:ilvl w:val="1"/>
          <w:numId w:val="69"/>
        </w:numPr>
        <w:tabs>
          <w:tab w:val="clear" w:pos="1843"/>
          <w:tab w:val="num" w:pos="851"/>
        </w:tabs>
        <w:ind w:left="851" w:hanging="284"/>
        <w:jc w:val="both"/>
        <w:rPr>
          <w:sz w:val="20"/>
          <w:szCs w:val="20"/>
        </w:rPr>
      </w:pPr>
      <w:r w:rsidRPr="004632C3">
        <w:rPr>
          <w:sz w:val="20"/>
          <w:szCs w:val="20"/>
        </w:rPr>
        <w:t>feedback mechanisms and procedures for improvement,</w:t>
      </w:r>
    </w:p>
    <w:p w14:paraId="69C610FE" w14:textId="77777777" w:rsidR="004C7832" w:rsidRPr="004632C3" w:rsidRDefault="004C7832" w:rsidP="00B40521">
      <w:pPr>
        <w:pStyle w:val="ListParagraph"/>
        <w:numPr>
          <w:ilvl w:val="1"/>
          <w:numId w:val="70"/>
        </w:numPr>
        <w:tabs>
          <w:tab w:val="clear" w:pos="1843"/>
          <w:tab w:val="num" w:pos="851"/>
        </w:tabs>
        <w:ind w:left="851" w:hanging="284"/>
        <w:rPr>
          <w:sz w:val="20"/>
          <w:szCs w:val="20"/>
        </w:rPr>
      </w:pPr>
      <w:r w:rsidRPr="004632C3">
        <w:rPr>
          <w:sz w:val="20"/>
          <w:szCs w:val="20"/>
        </w:rPr>
        <w:t>widely accessible evaluation results,</w:t>
      </w:r>
    </w:p>
    <w:p w14:paraId="6E86D17D" w14:textId="77777777" w:rsidR="004C7832" w:rsidRPr="004632C3" w:rsidRDefault="004C7832" w:rsidP="00FE6317">
      <w:pPr>
        <w:pStyle w:val="NoSpacing"/>
        <w:jc w:val="both"/>
        <w:rPr>
          <w:sz w:val="20"/>
          <w:szCs w:val="20"/>
        </w:rPr>
      </w:pPr>
      <w:r>
        <w:rPr>
          <w:sz w:val="20"/>
          <w:szCs w:val="20"/>
        </w:rPr>
        <w:t>-</w:t>
      </w:r>
      <w:r w:rsidRPr="004632C3">
        <w:rPr>
          <w:sz w:val="20"/>
          <w:szCs w:val="20"/>
        </w:rPr>
        <w:t>quality assurance initiatives at international, national and regional level should be coordinated in order to ensure overview, coherence, synergy and system-wide analysis,</w:t>
      </w:r>
    </w:p>
    <w:p w14:paraId="451F93DB" w14:textId="77777777" w:rsidR="004C7832" w:rsidRPr="004632C3" w:rsidRDefault="004C7832" w:rsidP="00FE6317">
      <w:pPr>
        <w:pStyle w:val="NoSpacing"/>
        <w:tabs>
          <w:tab w:val="left" w:pos="284"/>
        </w:tabs>
        <w:rPr>
          <w:sz w:val="20"/>
          <w:szCs w:val="20"/>
        </w:rPr>
      </w:pPr>
      <w:r>
        <w:rPr>
          <w:sz w:val="20"/>
          <w:szCs w:val="20"/>
        </w:rPr>
        <w:t>-</w:t>
      </w:r>
      <w:r w:rsidRPr="004632C3">
        <w:rPr>
          <w:sz w:val="20"/>
          <w:szCs w:val="20"/>
        </w:rPr>
        <w:t>quality assurance should be a cooperative process across education and training levels and systems, involving all relevant stakeholders, within Member States and across the Community,</w:t>
      </w:r>
    </w:p>
    <w:p w14:paraId="677824AE" w14:textId="77777777" w:rsidR="004C7832" w:rsidRPr="004632C3" w:rsidRDefault="004C7832" w:rsidP="00FE6317">
      <w:pPr>
        <w:pStyle w:val="NoSpacing"/>
        <w:tabs>
          <w:tab w:val="left" w:pos="284"/>
        </w:tabs>
        <w:rPr>
          <w:sz w:val="20"/>
          <w:szCs w:val="20"/>
        </w:rPr>
      </w:pPr>
      <w:r>
        <w:rPr>
          <w:sz w:val="20"/>
          <w:szCs w:val="20"/>
        </w:rPr>
        <w:t>-</w:t>
      </w:r>
      <w:r w:rsidRPr="004632C3">
        <w:rPr>
          <w:sz w:val="20"/>
          <w:szCs w:val="20"/>
        </w:rPr>
        <w:t>quality assurance orientations at Community level may provide reference points for evaluations and peer learning.</w:t>
      </w:r>
    </w:p>
  </w:footnote>
  <w:footnote w:id="32">
    <w:p w14:paraId="0724052D" w14:textId="77777777" w:rsidR="004C7832" w:rsidRPr="004632C3" w:rsidRDefault="004C7832" w:rsidP="00FE6317">
      <w:pPr>
        <w:pStyle w:val="NoSpacing"/>
        <w:tabs>
          <w:tab w:val="left" w:pos="284"/>
        </w:tabs>
        <w:rPr>
          <w:sz w:val="20"/>
          <w:szCs w:val="20"/>
        </w:rPr>
      </w:pPr>
      <w:r w:rsidRPr="007E3326">
        <w:rPr>
          <w:rStyle w:val="FootnoteCharacters"/>
          <w:sz w:val="20"/>
          <w:szCs w:val="20"/>
          <w:vertAlign w:val="superscript"/>
        </w:rPr>
        <w:footnoteRef/>
      </w:r>
      <w:r w:rsidRPr="004632C3">
        <w:rPr>
          <w:rStyle w:val="FootnoteReference1"/>
          <w:sz w:val="20"/>
          <w:szCs w:val="20"/>
        </w:rPr>
        <w:tab/>
      </w:r>
      <w:hyperlink r:id="rId19" w:history="1">
        <w:r w:rsidRPr="004632C3">
          <w:rPr>
            <w:rStyle w:val="Hyperlink"/>
            <w:sz w:val="20"/>
            <w:szCs w:val="20"/>
          </w:rPr>
          <w:t>http://eur-lex.europa.eu/LexUriServ/LexUriServ.do?uri=OJ:C:2009:155:0001:0010:EN:PDF</w:t>
        </w:r>
      </w:hyperlink>
    </w:p>
  </w:footnote>
  <w:footnote w:id="33">
    <w:p w14:paraId="0BE73A49" w14:textId="77777777" w:rsidR="004C7832" w:rsidRPr="004632C3" w:rsidRDefault="004C7832" w:rsidP="00FE6317">
      <w:pPr>
        <w:pStyle w:val="NoSpacing"/>
        <w:tabs>
          <w:tab w:val="left" w:pos="284"/>
        </w:tabs>
        <w:rPr>
          <w:sz w:val="20"/>
          <w:szCs w:val="20"/>
        </w:rPr>
      </w:pPr>
      <w:r w:rsidRPr="007E3326">
        <w:rPr>
          <w:rStyle w:val="FootnoteCharacters"/>
          <w:sz w:val="20"/>
          <w:szCs w:val="20"/>
          <w:vertAlign w:val="superscript"/>
        </w:rPr>
        <w:footnoteRef/>
      </w:r>
      <w:r w:rsidRPr="007E3326">
        <w:rPr>
          <w:rStyle w:val="FootnoteReference1"/>
          <w:sz w:val="20"/>
          <w:szCs w:val="20"/>
        </w:rPr>
        <w:tab/>
      </w:r>
      <w:hyperlink r:id="rId20" w:history="1">
        <w:r w:rsidRPr="004632C3">
          <w:rPr>
            <w:rStyle w:val="Hyperlink"/>
            <w:sz w:val="20"/>
            <w:szCs w:val="20"/>
          </w:rPr>
          <w:t>http://www.unesco.org/new/en/education/themes/strengthening-education-systems/higher-education/quality-assurance/</w:t>
        </w:r>
      </w:hyperlink>
    </w:p>
  </w:footnote>
  <w:footnote w:id="34">
    <w:p w14:paraId="40B3B911" w14:textId="77777777" w:rsidR="004C7832" w:rsidRPr="004632C3" w:rsidRDefault="004C7832" w:rsidP="00FE6317">
      <w:pPr>
        <w:pStyle w:val="NoSpacing"/>
        <w:tabs>
          <w:tab w:val="left" w:pos="284"/>
        </w:tabs>
        <w:rPr>
          <w:sz w:val="20"/>
          <w:szCs w:val="20"/>
        </w:rPr>
      </w:pPr>
      <w:r w:rsidRPr="007E3326">
        <w:rPr>
          <w:rStyle w:val="FootnoteCharacters"/>
          <w:sz w:val="20"/>
          <w:szCs w:val="20"/>
          <w:vertAlign w:val="superscript"/>
        </w:rPr>
        <w:footnoteRef/>
      </w:r>
      <w:r w:rsidRPr="007E3326">
        <w:rPr>
          <w:rStyle w:val="FootnoteReference1"/>
          <w:sz w:val="20"/>
          <w:szCs w:val="20"/>
        </w:rPr>
        <w:tab/>
      </w:r>
      <w:hyperlink r:id="rId21" w:history="1">
        <w:r w:rsidRPr="004632C3">
          <w:rPr>
            <w:rStyle w:val="Hyperlink"/>
            <w:sz w:val="20"/>
            <w:szCs w:val="20"/>
          </w:rPr>
          <w:t>http://www.unesco.org/new/en/education/themes/education-building-blocks/technical-vocational-education-and-training-tvet/third-international-congress-on-tvet/thematic-areas/transformative-perspective/</w:t>
        </w:r>
      </w:hyperlink>
    </w:p>
  </w:footnote>
  <w:footnote w:id="35">
    <w:p w14:paraId="49CFA402" w14:textId="77777777" w:rsidR="004C7832" w:rsidRPr="00F91350" w:rsidRDefault="004C7832" w:rsidP="00FE6317">
      <w:pPr>
        <w:pStyle w:val="FootnoteText"/>
        <w:suppressLineNumbers/>
        <w:tabs>
          <w:tab w:val="left" w:pos="284"/>
        </w:tabs>
        <w:spacing w:after="200"/>
        <w:ind w:left="283" w:hanging="283"/>
      </w:pPr>
      <w:r w:rsidRPr="007E3326">
        <w:rPr>
          <w:rStyle w:val="FootnoteCharacters"/>
          <w:vertAlign w:val="superscript"/>
        </w:rPr>
        <w:footnoteRef/>
      </w:r>
      <w:r w:rsidRPr="00F91350">
        <w:tab/>
        <w:t>http://www.cedefop.europa.eu/download-manager.aspx?id=22401&amp;lang=en</w:t>
      </w:r>
    </w:p>
  </w:footnote>
  <w:footnote w:id="36">
    <w:p w14:paraId="3DD3AA9B" w14:textId="77777777" w:rsidR="004C7832" w:rsidRDefault="004C7832" w:rsidP="00867363">
      <w:pPr>
        <w:pStyle w:val="FootnoteText"/>
      </w:pPr>
      <w:r>
        <w:rPr>
          <w:rStyle w:val="Funotenzeichen"/>
        </w:rPr>
        <w:footnoteRef/>
      </w:r>
      <w:r>
        <w:tab/>
      </w:r>
      <w:r>
        <w:rPr>
          <w:szCs w:val="36"/>
        </w:rPr>
        <w:t xml:space="preserve">Presumably, in no country will higher education institutions be forbidden to undergo voluntary reviews </w:t>
      </w:r>
      <w:r>
        <w:rPr>
          <w:i/>
          <w:szCs w:val="36"/>
        </w:rPr>
        <w:t>in addition to the legally required audit, accreditation or evaluation</w:t>
      </w:r>
      <w:r>
        <w:rPr>
          <w:szCs w:val="36"/>
        </w:rPr>
        <w:t>.</w:t>
      </w:r>
    </w:p>
  </w:footnote>
  <w:footnote w:id="37">
    <w:p w14:paraId="7C44D9E4" w14:textId="77777777" w:rsidR="004C7832" w:rsidRDefault="004C7832" w:rsidP="00867363">
      <w:pPr>
        <w:pStyle w:val="FootnoteText"/>
      </w:pPr>
      <w:r>
        <w:rPr>
          <w:rStyle w:val="Funotenzeichen"/>
        </w:rPr>
        <w:footnoteRef/>
      </w:r>
      <w:r>
        <w:tab/>
        <w:t xml:space="preserve"> While there might be additional requirements, all suitable EQAR-registered agencies are allowed to operate without major additional restrictions.</w:t>
      </w:r>
    </w:p>
  </w:footnote>
  <w:footnote w:id="38">
    <w:p w14:paraId="7867FB02" w14:textId="77777777" w:rsidR="004C7832" w:rsidRDefault="004C7832" w:rsidP="00867363">
      <w:pPr>
        <w:pStyle w:val="FootnoteText"/>
      </w:pPr>
      <w:r>
        <w:rPr>
          <w:rStyle w:val="Funotenzeichen"/>
        </w:rPr>
        <w:footnoteRef/>
      </w:r>
      <w:r>
        <w:tab/>
        <w:t xml:space="preserve"> Agencies have to be admitted to a national register of quality assurance agencies, whereas for EHEA agencies EQAR registration is a pre-condition for national registration.</w:t>
      </w:r>
    </w:p>
  </w:footnote>
  <w:footnote w:id="39">
    <w:p w14:paraId="48156D3E" w14:textId="77777777" w:rsidR="004C7832" w:rsidRDefault="004C7832" w:rsidP="00867363">
      <w:pPr>
        <w:pStyle w:val="FootnoteText"/>
      </w:pPr>
      <w:r>
        <w:rPr>
          <w:rStyle w:val="Funotenzeichen"/>
        </w:rPr>
        <w:footnoteRef/>
      </w:r>
      <w:r>
        <w:tab/>
        <w:t xml:space="preserve"> Country has own, specific requirements or licensing processes for allowing foreign agencies to operate, while EQAR registration is neither necessary nor sufficient condition.</w:t>
      </w:r>
    </w:p>
  </w:footnote>
  <w:footnote w:id="40">
    <w:p w14:paraId="790CC48D" w14:textId="77777777" w:rsidR="004C7832" w:rsidRDefault="004C7832" w:rsidP="00867363">
      <w:pPr>
        <w:pStyle w:val="FootnoteText"/>
      </w:pPr>
      <w:r>
        <w:rPr>
          <w:rStyle w:val="Funotenzeichen"/>
        </w:rPr>
        <w:footnoteRef/>
      </w:r>
      <w:r>
        <w:tab/>
        <w:t xml:space="preserve"> </w:t>
      </w:r>
      <w:r>
        <w:rPr>
          <w:lang w:val="en-GB"/>
        </w:rPr>
        <w:t>Based on case-study interviews conducted as part of the RIQAA project, as well as statements or presentations by higher education institution representatives</w:t>
      </w:r>
    </w:p>
  </w:footnote>
  <w:footnote w:id="41">
    <w:p w14:paraId="79DD5E0A" w14:textId="77777777" w:rsidR="004C7832" w:rsidRDefault="004C7832" w:rsidP="00867363">
      <w:pPr>
        <w:pStyle w:val="FootnoteText"/>
      </w:pPr>
      <w:r>
        <w:rPr>
          <w:rStyle w:val="Funotenzeichen"/>
        </w:rPr>
        <w:footnoteRef/>
      </w:r>
      <w:r>
        <w:tab/>
        <w:t xml:space="preserve"> Based on surveys organized by EQAR in 2013 and 2014 as part of the RIQAA project, a seminar for QA agencies held in April 2014, as well as publications by QA agencies and on statements in various seminars.</w:t>
      </w:r>
    </w:p>
  </w:footnote>
  <w:footnote w:id="42">
    <w:p w14:paraId="3C6D998C" w14:textId="77777777" w:rsidR="004C7832" w:rsidRDefault="004C7832" w:rsidP="00867363">
      <w:pPr>
        <w:pStyle w:val="FootnoteText"/>
      </w:pPr>
      <w:r>
        <w:rPr>
          <w:rStyle w:val="Funotenzeichen"/>
        </w:rPr>
        <w:footnoteRef/>
      </w:r>
      <w:r>
        <w:tab/>
        <w:t> See standard 3.6: Internal quality assurance and professional conduct</w:t>
      </w:r>
    </w:p>
  </w:footnote>
  <w:footnote w:id="43">
    <w:p w14:paraId="53A869B3" w14:textId="77777777" w:rsidR="004C7832" w:rsidRDefault="004C7832" w:rsidP="00080625">
      <w:pPr>
        <w:pStyle w:val="FootnoteText"/>
      </w:pPr>
      <w:r w:rsidRPr="00FE6317">
        <w:rPr>
          <w:b/>
          <w:bCs/>
          <w:i/>
          <w:iCs/>
          <w:color w:val="auto"/>
          <w:u w:color="FF0000"/>
          <w:vertAlign w:val="superscript"/>
        </w:rPr>
        <w:footnoteRef/>
      </w:r>
      <w:r>
        <w:rPr>
          <w:rFonts w:eastAsia="Arial Unicode MS" w:hAnsi="Arial Unicode MS" w:cs="Arial Unicode MS"/>
        </w:rPr>
        <w:t xml:space="preserve"> </w:t>
      </w:r>
      <w:hyperlink r:id="rId22" w:history="1">
        <w:r>
          <w:rPr>
            <w:rStyle w:val="Hyperlink1"/>
            <w:rFonts w:eastAsia="Arial Unicode MS" w:hAnsi="Arial Unicode MS" w:cs="Arial Unicode MS"/>
          </w:rPr>
          <w:t>http://paginas.fe.up.pt/~sfeyo/Docs_SFA_Bologna/120_Ref%20Doc_20041018%20%5BJQIG%20Dublin%20Descriptors%5D.pdf</w:t>
        </w:r>
      </w:hyperlink>
      <w:r>
        <w:rPr>
          <w:rFonts w:eastAsia="Arial Unicode MS" w:hAnsi="Arial Unicode MS" w:cs="Arial Unicode MS"/>
        </w:rPr>
        <w:t xml:space="preserve">. </w:t>
      </w:r>
    </w:p>
  </w:footnote>
  <w:footnote w:id="44">
    <w:p w14:paraId="7EEBC9B2" w14:textId="77777777" w:rsidR="004C7832" w:rsidRDefault="004C7832" w:rsidP="00080625">
      <w:pPr>
        <w:pStyle w:val="Body"/>
      </w:pPr>
      <w:r w:rsidRPr="007E3326">
        <w:rPr>
          <w:sz w:val="20"/>
          <w:szCs w:val="20"/>
          <w:vertAlign w:val="superscript"/>
        </w:rPr>
        <w:footnoteRef/>
      </w:r>
      <w:r w:rsidRPr="007E3326">
        <w:rPr>
          <w:sz w:val="20"/>
          <w:szCs w:val="20"/>
        </w:rPr>
        <w:t xml:space="preserve"> </w:t>
      </w:r>
      <w:r>
        <w:rPr>
          <w:sz w:val="20"/>
          <w:szCs w:val="20"/>
        </w:rPr>
        <w:t xml:space="preserve">Rauhvargers, Andrejs and Agnese Rusakova (2010).  </w:t>
      </w:r>
      <w:r>
        <w:rPr>
          <w:i/>
          <w:iCs/>
          <w:sz w:val="20"/>
          <w:szCs w:val="20"/>
        </w:rPr>
        <w:t>Improving recognition in the European Higher Education Area: an analysis of national action plans</w:t>
      </w:r>
      <w:r>
        <w:rPr>
          <w:rFonts w:ascii="Times New Roman Bold"/>
          <w:sz w:val="20"/>
          <w:szCs w:val="20"/>
        </w:rPr>
        <w:t xml:space="preserve"> </w:t>
      </w:r>
      <w:r>
        <w:rPr>
          <w:sz w:val="20"/>
          <w:szCs w:val="20"/>
        </w:rPr>
        <w:t>Strasbourg Council of Europe Publishing Council of Europe higher education series no.12</w:t>
      </w:r>
    </w:p>
  </w:footnote>
  <w:footnote w:id="45">
    <w:p w14:paraId="36A5B16B" w14:textId="77777777" w:rsidR="004C7832" w:rsidRPr="00061E43" w:rsidRDefault="004C7832" w:rsidP="006912F7">
      <w:pPr>
        <w:pStyle w:val="FootnoteText"/>
        <w:jc w:val="both"/>
        <w:rPr>
          <w:lang w:val="en-CA"/>
        </w:rPr>
      </w:pPr>
      <w:r w:rsidRPr="00061E43">
        <w:rPr>
          <w:rStyle w:val="FootnoteReference"/>
        </w:rPr>
        <w:footnoteRef/>
      </w:r>
      <w:r w:rsidRPr="00061E43">
        <w:t xml:space="preserve"> Armenia, Austria, Belgium (Flemish Community), Germany, France, Hungary, Italy, Lithuania, Moldova, Netherlands, Norway, Sweden, Ukraine and the United Kingdom</w:t>
      </w:r>
      <w:r>
        <w:t xml:space="preserve">; </w:t>
      </w:r>
      <w:r w:rsidRPr="00061E43">
        <w:t>ENQA, ESU, EUA and EURASHE</w:t>
      </w:r>
    </w:p>
  </w:footnote>
  <w:footnote w:id="46">
    <w:p w14:paraId="0D94242D" w14:textId="77777777" w:rsidR="004C7832" w:rsidRPr="001D69E6" w:rsidRDefault="004C7832" w:rsidP="00B40521">
      <w:pPr>
        <w:pStyle w:val="FootnoteText"/>
      </w:pPr>
      <w:r w:rsidRPr="001D69E6">
        <w:rPr>
          <w:rStyle w:val="FootnoteReference"/>
        </w:rPr>
        <w:footnoteRef/>
      </w:r>
      <w:r w:rsidRPr="001D69E6">
        <w:t xml:space="preserve"> The term refers to standard</w:t>
      </w:r>
      <w:r>
        <w:t xml:space="preserve"> PhD programs as well </w:t>
      </w:r>
      <w:r w:rsidRPr="001D69E6">
        <w:t xml:space="preserve">as Doctor </w:t>
      </w:r>
      <w:r>
        <w:t>of</w:t>
      </w:r>
      <w:r w:rsidRPr="001D69E6">
        <w:t xml:space="preserve"> Science</w:t>
      </w:r>
      <w:r>
        <w:t xml:space="preserve"> Degree</w:t>
      </w:r>
      <w:r w:rsidRPr="001D69E6">
        <w:t xml:space="preserve">, where </w:t>
      </w:r>
      <w:r>
        <w:t>applicable.</w:t>
      </w:r>
    </w:p>
  </w:footnote>
  <w:footnote w:id="47">
    <w:p w14:paraId="073C7EB6" w14:textId="77777777" w:rsidR="004C7832" w:rsidRPr="001D69E6" w:rsidRDefault="004C7832" w:rsidP="00B40521">
      <w:pPr>
        <w:pStyle w:val="FootnoteText"/>
      </w:pPr>
      <w:r w:rsidRPr="001D69E6">
        <w:rPr>
          <w:rStyle w:val="FootnoteReference"/>
        </w:rPr>
        <w:footnoteRef/>
      </w:r>
      <w:r w:rsidRPr="001D69E6">
        <w:t xml:space="preserve"> The term refers to standard</w:t>
      </w:r>
      <w:r>
        <w:t xml:space="preserve"> PhD programs as well </w:t>
      </w:r>
      <w:r w:rsidRPr="001D69E6">
        <w:t xml:space="preserve">as Doctor </w:t>
      </w:r>
      <w:r>
        <w:t>of</w:t>
      </w:r>
      <w:r w:rsidRPr="001D69E6">
        <w:t xml:space="preserve"> Science</w:t>
      </w:r>
      <w:r>
        <w:t xml:space="preserve"> Degree</w:t>
      </w:r>
      <w:r w:rsidRPr="001D69E6">
        <w:t xml:space="preserve">, where </w:t>
      </w:r>
      <w:r>
        <w:t>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797380171"/>
      <w:docPartObj>
        <w:docPartGallery w:val="Page Numbers (Top of Page)"/>
        <w:docPartUnique/>
      </w:docPartObj>
    </w:sdtPr>
    <w:sdtEndPr>
      <w:rPr>
        <w:b/>
        <w:bCs/>
        <w:noProof/>
        <w:color w:val="auto"/>
        <w:spacing w:val="0"/>
      </w:rPr>
    </w:sdtEndPr>
    <w:sdtContent>
      <w:p w14:paraId="43B9F01D" w14:textId="77777777" w:rsidR="004C7832" w:rsidRDefault="004C7832">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DA6922" w:rsidRPr="00DA6922">
          <w:rPr>
            <w:b/>
            <w:bCs/>
            <w:noProof/>
          </w:rPr>
          <w:t>1</w:t>
        </w:r>
        <w:r>
          <w:rPr>
            <w:b/>
            <w:bCs/>
            <w:noProof/>
          </w:rPr>
          <w:fldChar w:fldCharType="end"/>
        </w:r>
      </w:p>
    </w:sdtContent>
  </w:sdt>
  <w:p w14:paraId="4F3D50EA" w14:textId="77777777" w:rsidR="004C7832" w:rsidRDefault="004C7832">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0"/>
        </w:tabs>
        <w:ind w:left="720" w:hanging="360"/>
      </w:pPr>
      <w:rPr>
        <w:rFonts w:ascii="Symbol" w:hAnsi="Symbol" w:cs="Symbol" w:hint="default"/>
        <w:sz w:val="24"/>
        <w:szCs w:val="24"/>
        <w:lang w:val="en-US"/>
      </w:rPr>
    </w:lvl>
  </w:abstractNum>
  <w:abstractNum w:abstractNumId="2">
    <w:nsid w:val="000A3F73"/>
    <w:multiLevelType w:val="hybridMultilevel"/>
    <w:tmpl w:val="AD6A2A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0C77574"/>
    <w:multiLevelType w:val="hybridMultilevel"/>
    <w:tmpl w:val="6C8251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99771E"/>
    <w:multiLevelType w:val="multilevel"/>
    <w:tmpl w:val="ECA072E6"/>
    <w:styleLink w:val="List12"/>
    <w:lvl w:ilvl="0">
      <w:start w:val="3"/>
      <w:numFmt w:val="upperRoman"/>
      <w:lvlText w:val="%1."/>
      <w:lvlJc w:val="left"/>
      <w:pPr>
        <w:tabs>
          <w:tab w:val="num" w:pos="993"/>
        </w:tabs>
        <w:ind w:left="993" w:hanging="993"/>
      </w:pPr>
      <w:rPr>
        <w:rFonts w:ascii="Times New Roman Bold" w:eastAsia="Times New Roman Bold" w:hAnsi="Times New Roman Bold" w:cs="Times New Roman Bold"/>
        <w:position w:val="0"/>
        <w:sz w:val="32"/>
        <w:szCs w:val="32"/>
      </w:rPr>
    </w:lvl>
    <w:lvl w:ilvl="1">
      <w:start w:val="1"/>
      <w:numFmt w:val="lowerLetter"/>
      <w:lvlText w:val="%2."/>
      <w:lvlJc w:val="left"/>
      <w:pPr>
        <w:tabs>
          <w:tab w:val="num" w:pos="1560"/>
        </w:tabs>
        <w:ind w:left="1560" w:hanging="480"/>
      </w:pPr>
      <w:rPr>
        <w:rFonts w:ascii="Times New Roman Bold" w:eastAsia="Times New Roman Bold" w:hAnsi="Times New Roman Bold" w:cs="Times New Roman Bold"/>
        <w:position w:val="0"/>
        <w:sz w:val="32"/>
        <w:szCs w:val="32"/>
      </w:rPr>
    </w:lvl>
    <w:lvl w:ilvl="2">
      <w:start w:val="1"/>
      <w:numFmt w:val="lowerRoman"/>
      <w:lvlText w:val="%3."/>
      <w:lvlJc w:val="left"/>
      <w:pPr>
        <w:tabs>
          <w:tab w:val="num" w:pos="2259"/>
        </w:tabs>
        <w:ind w:left="2259" w:hanging="395"/>
      </w:pPr>
      <w:rPr>
        <w:rFonts w:ascii="Times New Roman Bold" w:eastAsia="Times New Roman Bold" w:hAnsi="Times New Roman Bold" w:cs="Times New Roman Bold"/>
        <w:position w:val="0"/>
        <w:sz w:val="32"/>
        <w:szCs w:val="32"/>
      </w:rPr>
    </w:lvl>
    <w:lvl w:ilvl="3">
      <w:start w:val="1"/>
      <w:numFmt w:val="decimal"/>
      <w:lvlText w:val="%4."/>
      <w:lvlJc w:val="left"/>
      <w:pPr>
        <w:tabs>
          <w:tab w:val="num" w:pos="3000"/>
        </w:tabs>
        <w:ind w:left="3000" w:hanging="480"/>
      </w:pPr>
      <w:rPr>
        <w:rFonts w:ascii="Times New Roman Bold" w:eastAsia="Times New Roman Bold" w:hAnsi="Times New Roman Bold" w:cs="Times New Roman Bold"/>
        <w:position w:val="0"/>
        <w:sz w:val="32"/>
        <w:szCs w:val="32"/>
      </w:rPr>
    </w:lvl>
    <w:lvl w:ilvl="4">
      <w:start w:val="1"/>
      <w:numFmt w:val="lowerLetter"/>
      <w:lvlText w:val="%5."/>
      <w:lvlJc w:val="left"/>
      <w:pPr>
        <w:tabs>
          <w:tab w:val="num" w:pos="3720"/>
        </w:tabs>
        <w:ind w:left="3720" w:hanging="480"/>
      </w:pPr>
      <w:rPr>
        <w:rFonts w:ascii="Times New Roman Bold" w:eastAsia="Times New Roman Bold" w:hAnsi="Times New Roman Bold" w:cs="Times New Roman Bold"/>
        <w:position w:val="0"/>
        <w:sz w:val="32"/>
        <w:szCs w:val="32"/>
      </w:rPr>
    </w:lvl>
    <w:lvl w:ilvl="5">
      <w:start w:val="1"/>
      <w:numFmt w:val="lowerRoman"/>
      <w:lvlText w:val="%6."/>
      <w:lvlJc w:val="left"/>
      <w:pPr>
        <w:tabs>
          <w:tab w:val="num" w:pos="4419"/>
        </w:tabs>
        <w:ind w:left="4419" w:hanging="395"/>
      </w:pPr>
      <w:rPr>
        <w:rFonts w:ascii="Times New Roman Bold" w:eastAsia="Times New Roman Bold" w:hAnsi="Times New Roman Bold" w:cs="Times New Roman Bold"/>
        <w:position w:val="0"/>
        <w:sz w:val="32"/>
        <w:szCs w:val="32"/>
      </w:rPr>
    </w:lvl>
    <w:lvl w:ilvl="6">
      <w:start w:val="1"/>
      <w:numFmt w:val="decimal"/>
      <w:lvlText w:val="%7."/>
      <w:lvlJc w:val="left"/>
      <w:pPr>
        <w:tabs>
          <w:tab w:val="num" w:pos="5160"/>
        </w:tabs>
        <w:ind w:left="5160" w:hanging="480"/>
      </w:pPr>
      <w:rPr>
        <w:rFonts w:ascii="Times New Roman Bold" w:eastAsia="Times New Roman Bold" w:hAnsi="Times New Roman Bold" w:cs="Times New Roman Bold"/>
        <w:position w:val="0"/>
        <w:sz w:val="32"/>
        <w:szCs w:val="32"/>
      </w:rPr>
    </w:lvl>
    <w:lvl w:ilvl="7">
      <w:start w:val="1"/>
      <w:numFmt w:val="lowerLetter"/>
      <w:lvlText w:val="%8."/>
      <w:lvlJc w:val="left"/>
      <w:pPr>
        <w:tabs>
          <w:tab w:val="num" w:pos="5880"/>
        </w:tabs>
        <w:ind w:left="5880" w:hanging="480"/>
      </w:pPr>
      <w:rPr>
        <w:rFonts w:ascii="Times New Roman Bold" w:eastAsia="Times New Roman Bold" w:hAnsi="Times New Roman Bold" w:cs="Times New Roman Bold"/>
        <w:position w:val="0"/>
        <w:sz w:val="32"/>
        <w:szCs w:val="32"/>
      </w:rPr>
    </w:lvl>
    <w:lvl w:ilvl="8">
      <w:start w:val="1"/>
      <w:numFmt w:val="lowerRoman"/>
      <w:lvlText w:val="%9."/>
      <w:lvlJc w:val="left"/>
      <w:pPr>
        <w:tabs>
          <w:tab w:val="num" w:pos="6579"/>
        </w:tabs>
        <w:ind w:left="6579" w:hanging="395"/>
      </w:pPr>
      <w:rPr>
        <w:rFonts w:ascii="Times New Roman Bold" w:eastAsia="Times New Roman Bold" w:hAnsi="Times New Roman Bold" w:cs="Times New Roman Bold"/>
        <w:position w:val="0"/>
        <w:sz w:val="32"/>
        <w:szCs w:val="32"/>
      </w:rPr>
    </w:lvl>
  </w:abstractNum>
  <w:abstractNum w:abstractNumId="5">
    <w:nsid w:val="02BE55D5"/>
    <w:multiLevelType w:val="multilevel"/>
    <w:tmpl w:val="6E0C3D98"/>
    <w:styleLink w:val="List23"/>
    <w:lvl w:ilvl="0">
      <w:start w:val="14"/>
      <w:numFmt w:val="decimal"/>
      <w:lvlText w:val="%1."/>
      <w:lvlJc w:val="left"/>
      <w:pPr>
        <w:tabs>
          <w:tab w:val="num" w:pos="1211"/>
        </w:tabs>
        <w:ind w:left="1211" w:hanging="360"/>
      </w:pPr>
      <w:rPr>
        <w:position w:val="0"/>
        <w:sz w:val="20"/>
        <w:szCs w:val="20"/>
        <w:rtl w:val="0"/>
      </w:rPr>
    </w:lvl>
    <w:lvl w:ilvl="1">
      <w:start w:val="1"/>
      <w:numFmt w:val="lowerLetter"/>
      <w:lvlText w:val="%2."/>
      <w:lvlJc w:val="left"/>
      <w:pPr>
        <w:tabs>
          <w:tab w:val="num" w:pos="1871"/>
        </w:tabs>
        <w:ind w:left="1871" w:hanging="300"/>
      </w:pPr>
      <w:rPr>
        <w:position w:val="0"/>
        <w:sz w:val="20"/>
        <w:szCs w:val="20"/>
        <w:rtl w:val="0"/>
      </w:rPr>
    </w:lvl>
    <w:lvl w:ilvl="2">
      <w:start w:val="1"/>
      <w:numFmt w:val="lowerRoman"/>
      <w:lvlText w:val="%3."/>
      <w:lvlJc w:val="left"/>
      <w:pPr>
        <w:tabs>
          <w:tab w:val="num" w:pos="2602"/>
        </w:tabs>
        <w:ind w:left="2602" w:hanging="247"/>
      </w:pPr>
      <w:rPr>
        <w:position w:val="0"/>
        <w:sz w:val="20"/>
        <w:szCs w:val="20"/>
        <w:rtl w:val="0"/>
      </w:rPr>
    </w:lvl>
    <w:lvl w:ilvl="3">
      <w:start w:val="1"/>
      <w:numFmt w:val="decimal"/>
      <w:lvlText w:val="%4."/>
      <w:lvlJc w:val="left"/>
      <w:pPr>
        <w:tabs>
          <w:tab w:val="num" w:pos="3311"/>
        </w:tabs>
        <w:ind w:left="3311" w:hanging="300"/>
      </w:pPr>
      <w:rPr>
        <w:position w:val="0"/>
        <w:sz w:val="20"/>
        <w:szCs w:val="20"/>
        <w:rtl w:val="0"/>
      </w:rPr>
    </w:lvl>
    <w:lvl w:ilvl="4">
      <w:start w:val="1"/>
      <w:numFmt w:val="lowerLetter"/>
      <w:lvlText w:val="%5."/>
      <w:lvlJc w:val="left"/>
      <w:pPr>
        <w:tabs>
          <w:tab w:val="num" w:pos="4031"/>
        </w:tabs>
        <w:ind w:left="4031" w:hanging="300"/>
      </w:pPr>
      <w:rPr>
        <w:position w:val="0"/>
        <w:sz w:val="20"/>
        <w:szCs w:val="20"/>
        <w:rtl w:val="0"/>
      </w:rPr>
    </w:lvl>
    <w:lvl w:ilvl="5">
      <w:start w:val="1"/>
      <w:numFmt w:val="lowerRoman"/>
      <w:lvlText w:val="%6."/>
      <w:lvlJc w:val="left"/>
      <w:pPr>
        <w:tabs>
          <w:tab w:val="num" w:pos="4762"/>
        </w:tabs>
        <w:ind w:left="4762" w:hanging="247"/>
      </w:pPr>
      <w:rPr>
        <w:position w:val="0"/>
        <w:sz w:val="20"/>
        <w:szCs w:val="20"/>
        <w:rtl w:val="0"/>
      </w:rPr>
    </w:lvl>
    <w:lvl w:ilvl="6">
      <w:start w:val="1"/>
      <w:numFmt w:val="decimal"/>
      <w:lvlText w:val="%7."/>
      <w:lvlJc w:val="left"/>
      <w:pPr>
        <w:tabs>
          <w:tab w:val="num" w:pos="5471"/>
        </w:tabs>
        <w:ind w:left="5471" w:hanging="300"/>
      </w:pPr>
      <w:rPr>
        <w:position w:val="0"/>
        <w:sz w:val="20"/>
        <w:szCs w:val="20"/>
        <w:rtl w:val="0"/>
      </w:rPr>
    </w:lvl>
    <w:lvl w:ilvl="7">
      <w:start w:val="1"/>
      <w:numFmt w:val="lowerLetter"/>
      <w:lvlText w:val="%8."/>
      <w:lvlJc w:val="left"/>
      <w:pPr>
        <w:tabs>
          <w:tab w:val="num" w:pos="6191"/>
        </w:tabs>
        <w:ind w:left="6191" w:hanging="300"/>
      </w:pPr>
      <w:rPr>
        <w:position w:val="0"/>
        <w:sz w:val="20"/>
        <w:szCs w:val="20"/>
        <w:rtl w:val="0"/>
      </w:rPr>
    </w:lvl>
    <w:lvl w:ilvl="8">
      <w:start w:val="1"/>
      <w:numFmt w:val="lowerRoman"/>
      <w:lvlText w:val="%9."/>
      <w:lvlJc w:val="left"/>
      <w:pPr>
        <w:tabs>
          <w:tab w:val="num" w:pos="6922"/>
        </w:tabs>
        <w:ind w:left="6922" w:hanging="247"/>
      </w:pPr>
      <w:rPr>
        <w:position w:val="0"/>
        <w:sz w:val="20"/>
        <w:szCs w:val="20"/>
        <w:rtl w:val="0"/>
      </w:rPr>
    </w:lvl>
  </w:abstractNum>
  <w:abstractNum w:abstractNumId="6">
    <w:nsid w:val="04AF6321"/>
    <w:multiLevelType w:val="multilevel"/>
    <w:tmpl w:val="7098E78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07306BDA"/>
    <w:multiLevelType w:val="multilevel"/>
    <w:tmpl w:val="90BADC2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08514613"/>
    <w:multiLevelType w:val="multilevel"/>
    <w:tmpl w:val="5C16297A"/>
    <w:lvl w:ilvl="0">
      <w:start w:val="1"/>
      <w:numFmt w:val="bullet"/>
      <w:lvlText w:val=""/>
      <w:lvlJc w:val="left"/>
      <w:rPr>
        <w:rFonts w:ascii="Symbol" w:hAnsi="Symbol" w:hint="default"/>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
    <w:nsid w:val="08625669"/>
    <w:multiLevelType w:val="multilevel"/>
    <w:tmpl w:val="9D7AD51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nsid w:val="097A41BC"/>
    <w:multiLevelType w:val="multilevel"/>
    <w:tmpl w:val="0BE0E07A"/>
    <w:styleLink w:val="List2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
    <w:nsid w:val="09890C1F"/>
    <w:multiLevelType w:val="multilevel"/>
    <w:tmpl w:val="61CC3FA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
    <w:nsid w:val="0A842B1C"/>
    <w:multiLevelType w:val="hybridMultilevel"/>
    <w:tmpl w:val="6DE08D6A"/>
    <w:lvl w:ilvl="0" w:tplc="64CA32DC">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AF62355"/>
    <w:multiLevelType w:val="multilevel"/>
    <w:tmpl w:val="6A04B588"/>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
    <w:nsid w:val="0C5D789E"/>
    <w:multiLevelType w:val="multilevel"/>
    <w:tmpl w:val="2DEC0434"/>
    <w:styleLink w:val="List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
    <w:nsid w:val="0C7B7BEB"/>
    <w:multiLevelType w:val="multilevel"/>
    <w:tmpl w:val="90C084DC"/>
    <w:styleLink w:val="List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nsid w:val="0FEF7328"/>
    <w:multiLevelType w:val="hybridMultilevel"/>
    <w:tmpl w:val="C85CE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F42510"/>
    <w:multiLevelType w:val="multilevel"/>
    <w:tmpl w:val="FB2C659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
    <w:nsid w:val="150E7EAB"/>
    <w:multiLevelType w:val="multilevel"/>
    <w:tmpl w:val="544C7C9C"/>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19">
    <w:nsid w:val="15396648"/>
    <w:multiLevelType w:val="hybridMultilevel"/>
    <w:tmpl w:val="291A4040"/>
    <w:lvl w:ilvl="0" w:tplc="0409000B">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58365C7"/>
    <w:multiLevelType w:val="multilevel"/>
    <w:tmpl w:val="B19E726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
    <w:nsid w:val="16043C94"/>
    <w:multiLevelType w:val="hybridMultilevel"/>
    <w:tmpl w:val="809C5E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114F1A"/>
    <w:multiLevelType w:val="multilevel"/>
    <w:tmpl w:val="B516A7A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
    <w:nsid w:val="163A7495"/>
    <w:multiLevelType w:val="multilevel"/>
    <w:tmpl w:val="A4B67F8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4">
    <w:nsid w:val="168E70A1"/>
    <w:multiLevelType w:val="hybridMultilevel"/>
    <w:tmpl w:val="3D5C68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95D42F9"/>
    <w:multiLevelType w:val="hybridMultilevel"/>
    <w:tmpl w:val="36DC0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9CC6C39"/>
    <w:multiLevelType w:val="hybridMultilevel"/>
    <w:tmpl w:val="43A6CA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A531597"/>
    <w:multiLevelType w:val="hybridMultilevel"/>
    <w:tmpl w:val="9B7C6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1ACE1304"/>
    <w:multiLevelType w:val="multilevel"/>
    <w:tmpl w:val="6884226C"/>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29">
    <w:nsid w:val="1B577E7A"/>
    <w:multiLevelType w:val="multilevel"/>
    <w:tmpl w:val="B322BA22"/>
    <w:styleLink w:val="List1"/>
    <w:lvl w:ilvl="0">
      <w:start w:val="1"/>
      <w:numFmt w:val="upperRoman"/>
      <w:lvlText w:val="%1."/>
      <w:lvlJc w:val="left"/>
      <w:pPr>
        <w:tabs>
          <w:tab w:val="num" w:pos="1080"/>
        </w:tabs>
        <w:ind w:left="1080" w:hanging="720"/>
      </w:pPr>
      <w:rPr>
        <w:rFonts w:ascii="Times New Roman Bold" w:eastAsia="Times New Roman Bold" w:hAnsi="Times New Roman Bold" w:cs="Times New Roman Bold"/>
        <w:position w:val="0"/>
        <w:sz w:val="32"/>
        <w:szCs w:val="32"/>
      </w:rPr>
    </w:lvl>
    <w:lvl w:ilvl="1">
      <w:start w:val="1"/>
      <w:numFmt w:val="lowerLetter"/>
      <w:lvlText w:val="%2."/>
      <w:lvlJc w:val="left"/>
      <w:pPr>
        <w:tabs>
          <w:tab w:val="num" w:pos="1560"/>
        </w:tabs>
        <w:ind w:left="1560" w:hanging="480"/>
      </w:pPr>
      <w:rPr>
        <w:rFonts w:ascii="Times New Roman Bold" w:eastAsia="Times New Roman Bold" w:hAnsi="Times New Roman Bold" w:cs="Times New Roman Bold"/>
        <w:position w:val="0"/>
        <w:sz w:val="32"/>
        <w:szCs w:val="32"/>
      </w:rPr>
    </w:lvl>
    <w:lvl w:ilvl="2">
      <w:start w:val="1"/>
      <w:numFmt w:val="lowerRoman"/>
      <w:lvlText w:val="%3."/>
      <w:lvlJc w:val="left"/>
      <w:pPr>
        <w:tabs>
          <w:tab w:val="num" w:pos="2259"/>
        </w:tabs>
        <w:ind w:left="2259" w:hanging="395"/>
      </w:pPr>
      <w:rPr>
        <w:rFonts w:ascii="Times New Roman Bold" w:eastAsia="Times New Roman Bold" w:hAnsi="Times New Roman Bold" w:cs="Times New Roman Bold"/>
        <w:position w:val="0"/>
        <w:sz w:val="32"/>
        <w:szCs w:val="32"/>
      </w:rPr>
    </w:lvl>
    <w:lvl w:ilvl="3">
      <w:start w:val="1"/>
      <w:numFmt w:val="decimal"/>
      <w:lvlText w:val="%4."/>
      <w:lvlJc w:val="left"/>
      <w:pPr>
        <w:tabs>
          <w:tab w:val="num" w:pos="3000"/>
        </w:tabs>
        <w:ind w:left="3000" w:hanging="480"/>
      </w:pPr>
      <w:rPr>
        <w:rFonts w:ascii="Times New Roman Bold" w:eastAsia="Times New Roman Bold" w:hAnsi="Times New Roman Bold" w:cs="Times New Roman Bold"/>
        <w:position w:val="0"/>
        <w:sz w:val="32"/>
        <w:szCs w:val="32"/>
      </w:rPr>
    </w:lvl>
    <w:lvl w:ilvl="4">
      <w:start w:val="1"/>
      <w:numFmt w:val="lowerLetter"/>
      <w:lvlText w:val="%5."/>
      <w:lvlJc w:val="left"/>
      <w:pPr>
        <w:tabs>
          <w:tab w:val="num" w:pos="3720"/>
        </w:tabs>
        <w:ind w:left="3720" w:hanging="480"/>
      </w:pPr>
      <w:rPr>
        <w:rFonts w:ascii="Times New Roman Bold" w:eastAsia="Times New Roman Bold" w:hAnsi="Times New Roman Bold" w:cs="Times New Roman Bold"/>
        <w:position w:val="0"/>
        <w:sz w:val="32"/>
        <w:szCs w:val="32"/>
      </w:rPr>
    </w:lvl>
    <w:lvl w:ilvl="5">
      <w:start w:val="1"/>
      <w:numFmt w:val="lowerRoman"/>
      <w:lvlText w:val="%6."/>
      <w:lvlJc w:val="left"/>
      <w:pPr>
        <w:tabs>
          <w:tab w:val="num" w:pos="4419"/>
        </w:tabs>
        <w:ind w:left="4419" w:hanging="395"/>
      </w:pPr>
      <w:rPr>
        <w:rFonts w:ascii="Times New Roman Bold" w:eastAsia="Times New Roman Bold" w:hAnsi="Times New Roman Bold" w:cs="Times New Roman Bold"/>
        <w:position w:val="0"/>
        <w:sz w:val="32"/>
        <w:szCs w:val="32"/>
      </w:rPr>
    </w:lvl>
    <w:lvl w:ilvl="6">
      <w:start w:val="1"/>
      <w:numFmt w:val="decimal"/>
      <w:lvlText w:val="%7."/>
      <w:lvlJc w:val="left"/>
      <w:pPr>
        <w:tabs>
          <w:tab w:val="num" w:pos="5160"/>
        </w:tabs>
        <w:ind w:left="5160" w:hanging="480"/>
      </w:pPr>
      <w:rPr>
        <w:rFonts w:ascii="Times New Roman Bold" w:eastAsia="Times New Roman Bold" w:hAnsi="Times New Roman Bold" w:cs="Times New Roman Bold"/>
        <w:position w:val="0"/>
        <w:sz w:val="32"/>
        <w:szCs w:val="32"/>
      </w:rPr>
    </w:lvl>
    <w:lvl w:ilvl="7">
      <w:start w:val="1"/>
      <w:numFmt w:val="lowerLetter"/>
      <w:lvlText w:val="%8."/>
      <w:lvlJc w:val="left"/>
      <w:pPr>
        <w:tabs>
          <w:tab w:val="num" w:pos="5880"/>
        </w:tabs>
        <w:ind w:left="5880" w:hanging="480"/>
      </w:pPr>
      <w:rPr>
        <w:rFonts w:ascii="Times New Roman Bold" w:eastAsia="Times New Roman Bold" w:hAnsi="Times New Roman Bold" w:cs="Times New Roman Bold"/>
        <w:position w:val="0"/>
        <w:sz w:val="32"/>
        <w:szCs w:val="32"/>
      </w:rPr>
    </w:lvl>
    <w:lvl w:ilvl="8">
      <w:start w:val="1"/>
      <w:numFmt w:val="lowerRoman"/>
      <w:lvlText w:val="%9."/>
      <w:lvlJc w:val="left"/>
      <w:pPr>
        <w:tabs>
          <w:tab w:val="num" w:pos="6579"/>
        </w:tabs>
        <w:ind w:left="6579" w:hanging="395"/>
      </w:pPr>
      <w:rPr>
        <w:rFonts w:ascii="Times New Roman Bold" w:eastAsia="Times New Roman Bold" w:hAnsi="Times New Roman Bold" w:cs="Times New Roman Bold"/>
        <w:position w:val="0"/>
        <w:sz w:val="32"/>
        <w:szCs w:val="32"/>
      </w:rPr>
    </w:lvl>
  </w:abstractNum>
  <w:abstractNum w:abstractNumId="30">
    <w:nsid w:val="1BB349C1"/>
    <w:multiLevelType w:val="multilevel"/>
    <w:tmpl w:val="8EEEAD6A"/>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1">
    <w:nsid w:val="1C063F1D"/>
    <w:multiLevelType w:val="hybridMultilevel"/>
    <w:tmpl w:val="F466A2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D5B584A"/>
    <w:multiLevelType w:val="hybridMultilevel"/>
    <w:tmpl w:val="BA4475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E696788"/>
    <w:multiLevelType w:val="hybridMultilevel"/>
    <w:tmpl w:val="483A2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15B5A15"/>
    <w:multiLevelType w:val="hybridMultilevel"/>
    <w:tmpl w:val="218E860A"/>
    <w:lvl w:ilvl="0" w:tplc="04090011">
      <w:start w:val="1"/>
      <w:numFmt w:val="decimal"/>
      <w:lvlText w:val="%1)"/>
      <w:lvlJc w:val="left"/>
      <w:pPr>
        <w:tabs>
          <w:tab w:val="num" w:pos="1080"/>
        </w:tabs>
        <w:ind w:left="108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21B96450"/>
    <w:multiLevelType w:val="hybridMultilevel"/>
    <w:tmpl w:val="2244F3FA"/>
    <w:lvl w:ilvl="0" w:tplc="04090017">
      <w:start w:val="1"/>
      <w:numFmt w:val="lowerLetter"/>
      <w:lvlText w:val="%1)"/>
      <w:lvlJc w:val="left"/>
      <w:pPr>
        <w:ind w:left="502" w:hanging="360"/>
      </w:p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6">
    <w:nsid w:val="22210F45"/>
    <w:multiLevelType w:val="multilevel"/>
    <w:tmpl w:val="E1FACDE0"/>
    <w:styleLink w:val="List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7">
    <w:nsid w:val="22F11F27"/>
    <w:multiLevelType w:val="hybridMultilevel"/>
    <w:tmpl w:val="C2861596"/>
    <w:lvl w:ilvl="0" w:tplc="04090011">
      <w:start w:val="1"/>
      <w:numFmt w:val="decimal"/>
      <w:lvlText w:val="%1)"/>
      <w:lvlJc w:val="left"/>
      <w:pPr>
        <w:tabs>
          <w:tab w:val="num" w:pos="1211"/>
        </w:tabs>
        <w:ind w:left="1211"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23F3527D"/>
    <w:multiLevelType w:val="multilevel"/>
    <w:tmpl w:val="773CC0F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9">
    <w:nsid w:val="243A7531"/>
    <w:multiLevelType w:val="multilevel"/>
    <w:tmpl w:val="578AD1F2"/>
    <w:styleLink w:val="List26"/>
    <w:lvl w:ilvl="0">
      <w:numFmt w:val="bullet"/>
      <w:lvlText w:val="•"/>
      <w:lvlJc w:val="left"/>
      <w:pPr>
        <w:tabs>
          <w:tab w:val="num" w:pos="720"/>
        </w:tabs>
        <w:ind w:left="720" w:hanging="360"/>
      </w:pPr>
      <w:rPr>
        <w:i/>
        <w:iCs/>
        <w:position w:val="0"/>
        <w:sz w:val="22"/>
        <w:szCs w:val="22"/>
        <w:lang w:val="en-US"/>
      </w:rPr>
    </w:lvl>
    <w:lvl w:ilvl="1">
      <w:start w:val="1"/>
      <w:numFmt w:val="bullet"/>
      <w:lvlText w:val="o"/>
      <w:lvlJc w:val="left"/>
      <w:pPr>
        <w:tabs>
          <w:tab w:val="num" w:pos="1440"/>
        </w:tabs>
        <w:ind w:left="1440" w:hanging="360"/>
      </w:pPr>
      <w:rPr>
        <w:i/>
        <w:iCs/>
        <w:position w:val="0"/>
        <w:sz w:val="24"/>
        <w:szCs w:val="24"/>
        <w:lang w:val="en-US"/>
      </w:rPr>
    </w:lvl>
    <w:lvl w:ilvl="2">
      <w:start w:val="1"/>
      <w:numFmt w:val="bullet"/>
      <w:lvlText w:val="▪"/>
      <w:lvlJc w:val="left"/>
      <w:pPr>
        <w:tabs>
          <w:tab w:val="num" w:pos="2160"/>
        </w:tabs>
        <w:ind w:left="2160" w:hanging="360"/>
      </w:pPr>
      <w:rPr>
        <w:i/>
        <w:iCs/>
        <w:position w:val="0"/>
        <w:sz w:val="24"/>
        <w:szCs w:val="24"/>
        <w:lang w:val="en-US"/>
      </w:rPr>
    </w:lvl>
    <w:lvl w:ilvl="3">
      <w:start w:val="1"/>
      <w:numFmt w:val="bullet"/>
      <w:lvlText w:val="•"/>
      <w:lvlJc w:val="left"/>
      <w:pPr>
        <w:tabs>
          <w:tab w:val="num" w:pos="2880"/>
        </w:tabs>
        <w:ind w:left="2880" w:hanging="360"/>
      </w:pPr>
      <w:rPr>
        <w:i/>
        <w:iCs/>
        <w:position w:val="0"/>
        <w:sz w:val="24"/>
        <w:szCs w:val="24"/>
        <w:lang w:val="en-US"/>
      </w:rPr>
    </w:lvl>
    <w:lvl w:ilvl="4">
      <w:start w:val="1"/>
      <w:numFmt w:val="bullet"/>
      <w:lvlText w:val="o"/>
      <w:lvlJc w:val="left"/>
      <w:pPr>
        <w:tabs>
          <w:tab w:val="num" w:pos="3600"/>
        </w:tabs>
        <w:ind w:left="3600" w:hanging="360"/>
      </w:pPr>
      <w:rPr>
        <w:i/>
        <w:iCs/>
        <w:position w:val="0"/>
        <w:sz w:val="24"/>
        <w:szCs w:val="24"/>
        <w:lang w:val="en-US"/>
      </w:rPr>
    </w:lvl>
    <w:lvl w:ilvl="5">
      <w:start w:val="1"/>
      <w:numFmt w:val="bullet"/>
      <w:lvlText w:val="▪"/>
      <w:lvlJc w:val="left"/>
      <w:pPr>
        <w:tabs>
          <w:tab w:val="num" w:pos="4320"/>
        </w:tabs>
        <w:ind w:left="4320" w:hanging="360"/>
      </w:pPr>
      <w:rPr>
        <w:i/>
        <w:iCs/>
        <w:position w:val="0"/>
        <w:sz w:val="24"/>
        <w:szCs w:val="24"/>
        <w:lang w:val="en-US"/>
      </w:rPr>
    </w:lvl>
    <w:lvl w:ilvl="6">
      <w:start w:val="1"/>
      <w:numFmt w:val="bullet"/>
      <w:lvlText w:val="•"/>
      <w:lvlJc w:val="left"/>
      <w:pPr>
        <w:tabs>
          <w:tab w:val="num" w:pos="5040"/>
        </w:tabs>
        <w:ind w:left="5040" w:hanging="360"/>
      </w:pPr>
      <w:rPr>
        <w:i/>
        <w:iCs/>
        <w:position w:val="0"/>
        <w:sz w:val="24"/>
        <w:szCs w:val="24"/>
        <w:lang w:val="en-US"/>
      </w:rPr>
    </w:lvl>
    <w:lvl w:ilvl="7">
      <w:start w:val="1"/>
      <w:numFmt w:val="bullet"/>
      <w:lvlText w:val="o"/>
      <w:lvlJc w:val="left"/>
      <w:pPr>
        <w:tabs>
          <w:tab w:val="num" w:pos="5760"/>
        </w:tabs>
        <w:ind w:left="5760" w:hanging="360"/>
      </w:pPr>
      <w:rPr>
        <w:i/>
        <w:iCs/>
        <w:position w:val="0"/>
        <w:sz w:val="24"/>
        <w:szCs w:val="24"/>
        <w:lang w:val="en-US"/>
      </w:rPr>
    </w:lvl>
    <w:lvl w:ilvl="8">
      <w:start w:val="1"/>
      <w:numFmt w:val="bullet"/>
      <w:lvlText w:val="▪"/>
      <w:lvlJc w:val="left"/>
      <w:pPr>
        <w:tabs>
          <w:tab w:val="num" w:pos="6480"/>
        </w:tabs>
        <w:ind w:left="6480" w:hanging="360"/>
      </w:pPr>
      <w:rPr>
        <w:i/>
        <w:iCs/>
        <w:position w:val="0"/>
        <w:sz w:val="24"/>
        <w:szCs w:val="24"/>
        <w:lang w:val="en-US"/>
      </w:rPr>
    </w:lvl>
  </w:abstractNum>
  <w:abstractNum w:abstractNumId="40">
    <w:nsid w:val="262D3519"/>
    <w:multiLevelType w:val="multilevel"/>
    <w:tmpl w:val="FC66785E"/>
    <w:lvl w:ilvl="0">
      <w:start w:val="1"/>
      <w:numFmt w:val="bullet"/>
      <w:lvlText w:val=""/>
      <w:lvlJc w:val="left"/>
      <w:rPr>
        <w:rFonts w:ascii="Symbol" w:hAnsi="Symbol" w:hint="default"/>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1">
    <w:nsid w:val="29D16183"/>
    <w:multiLevelType w:val="multilevel"/>
    <w:tmpl w:val="4236989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2">
    <w:nsid w:val="2C0166EA"/>
    <w:multiLevelType w:val="hybridMultilevel"/>
    <w:tmpl w:val="6584EED4"/>
    <w:lvl w:ilvl="0" w:tplc="5C08FCA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2C196A58"/>
    <w:multiLevelType w:val="multilevel"/>
    <w:tmpl w:val="1D98DAFC"/>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44">
    <w:nsid w:val="2C2421B5"/>
    <w:multiLevelType w:val="multilevel"/>
    <w:tmpl w:val="63368AE6"/>
    <w:styleLink w:val="List13"/>
    <w:lvl w:ilvl="0">
      <w:start w:val="1"/>
      <w:numFmt w:val="bullet"/>
      <w:lvlText w:val=""/>
      <w:lvlJc w:val="left"/>
      <w:rPr>
        <w:rFonts w:ascii="Symbol" w:hAnsi="Symbol" w:hint="default"/>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5">
    <w:nsid w:val="2D0A07A7"/>
    <w:multiLevelType w:val="hybridMultilevel"/>
    <w:tmpl w:val="A9861B0A"/>
    <w:lvl w:ilvl="0" w:tplc="0409000B">
      <w:start w:val="1"/>
      <w:numFmt w:val="bullet"/>
      <w:lvlText w:val=""/>
      <w:lvlJc w:val="left"/>
      <w:pPr>
        <w:ind w:left="791" w:hanging="360"/>
      </w:pPr>
      <w:rPr>
        <w:rFonts w:ascii="Wingdings" w:hAnsi="Wingdings"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6">
    <w:nsid w:val="2ECB6B4C"/>
    <w:multiLevelType w:val="multilevel"/>
    <w:tmpl w:val="0A5E1B3C"/>
    <w:styleLink w:val="List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7">
    <w:nsid w:val="30223A3B"/>
    <w:multiLevelType w:val="multilevel"/>
    <w:tmpl w:val="498E37E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8">
    <w:nsid w:val="30944CD3"/>
    <w:multiLevelType w:val="multilevel"/>
    <w:tmpl w:val="203C2558"/>
    <w:styleLink w:val="List28"/>
    <w:lvl w:ilvl="0">
      <w:start w:val="5"/>
      <w:numFmt w:val="upperRoman"/>
      <w:lvlText w:val="%1."/>
      <w:lvlJc w:val="left"/>
      <w:rPr>
        <w:rFonts w:ascii="Times New Roman Bold" w:eastAsia="Times New Roman Bold" w:hAnsi="Times New Roman Bold" w:cs="Times New Roman Bold"/>
        <w:caps/>
        <w:position w:val="0"/>
      </w:rPr>
    </w:lvl>
    <w:lvl w:ilvl="1">
      <w:start w:val="1"/>
      <w:numFmt w:val="lowerLetter"/>
      <w:lvlText w:val="%2."/>
      <w:lvlJc w:val="left"/>
      <w:rPr>
        <w:rFonts w:ascii="Times New Roman Bold" w:eastAsia="Times New Roman Bold" w:hAnsi="Times New Roman Bold" w:cs="Times New Roman Bold"/>
        <w:caps/>
        <w:position w:val="0"/>
      </w:rPr>
    </w:lvl>
    <w:lvl w:ilvl="2">
      <w:start w:val="1"/>
      <w:numFmt w:val="lowerRoman"/>
      <w:lvlText w:val="%3."/>
      <w:lvlJc w:val="left"/>
      <w:rPr>
        <w:rFonts w:ascii="Times New Roman Bold" w:eastAsia="Times New Roman Bold" w:hAnsi="Times New Roman Bold" w:cs="Times New Roman Bold"/>
        <w:caps/>
        <w:position w:val="0"/>
      </w:rPr>
    </w:lvl>
    <w:lvl w:ilvl="3">
      <w:start w:val="1"/>
      <w:numFmt w:val="decimal"/>
      <w:lvlText w:val="%4."/>
      <w:lvlJc w:val="left"/>
      <w:rPr>
        <w:rFonts w:ascii="Times New Roman Bold" w:eastAsia="Times New Roman Bold" w:hAnsi="Times New Roman Bold" w:cs="Times New Roman Bold"/>
        <w:caps/>
        <w:position w:val="0"/>
      </w:rPr>
    </w:lvl>
    <w:lvl w:ilvl="4">
      <w:start w:val="1"/>
      <w:numFmt w:val="lowerLetter"/>
      <w:lvlText w:val="%5."/>
      <w:lvlJc w:val="left"/>
      <w:rPr>
        <w:rFonts w:ascii="Times New Roman Bold" w:eastAsia="Times New Roman Bold" w:hAnsi="Times New Roman Bold" w:cs="Times New Roman Bold"/>
        <w:caps/>
        <w:position w:val="0"/>
      </w:rPr>
    </w:lvl>
    <w:lvl w:ilvl="5">
      <w:start w:val="1"/>
      <w:numFmt w:val="lowerRoman"/>
      <w:lvlText w:val="%6."/>
      <w:lvlJc w:val="left"/>
      <w:rPr>
        <w:rFonts w:ascii="Times New Roman Bold" w:eastAsia="Times New Roman Bold" w:hAnsi="Times New Roman Bold" w:cs="Times New Roman Bold"/>
        <w:caps/>
        <w:position w:val="0"/>
      </w:rPr>
    </w:lvl>
    <w:lvl w:ilvl="6">
      <w:start w:val="1"/>
      <w:numFmt w:val="decimal"/>
      <w:lvlText w:val="%7."/>
      <w:lvlJc w:val="left"/>
      <w:rPr>
        <w:rFonts w:ascii="Times New Roman Bold" w:eastAsia="Times New Roman Bold" w:hAnsi="Times New Roman Bold" w:cs="Times New Roman Bold"/>
        <w:caps/>
        <w:position w:val="0"/>
      </w:rPr>
    </w:lvl>
    <w:lvl w:ilvl="7">
      <w:start w:val="1"/>
      <w:numFmt w:val="lowerLetter"/>
      <w:lvlText w:val="%8."/>
      <w:lvlJc w:val="left"/>
      <w:rPr>
        <w:rFonts w:ascii="Times New Roman Bold" w:eastAsia="Times New Roman Bold" w:hAnsi="Times New Roman Bold" w:cs="Times New Roman Bold"/>
        <w:caps/>
        <w:position w:val="0"/>
      </w:rPr>
    </w:lvl>
    <w:lvl w:ilvl="8">
      <w:start w:val="1"/>
      <w:numFmt w:val="lowerRoman"/>
      <w:lvlText w:val="%9."/>
      <w:lvlJc w:val="left"/>
      <w:rPr>
        <w:rFonts w:ascii="Times New Roman Bold" w:eastAsia="Times New Roman Bold" w:hAnsi="Times New Roman Bold" w:cs="Times New Roman Bold"/>
        <w:caps/>
        <w:position w:val="0"/>
      </w:rPr>
    </w:lvl>
  </w:abstractNum>
  <w:abstractNum w:abstractNumId="49">
    <w:nsid w:val="32CA3A4F"/>
    <w:multiLevelType w:val="multilevel"/>
    <w:tmpl w:val="41CA48A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0">
    <w:nsid w:val="32FF2018"/>
    <w:multiLevelType w:val="hybridMultilevel"/>
    <w:tmpl w:val="EE527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33434508"/>
    <w:multiLevelType w:val="hybridMultilevel"/>
    <w:tmpl w:val="1B1ED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33661181"/>
    <w:multiLevelType w:val="multilevel"/>
    <w:tmpl w:val="6B867380"/>
    <w:styleLink w:val="List1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3">
    <w:nsid w:val="33BD18A2"/>
    <w:multiLevelType w:val="hybridMultilevel"/>
    <w:tmpl w:val="7610D9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4DA56A7"/>
    <w:multiLevelType w:val="multilevel"/>
    <w:tmpl w:val="3496E05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5">
    <w:nsid w:val="35A52DD6"/>
    <w:multiLevelType w:val="multilevel"/>
    <w:tmpl w:val="73B6B02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6">
    <w:nsid w:val="3B392722"/>
    <w:multiLevelType w:val="multilevel"/>
    <w:tmpl w:val="ECB68AEE"/>
    <w:styleLink w:val="List2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7">
    <w:nsid w:val="3CEC6085"/>
    <w:multiLevelType w:val="multilevel"/>
    <w:tmpl w:val="28E6810C"/>
    <w:styleLink w:val="List24"/>
    <w:lvl w:ilvl="0">
      <w:numFmt w:val="bullet"/>
      <w:lvlText w:val="—"/>
      <w:lvlJc w:val="left"/>
      <w:pPr>
        <w:tabs>
          <w:tab w:val="num" w:pos="1134"/>
        </w:tabs>
        <w:ind w:left="1134" w:hanging="567"/>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58">
    <w:nsid w:val="3E07482B"/>
    <w:multiLevelType w:val="multilevel"/>
    <w:tmpl w:val="9740EC2A"/>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59">
    <w:nsid w:val="3EDD6EDA"/>
    <w:multiLevelType w:val="multilevel"/>
    <w:tmpl w:val="07742DF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0">
    <w:nsid w:val="3F7C3013"/>
    <w:multiLevelType w:val="hybridMultilevel"/>
    <w:tmpl w:val="091A8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FC23C93"/>
    <w:multiLevelType w:val="multilevel"/>
    <w:tmpl w:val="E50CA37A"/>
    <w:lvl w:ilvl="0">
      <w:start w:val="1"/>
      <w:numFmt w:val="bullet"/>
      <w:lvlText w:val=""/>
      <w:lvlJc w:val="left"/>
      <w:rPr>
        <w:rFonts w:ascii="Symbol" w:hAnsi="Symbol" w:hint="default"/>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2">
    <w:nsid w:val="410A6753"/>
    <w:multiLevelType w:val="multilevel"/>
    <w:tmpl w:val="5E404E7C"/>
    <w:styleLink w:val="List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3">
    <w:nsid w:val="42771C53"/>
    <w:multiLevelType w:val="hybridMultilevel"/>
    <w:tmpl w:val="B1C2FECE"/>
    <w:lvl w:ilvl="0" w:tplc="7D583430">
      <w:start w:val="1"/>
      <w:numFmt w:val="bullet"/>
      <w:lvlText w:val=""/>
      <w:lvlJc w:val="left"/>
      <w:pPr>
        <w:tabs>
          <w:tab w:val="num" w:pos="516"/>
        </w:tabs>
        <w:ind w:left="515" w:hanging="515"/>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3BA7752"/>
    <w:multiLevelType w:val="multilevel"/>
    <w:tmpl w:val="BBB21DE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5">
    <w:nsid w:val="459115AC"/>
    <w:multiLevelType w:val="multilevel"/>
    <w:tmpl w:val="45B0EBE2"/>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66">
    <w:nsid w:val="49E93D37"/>
    <w:multiLevelType w:val="hybridMultilevel"/>
    <w:tmpl w:val="31F2798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4A461C8C"/>
    <w:multiLevelType w:val="multilevel"/>
    <w:tmpl w:val="BC16464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8">
    <w:nsid w:val="4A4E43F7"/>
    <w:multiLevelType w:val="hybridMultilevel"/>
    <w:tmpl w:val="2ADC7E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FE24D2"/>
    <w:multiLevelType w:val="hybridMultilevel"/>
    <w:tmpl w:val="2BEEA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4C5F0AC8"/>
    <w:multiLevelType w:val="multilevel"/>
    <w:tmpl w:val="9EE2BE62"/>
    <w:styleLink w:val="List22"/>
    <w:lvl w:ilvl="0">
      <w:start w:val="4"/>
      <w:numFmt w:val="upperRoman"/>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71">
    <w:nsid w:val="4CFE61EE"/>
    <w:multiLevelType w:val="multilevel"/>
    <w:tmpl w:val="656A2E8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2">
    <w:nsid w:val="4D6B4952"/>
    <w:multiLevelType w:val="hybridMultilevel"/>
    <w:tmpl w:val="3912D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D77218E"/>
    <w:multiLevelType w:val="multilevel"/>
    <w:tmpl w:val="DCFAEFB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4">
    <w:nsid w:val="4DDE0DD9"/>
    <w:multiLevelType w:val="hybridMultilevel"/>
    <w:tmpl w:val="E5022C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DF5717C"/>
    <w:multiLevelType w:val="hybridMultilevel"/>
    <w:tmpl w:val="E8C69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nsid w:val="4FE6633F"/>
    <w:multiLevelType w:val="hybridMultilevel"/>
    <w:tmpl w:val="8DB248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0F51DEF"/>
    <w:multiLevelType w:val="multilevel"/>
    <w:tmpl w:val="2B62CFD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8">
    <w:nsid w:val="51D65200"/>
    <w:multiLevelType w:val="multilevel"/>
    <w:tmpl w:val="317273EA"/>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79">
    <w:nsid w:val="53454D56"/>
    <w:multiLevelType w:val="hybridMultilevel"/>
    <w:tmpl w:val="4FEA2F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36D423A"/>
    <w:multiLevelType w:val="hybridMultilevel"/>
    <w:tmpl w:val="B4E09C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59F7465"/>
    <w:multiLevelType w:val="multilevel"/>
    <w:tmpl w:val="205485CA"/>
    <w:styleLink w:val="List1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2">
    <w:nsid w:val="55C81932"/>
    <w:multiLevelType w:val="hybridMultilevel"/>
    <w:tmpl w:val="80FA8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694296A"/>
    <w:multiLevelType w:val="hybridMultilevel"/>
    <w:tmpl w:val="E69EFEEE"/>
    <w:lvl w:ilvl="0" w:tplc="7D583430">
      <w:start w:val="1"/>
      <w:numFmt w:val="bullet"/>
      <w:lvlText w:val=""/>
      <w:lvlJc w:val="left"/>
      <w:pPr>
        <w:tabs>
          <w:tab w:val="num" w:pos="516"/>
        </w:tabs>
        <w:ind w:left="515" w:hanging="515"/>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6C63EC6"/>
    <w:multiLevelType w:val="multilevel"/>
    <w:tmpl w:val="E89071D6"/>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5">
    <w:nsid w:val="57692EE4"/>
    <w:multiLevelType w:val="multilevel"/>
    <w:tmpl w:val="5010EDF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6">
    <w:nsid w:val="578E32C5"/>
    <w:multiLevelType w:val="hybridMultilevel"/>
    <w:tmpl w:val="8FB20B9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7">
    <w:nsid w:val="58C3787A"/>
    <w:multiLevelType w:val="multilevel"/>
    <w:tmpl w:val="5910125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8">
    <w:nsid w:val="59F26D01"/>
    <w:multiLevelType w:val="multilevel"/>
    <w:tmpl w:val="0D9A505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9">
    <w:nsid w:val="5A5076F0"/>
    <w:multiLevelType w:val="hybridMultilevel"/>
    <w:tmpl w:val="49ACD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B627AC8"/>
    <w:multiLevelType w:val="hybridMultilevel"/>
    <w:tmpl w:val="596E37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BB750AB"/>
    <w:multiLevelType w:val="hybridMultilevel"/>
    <w:tmpl w:val="84CCFF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E286D83"/>
    <w:multiLevelType w:val="hybridMultilevel"/>
    <w:tmpl w:val="0576C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nsid w:val="5EFC220E"/>
    <w:multiLevelType w:val="multilevel"/>
    <w:tmpl w:val="3B1C1F44"/>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4">
    <w:nsid w:val="5FF75A34"/>
    <w:multiLevelType w:val="multilevel"/>
    <w:tmpl w:val="850A43C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5">
    <w:nsid w:val="6155468C"/>
    <w:multiLevelType w:val="multilevel"/>
    <w:tmpl w:val="79321A06"/>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6">
    <w:nsid w:val="6278577D"/>
    <w:multiLevelType w:val="multilevel"/>
    <w:tmpl w:val="6FE04AC6"/>
    <w:styleLink w:val="List25"/>
    <w:lvl w:ilvl="0">
      <w:start w:val="1"/>
      <w:numFmt w:val="bullet"/>
      <w:lvlText w:val="—"/>
      <w:lvlJc w:val="left"/>
      <w:pPr>
        <w:tabs>
          <w:tab w:val="num" w:pos="690"/>
        </w:tabs>
        <w:ind w:left="690" w:hanging="330"/>
      </w:pPr>
      <w:rPr>
        <w:position w:val="0"/>
        <w:sz w:val="22"/>
        <w:szCs w:val="22"/>
        <w:rtl w:val="0"/>
      </w:rPr>
    </w:lvl>
    <w:lvl w:ilvl="1">
      <w:numFmt w:val="bullet"/>
      <w:lvlText w:val="o"/>
      <w:lvlJc w:val="left"/>
      <w:pPr>
        <w:tabs>
          <w:tab w:val="num" w:pos="1843"/>
        </w:tabs>
        <w:ind w:left="1843" w:hanging="709"/>
      </w:pPr>
      <w:rPr>
        <w:position w:val="0"/>
        <w:sz w:val="24"/>
        <w:szCs w:val="24"/>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97">
    <w:nsid w:val="6AC85AF2"/>
    <w:multiLevelType w:val="multilevel"/>
    <w:tmpl w:val="8F6A3C30"/>
    <w:styleLink w:val="List6"/>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98">
    <w:nsid w:val="6B3F0C5F"/>
    <w:multiLevelType w:val="multilevel"/>
    <w:tmpl w:val="9A1A545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9">
    <w:nsid w:val="6BF32731"/>
    <w:multiLevelType w:val="hybridMultilevel"/>
    <w:tmpl w:val="616A91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C677877"/>
    <w:multiLevelType w:val="multilevel"/>
    <w:tmpl w:val="A29CCBF0"/>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101">
    <w:nsid w:val="6CFF43C3"/>
    <w:multiLevelType w:val="multilevel"/>
    <w:tmpl w:val="A3F8EF7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2">
    <w:nsid w:val="6D6215A4"/>
    <w:multiLevelType w:val="hybridMultilevel"/>
    <w:tmpl w:val="C74AF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E47674B"/>
    <w:multiLevelType w:val="multilevel"/>
    <w:tmpl w:val="EFD8C8A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4">
    <w:nsid w:val="6FA00E93"/>
    <w:multiLevelType w:val="hybridMultilevel"/>
    <w:tmpl w:val="81F288EC"/>
    <w:lvl w:ilvl="0" w:tplc="D14E1888">
      <w:start w:val="1"/>
      <w:numFmt w:val="lowerLetter"/>
      <w:lvlText w:val="%1)"/>
      <w:lvlJc w:val="left"/>
      <w:pPr>
        <w:ind w:left="502" w:hanging="360"/>
      </w:pPr>
      <w:rPr>
        <w:rFonts w:hint="default"/>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5">
    <w:nsid w:val="6FF73745"/>
    <w:multiLevelType w:val="hybridMultilevel"/>
    <w:tmpl w:val="3B3488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03C71BC"/>
    <w:multiLevelType w:val="hybridMultilevel"/>
    <w:tmpl w:val="F1EA46BE"/>
    <w:lvl w:ilvl="0" w:tplc="0409000B">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0D60538"/>
    <w:multiLevelType w:val="multilevel"/>
    <w:tmpl w:val="E932BBB8"/>
    <w:styleLink w:val="List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8">
    <w:nsid w:val="71163811"/>
    <w:multiLevelType w:val="hybridMultilevel"/>
    <w:tmpl w:val="AD8EBA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13D082F"/>
    <w:multiLevelType w:val="hybridMultilevel"/>
    <w:tmpl w:val="426E060A"/>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0">
    <w:nsid w:val="72433FF6"/>
    <w:multiLevelType w:val="multilevel"/>
    <w:tmpl w:val="0F3852A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1">
    <w:nsid w:val="73E84D0F"/>
    <w:multiLevelType w:val="multilevel"/>
    <w:tmpl w:val="E94213DA"/>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112">
    <w:nsid w:val="73F546DF"/>
    <w:multiLevelType w:val="multilevel"/>
    <w:tmpl w:val="44B6832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3">
    <w:nsid w:val="74913EB3"/>
    <w:multiLevelType w:val="multilevel"/>
    <w:tmpl w:val="11DCA01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4">
    <w:nsid w:val="74A40919"/>
    <w:multiLevelType w:val="multilevel"/>
    <w:tmpl w:val="6A2C910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5">
    <w:nsid w:val="770D054C"/>
    <w:multiLevelType w:val="multilevel"/>
    <w:tmpl w:val="C3CC233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6">
    <w:nsid w:val="770F3F98"/>
    <w:multiLevelType w:val="hybridMultilevel"/>
    <w:tmpl w:val="85AC9ABA"/>
    <w:lvl w:ilvl="0" w:tplc="5C08FCA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nsid w:val="77473BAD"/>
    <w:multiLevelType w:val="multilevel"/>
    <w:tmpl w:val="EA007FDC"/>
    <w:styleLink w:val="List20"/>
    <w:lvl w:ilvl="0">
      <w:numFmt w:val="bullet"/>
      <w:pStyle w:val="ListParagraph"/>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8">
    <w:nsid w:val="78372725"/>
    <w:multiLevelType w:val="multilevel"/>
    <w:tmpl w:val="D7C6506E"/>
    <w:styleLink w:val="List1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9">
    <w:nsid w:val="78D725E8"/>
    <w:multiLevelType w:val="multilevel"/>
    <w:tmpl w:val="F6C44642"/>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120">
    <w:nsid w:val="7914398F"/>
    <w:multiLevelType w:val="multilevel"/>
    <w:tmpl w:val="DC06919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1">
    <w:nsid w:val="798F398C"/>
    <w:multiLevelType w:val="multilevel"/>
    <w:tmpl w:val="DC1EEECC"/>
    <w:styleLink w:val="List16"/>
    <w:lvl w:ilvl="0">
      <w:start w:val="1"/>
      <w:numFmt w:val="bullet"/>
      <w:lvlText w:val=""/>
      <w:lvlJc w:val="left"/>
      <w:rPr>
        <w:rFonts w:ascii="Wingdings" w:hAnsi="Wingdings" w:hint="default"/>
        <w:i/>
        <w:iCs/>
        <w:position w:val="0"/>
        <w:rtl w:val="0"/>
      </w:rPr>
    </w:lvl>
    <w:lvl w:ilvl="1">
      <w:start w:val="1"/>
      <w:numFmt w:val="lowerLetter"/>
      <w:lvlText w:val="%2."/>
      <w:lvlJc w:val="left"/>
      <w:rPr>
        <w:i/>
        <w:iCs/>
        <w:position w:val="0"/>
        <w:rtl w:val="0"/>
      </w:rPr>
    </w:lvl>
    <w:lvl w:ilvl="2">
      <w:start w:val="1"/>
      <w:numFmt w:val="lowerRoman"/>
      <w:lvlText w:val="%3."/>
      <w:lvlJc w:val="left"/>
      <w:rPr>
        <w:i/>
        <w:iCs/>
        <w:position w:val="0"/>
        <w:rtl w:val="0"/>
      </w:rPr>
    </w:lvl>
    <w:lvl w:ilvl="3">
      <w:start w:val="1"/>
      <w:numFmt w:val="decimal"/>
      <w:lvlText w:val="%4."/>
      <w:lvlJc w:val="left"/>
      <w:rPr>
        <w:i/>
        <w:iCs/>
        <w:position w:val="0"/>
        <w:rtl w:val="0"/>
      </w:rPr>
    </w:lvl>
    <w:lvl w:ilvl="4">
      <w:start w:val="1"/>
      <w:numFmt w:val="lowerLetter"/>
      <w:lvlText w:val="%5."/>
      <w:lvlJc w:val="left"/>
      <w:rPr>
        <w:i/>
        <w:iCs/>
        <w:position w:val="0"/>
        <w:rtl w:val="0"/>
      </w:rPr>
    </w:lvl>
    <w:lvl w:ilvl="5">
      <w:start w:val="1"/>
      <w:numFmt w:val="lowerRoman"/>
      <w:lvlText w:val="%6."/>
      <w:lvlJc w:val="left"/>
      <w:rPr>
        <w:i/>
        <w:iCs/>
        <w:position w:val="0"/>
        <w:rtl w:val="0"/>
      </w:rPr>
    </w:lvl>
    <w:lvl w:ilvl="6">
      <w:start w:val="1"/>
      <w:numFmt w:val="decimal"/>
      <w:lvlText w:val="%7."/>
      <w:lvlJc w:val="left"/>
      <w:rPr>
        <w:i/>
        <w:iCs/>
        <w:position w:val="0"/>
        <w:rtl w:val="0"/>
      </w:rPr>
    </w:lvl>
    <w:lvl w:ilvl="7">
      <w:start w:val="1"/>
      <w:numFmt w:val="lowerLetter"/>
      <w:lvlText w:val="%8."/>
      <w:lvlJc w:val="left"/>
      <w:rPr>
        <w:i/>
        <w:iCs/>
        <w:position w:val="0"/>
        <w:rtl w:val="0"/>
      </w:rPr>
    </w:lvl>
    <w:lvl w:ilvl="8">
      <w:start w:val="1"/>
      <w:numFmt w:val="lowerRoman"/>
      <w:lvlText w:val="%9."/>
      <w:lvlJc w:val="left"/>
      <w:rPr>
        <w:i/>
        <w:iCs/>
        <w:position w:val="0"/>
        <w:rtl w:val="0"/>
      </w:rPr>
    </w:lvl>
  </w:abstractNum>
  <w:abstractNum w:abstractNumId="122">
    <w:nsid w:val="79AE4A1C"/>
    <w:multiLevelType w:val="multilevel"/>
    <w:tmpl w:val="A7B2E93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3">
    <w:nsid w:val="7A711F12"/>
    <w:multiLevelType w:val="hybridMultilevel"/>
    <w:tmpl w:val="801A0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AE571B1"/>
    <w:multiLevelType w:val="multilevel"/>
    <w:tmpl w:val="27A8C4B8"/>
    <w:lvl w:ilvl="0">
      <w:start w:val="1"/>
      <w:numFmt w:val="bullet"/>
      <w:lvlText w:val="—"/>
      <w:lvlJc w:val="left"/>
      <w:pPr>
        <w:tabs>
          <w:tab w:val="num" w:pos="690"/>
        </w:tabs>
        <w:ind w:left="690" w:hanging="330"/>
      </w:pPr>
      <w:rPr>
        <w:position w:val="0"/>
        <w:sz w:val="22"/>
        <w:szCs w:val="22"/>
        <w:rtl w:val="0"/>
      </w:rPr>
    </w:lvl>
    <w:lvl w:ilvl="1">
      <w:numFmt w:val="bullet"/>
      <w:lvlText w:val="o"/>
      <w:lvlJc w:val="left"/>
      <w:pPr>
        <w:tabs>
          <w:tab w:val="num" w:pos="1843"/>
        </w:tabs>
        <w:ind w:left="1843" w:hanging="709"/>
      </w:pPr>
      <w:rPr>
        <w:position w:val="0"/>
        <w:sz w:val="20"/>
        <w:szCs w:val="20"/>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125">
    <w:nsid w:val="7B3025D6"/>
    <w:multiLevelType w:val="hybridMultilevel"/>
    <w:tmpl w:val="5644DE28"/>
    <w:lvl w:ilvl="0" w:tplc="AF4EB966">
      <w:start w:val="1"/>
      <w:numFmt w:val="bullet"/>
      <w:lvlText w:val=""/>
      <w:lvlJc w:val="left"/>
      <w:pPr>
        <w:tabs>
          <w:tab w:val="num" w:pos="284"/>
        </w:tabs>
        <w:ind w:left="284" w:hanging="284"/>
      </w:pPr>
      <w:rPr>
        <w:rFonts w:ascii="Wingdings" w:hAnsi="Wingdings" w:hint="default"/>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6">
    <w:nsid w:val="7B7C1194"/>
    <w:multiLevelType w:val="multilevel"/>
    <w:tmpl w:val="204697E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7">
    <w:nsid w:val="7C077304"/>
    <w:multiLevelType w:val="multilevel"/>
    <w:tmpl w:val="5D5892E0"/>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128">
    <w:nsid w:val="7D736FD3"/>
    <w:multiLevelType w:val="hybridMultilevel"/>
    <w:tmpl w:val="7FAEDB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7EC17CF8"/>
    <w:multiLevelType w:val="hybridMultilevel"/>
    <w:tmpl w:val="6CB618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7F007364"/>
    <w:multiLevelType w:val="multilevel"/>
    <w:tmpl w:val="3CFAD02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1">
    <w:nsid w:val="7F1946EB"/>
    <w:multiLevelType w:val="hybridMultilevel"/>
    <w:tmpl w:val="B3FC61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122"/>
  </w:num>
  <w:num w:numId="3">
    <w:abstractNumId w:val="95"/>
  </w:num>
  <w:num w:numId="4">
    <w:abstractNumId w:val="29"/>
    <w:lvlOverride w:ilvl="0">
      <w:lvl w:ilvl="0">
        <w:start w:val="1"/>
        <w:numFmt w:val="upperRoman"/>
        <w:lvlText w:val="%1."/>
        <w:lvlJc w:val="left"/>
        <w:pPr>
          <w:tabs>
            <w:tab w:val="num" w:pos="1080"/>
          </w:tabs>
          <w:ind w:left="1080" w:hanging="720"/>
        </w:pPr>
        <w:rPr>
          <w:rFonts w:ascii="Times New Roman Bold" w:eastAsia="Times New Roman Bold" w:hAnsi="Times New Roman Bold" w:cs="Times New Roman Bold"/>
          <w:position w:val="0"/>
          <w:sz w:val="32"/>
          <w:szCs w:val="32"/>
        </w:rPr>
      </w:lvl>
    </w:lvlOverride>
  </w:num>
  <w:num w:numId="5">
    <w:abstractNumId w:val="38"/>
  </w:num>
  <w:num w:numId="6">
    <w:abstractNumId w:val="85"/>
  </w:num>
  <w:num w:numId="7">
    <w:abstractNumId w:val="120"/>
  </w:num>
  <w:num w:numId="8">
    <w:abstractNumId w:val="13"/>
  </w:num>
  <w:num w:numId="9">
    <w:abstractNumId w:val="87"/>
  </w:num>
  <w:num w:numId="10">
    <w:abstractNumId w:val="17"/>
  </w:num>
  <w:num w:numId="11">
    <w:abstractNumId w:val="14"/>
    <w:lvlOverride w:ilvl="0">
      <w:lvl w:ilvl="0">
        <w:numFmt w:val="bullet"/>
        <w:lvlText w:val="➢"/>
        <w:lvlJc w:val="left"/>
        <w:rPr>
          <w:position w:val="0"/>
          <w:rtl w:val="0"/>
        </w:rPr>
      </w:lvl>
    </w:lvlOverride>
  </w:num>
  <w:num w:numId="12">
    <w:abstractNumId w:val="15"/>
  </w:num>
  <w:num w:numId="13">
    <w:abstractNumId w:val="20"/>
  </w:num>
  <w:num w:numId="14">
    <w:abstractNumId w:val="77"/>
  </w:num>
  <w:num w:numId="15">
    <w:abstractNumId w:val="7"/>
  </w:num>
  <w:num w:numId="16">
    <w:abstractNumId w:val="84"/>
  </w:num>
  <w:num w:numId="17">
    <w:abstractNumId w:val="78"/>
  </w:num>
  <w:num w:numId="18">
    <w:abstractNumId w:val="43"/>
  </w:num>
  <w:num w:numId="19">
    <w:abstractNumId w:val="58"/>
  </w:num>
  <w:num w:numId="20">
    <w:abstractNumId w:val="65"/>
  </w:num>
  <w:num w:numId="21">
    <w:abstractNumId w:val="127"/>
  </w:num>
  <w:num w:numId="22">
    <w:abstractNumId w:val="28"/>
  </w:num>
  <w:num w:numId="23">
    <w:abstractNumId w:val="111"/>
  </w:num>
  <w:num w:numId="24">
    <w:abstractNumId w:val="119"/>
  </w:num>
  <w:num w:numId="25">
    <w:abstractNumId w:val="100"/>
  </w:num>
  <w:num w:numId="26">
    <w:abstractNumId w:val="18"/>
  </w:num>
  <w:num w:numId="27">
    <w:abstractNumId w:val="97"/>
  </w:num>
  <w:num w:numId="28">
    <w:abstractNumId w:val="41"/>
  </w:num>
  <w:num w:numId="29">
    <w:abstractNumId w:val="46"/>
  </w:num>
  <w:num w:numId="30">
    <w:abstractNumId w:val="23"/>
  </w:num>
  <w:num w:numId="31">
    <w:abstractNumId w:val="9"/>
  </w:num>
  <w:num w:numId="32">
    <w:abstractNumId w:val="36"/>
  </w:num>
  <w:num w:numId="33">
    <w:abstractNumId w:val="22"/>
  </w:num>
  <w:num w:numId="34">
    <w:abstractNumId w:val="55"/>
  </w:num>
  <w:num w:numId="35">
    <w:abstractNumId w:val="49"/>
  </w:num>
  <w:num w:numId="36">
    <w:abstractNumId w:val="107"/>
  </w:num>
  <w:num w:numId="37">
    <w:abstractNumId w:val="110"/>
  </w:num>
  <w:num w:numId="38">
    <w:abstractNumId w:val="6"/>
  </w:num>
  <w:num w:numId="39">
    <w:abstractNumId w:val="93"/>
  </w:num>
  <w:num w:numId="40">
    <w:abstractNumId w:val="114"/>
  </w:num>
  <w:num w:numId="41">
    <w:abstractNumId w:val="88"/>
  </w:num>
  <w:num w:numId="42">
    <w:abstractNumId w:val="64"/>
  </w:num>
  <w:num w:numId="43">
    <w:abstractNumId w:val="103"/>
  </w:num>
  <w:num w:numId="44">
    <w:abstractNumId w:val="54"/>
  </w:num>
  <w:num w:numId="45">
    <w:abstractNumId w:val="115"/>
  </w:num>
  <w:num w:numId="46">
    <w:abstractNumId w:val="62"/>
  </w:num>
  <w:num w:numId="47">
    <w:abstractNumId w:val="4"/>
  </w:num>
  <w:num w:numId="48">
    <w:abstractNumId w:val="61"/>
  </w:num>
  <w:num w:numId="49">
    <w:abstractNumId w:val="40"/>
  </w:num>
  <w:num w:numId="50">
    <w:abstractNumId w:val="8"/>
  </w:num>
  <w:num w:numId="51">
    <w:abstractNumId w:val="44"/>
  </w:num>
  <w:num w:numId="52">
    <w:abstractNumId w:val="130"/>
  </w:num>
  <w:num w:numId="53">
    <w:abstractNumId w:val="101"/>
  </w:num>
  <w:num w:numId="54">
    <w:abstractNumId w:val="52"/>
  </w:num>
  <w:num w:numId="55">
    <w:abstractNumId w:val="94"/>
  </w:num>
  <w:num w:numId="56">
    <w:abstractNumId w:val="118"/>
  </w:num>
  <w:num w:numId="57">
    <w:abstractNumId w:val="121"/>
  </w:num>
  <w:num w:numId="58">
    <w:abstractNumId w:val="126"/>
  </w:num>
  <w:num w:numId="59">
    <w:abstractNumId w:val="81"/>
  </w:num>
  <w:num w:numId="60">
    <w:abstractNumId w:val="73"/>
  </w:num>
  <w:num w:numId="61">
    <w:abstractNumId w:val="98"/>
  </w:num>
  <w:num w:numId="62">
    <w:abstractNumId w:val="113"/>
  </w:num>
  <w:num w:numId="63">
    <w:abstractNumId w:val="30"/>
    <w:lvlOverride w:ilvl="0">
      <w:lvl w:ilvl="0">
        <w:numFmt w:val="bullet"/>
        <w:lvlText w:val="➢"/>
        <w:lvlJc w:val="left"/>
        <w:rPr>
          <w:position w:val="0"/>
          <w:rtl w:val="0"/>
        </w:rPr>
      </w:lvl>
    </w:lvlOverride>
  </w:num>
  <w:num w:numId="64">
    <w:abstractNumId w:val="71"/>
  </w:num>
  <w:num w:numId="65">
    <w:abstractNumId w:val="117"/>
  </w:num>
  <w:num w:numId="66">
    <w:abstractNumId w:val="67"/>
  </w:num>
  <w:num w:numId="67">
    <w:abstractNumId w:val="70"/>
  </w:num>
  <w:num w:numId="68">
    <w:abstractNumId w:val="5"/>
    <w:lvlOverride w:ilvl="0">
      <w:lvl w:ilvl="0">
        <w:start w:val="14"/>
        <w:numFmt w:val="decimal"/>
        <w:lvlText w:val="%1."/>
        <w:lvlJc w:val="left"/>
        <w:pPr>
          <w:tabs>
            <w:tab w:val="num" w:pos="1211"/>
          </w:tabs>
          <w:ind w:left="1211" w:hanging="360"/>
        </w:pPr>
        <w:rPr>
          <w:position w:val="0"/>
          <w:sz w:val="16"/>
          <w:szCs w:val="16"/>
          <w:rtl w:val="0"/>
        </w:rPr>
      </w:lvl>
    </w:lvlOverride>
  </w:num>
  <w:num w:numId="69">
    <w:abstractNumId w:val="124"/>
  </w:num>
  <w:num w:numId="70">
    <w:abstractNumId w:val="96"/>
    <w:lvlOverride w:ilvl="1">
      <w:lvl w:ilvl="1">
        <w:numFmt w:val="bullet"/>
        <w:lvlText w:val="o"/>
        <w:lvlJc w:val="left"/>
        <w:pPr>
          <w:tabs>
            <w:tab w:val="num" w:pos="1843"/>
          </w:tabs>
          <w:ind w:left="1843" w:hanging="709"/>
        </w:pPr>
        <w:rPr>
          <w:position w:val="0"/>
          <w:sz w:val="20"/>
          <w:szCs w:val="20"/>
          <w:rtl w:val="0"/>
        </w:rPr>
      </w:lvl>
    </w:lvlOverride>
  </w:num>
  <w:num w:numId="71">
    <w:abstractNumId w:val="57"/>
  </w:num>
  <w:num w:numId="72">
    <w:abstractNumId w:val="39"/>
  </w:num>
  <w:num w:numId="73">
    <w:abstractNumId w:val="11"/>
  </w:num>
  <w:num w:numId="74">
    <w:abstractNumId w:val="47"/>
  </w:num>
  <w:num w:numId="75">
    <w:abstractNumId w:val="112"/>
  </w:num>
  <w:num w:numId="76">
    <w:abstractNumId w:val="56"/>
    <w:lvlOverride w:ilvl="0">
      <w:lvl w:ilvl="0">
        <w:numFmt w:val="bullet"/>
        <w:lvlText w:val="➢"/>
        <w:lvlJc w:val="left"/>
        <w:rPr>
          <w:position w:val="0"/>
          <w:rtl w:val="0"/>
        </w:rPr>
      </w:lvl>
    </w:lvlOverride>
  </w:num>
  <w:num w:numId="77">
    <w:abstractNumId w:val="48"/>
  </w:num>
  <w:num w:numId="78">
    <w:abstractNumId w:val="10"/>
  </w:num>
  <w:num w:numId="79">
    <w:abstractNumId w:val="35"/>
  </w:num>
  <w:num w:numId="80">
    <w:abstractNumId w:val="106"/>
  </w:num>
  <w:num w:numId="81">
    <w:abstractNumId w:val="19"/>
  </w:num>
  <w:num w:numId="82">
    <w:abstractNumId w:val="105"/>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
  </w:num>
  <w:num w:numId="85">
    <w:abstractNumId w:val="26"/>
  </w:num>
  <w:num w:numId="86">
    <w:abstractNumId w:val="82"/>
  </w:num>
  <w:num w:numId="87">
    <w:abstractNumId w:val="68"/>
  </w:num>
  <w:num w:numId="88">
    <w:abstractNumId w:val="25"/>
  </w:num>
  <w:num w:numId="89">
    <w:abstractNumId w:val="109"/>
  </w:num>
  <w:num w:numId="90">
    <w:abstractNumId w:val="89"/>
  </w:num>
  <w:num w:numId="91">
    <w:abstractNumId w:val="24"/>
  </w:num>
  <w:num w:numId="92">
    <w:abstractNumId w:val="123"/>
  </w:num>
  <w:num w:numId="93">
    <w:abstractNumId w:val="116"/>
  </w:num>
  <w:num w:numId="94">
    <w:abstractNumId w:val="42"/>
  </w:num>
  <w:num w:numId="95">
    <w:abstractNumId w:val="21"/>
  </w:num>
  <w:num w:numId="96">
    <w:abstractNumId w:val="74"/>
  </w:num>
  <w:num w:numId="97">
    <w:abstractNumId w:val="102"/>
  </w:num>
  <w:num w:numId="98">
    <w:abstractNumId w:val="79"/>
  </w:num>
  <w:num w:numId="99">
    <w:abstractNumId w:val="131"/>
  </w:num>
  <w:num w:numId="100">
    <w:abstractNumId w:val="86"/>
  </w:num>
  <w:num w:numId="101">
    <w:abstractNumId w:val="90"/>
  </w:num>
  <w:num w:numId="102">
    <w:abstractNumId w:val="29"/>
  </w:num>
  <w:num w:numId="103">
    <w:abstractNumId w:val="30"/>
  </w:num>
  <w:num w:numId="104">
    <w:abstractNumId w:val="99"/>
  </w:num>
  <w:num w:numId="105">
    <w:abstractNumId w:val="91"/>
  </w:num>
  <w:num w:numId="106">
    <w:abstractNumId w:val="33"/>
  </w:num>
  <w:num w:numId="107">
    <w:abstractNumId w:val="80"/>
  </w:num>
  <w:num w:numId="108">
    <w:abstractNumId w:val="76"/>
  </w:num>
  <w:num w:numId="109">
    <w:abstractNumId w:val="108"/>
  </w:num>
  <w:num w:numId="110">
    <w:abstractNumId w:val="32"/>
  </w:num>
  <w:num w:numId="111">
    <w:abstractNumId w:val="104"/>
  </w:num>
  <w:num w:numId="112">
    <w:abstractNumId w:val="60"/>
  </w:num>
  <w:num w:numId="113">
    <w:abstractNumId w:val="3"/>
  </w:num>
  <w:num w:numId="114">
    <w:abstractNumId w:val="5"/>
  </w:num>
  <w:num w:numId="115">
    <w:abstractNumId w:val="14"/>
  </w:num>
  <w:num w:numId="116">
    <w:abstractNumId w:val="56"/>
  </w:num>
  <w:num w:numId="117">
    <w:abstractNumId w:val="96"/>
  </w:num>
  <w:num w:numId="118">
    <w:abstractNumId w:val="4"/>
    <w:lvlOverride w:ilvl="3">
      <w:lvl w:ilvl="3">
        <w:start w:val="1"/>
        <w:numFmt w:val="decimal"/>
        <w:lvlText w:val="%4."/>
        <w:lvlJc w:val="left"/>
        <w:pPr>
          <w:tabs>
            <w:tab w:val="num" w:pos="3000"/>
          </w:tabs>
          <w:ind w:left="3000" w:hanging="480"/>
        </w:pPr>
        <w:rPr>
          <w:rFonts w:ascii="Times New Roman Bold" w:eastAsia="Times New Roman Bold" w:hAnsi="Times New Roman Bold" w:cs="Times New Roman Bold"/>
          <w:position w:val="0"/>
          <w:sz w:val="24"/>
          <w:szCs w:val="24"/>
        </w:rPr>
      </w:lvl>
    </w:lvlOverride>
    <w:lvlOverride w:ilvl="4">
      <w:lvl w:ilvl="4">
        <w:start w:val="1"/>
        <w:numFmt w:val="lowerLetter"/>
        <w:lvlText w:val="%5."/>
        <w:lvlJc w:val="left"/>
        <w:pPr>
          <w:tabs>
            <w:tab w:val="num" w:pos="3720"/>
          </w:tabs>
          <w:ind w:left="3720" w:hanging="480"/>
        </w:pPr>
        <w:rPr>
          <w:rFonts w:ascii="Times New Roman Bold" w:eastAsia="Times New Roman Bold" w:hAnsi="Times New Roman Bold" w:cs="Times New Roman Bold" w:hint="default"/>
          <w:position w:val="0"/>
          <w:sz w:val="24"/>
          <w:szCs w:val="24"/>
        </w:rPr>
      </w:lvl>
    </w:lvlOverride>
  </w:num>
  <w:num w:numId="119">
    <w:abstractNumId w:val="118"/>
    <w:lvlOverride w:ilvl="0">
      <w:lvl w:ilvl="0">
        <w:numFmt w:val="bullet"/>
        <w:lvlText w:val="➢"/>
        <w:lvlJc w:val="left"/>
        <w:rPr>
          <w:position w:val="0"/>
          <w:rtl w:val="0"/>
        </w:rPr>
      </w:lvl>
    </w:lvlOverride>
  </w:num>
  <w:num w:numId="120">
    <w:abstractNumId w:val="31"/>
  </w:num>
  <w:num w:numId="121">
    <w:abstractNumId w:val="128"/>
  </w:num>
  <w:num w:numId="122">
    <w:abstractNumId w:val="37"/>
  </w:num>
  <w:num w:numId="123">
    <w:abstractNumId w:val="83"/>
  </w:num>
  <w:num w:numId="124">
    <w:abstractNumId w:val="63"/>
  </w:num>
  <w:num w:numId="125">
    <w:abstractNumId w:val="16"/>
  </w:num>
  <w:num w:numId="126">
    <w:abstractNumId w:val="53"/>
  </w:num>
  <w:num w:numId="127">
    <w:abstractNumId w:val="45"/>
  </w:num>
  <w:num w:numId="128">
    <w:abstractNumId w:val="66"/>
  </w:num>
  <w:num w:numId="129">
    <w:abstractNumId w:val="92"/>
  </w:num>
  <w:num w:numId="130">
    <w:abstractNumId w:val="12"/>
  </w:num>
  <w:num w:numId="131">
    <w:abstractNumId w:val="27"/>
  </w:num>
  <w:num w:numId="132">
    <w:abstractNumId w:val="2"/>
  </w:num>
  <w:num w:numId="133">
    <w:abstractNumId w:val="50"/>
  </w:num>
  <w:num w:numId="134">
    <w:abstractNumId w:val="51"/>
  </w:num>
  <w:num w:numId="135">
    <w:abstractNumId w:val="69"/>
  </w:num>
  <w:num w:numId="136">
    <w:abstractNumId w:val="34"/>
  </w:num>
  <w:num w:numId="137">
    <w:abstractNumId w:val="129"/>
  </w:num>
  <w:num w:numId="138">
    <w:abstractNumId w:val="75"/>
  </w:num>
  <w:num w:numId="139">
    <w:abstractNumId w:val="125"/>
  </w:num>
  <w:num w:numId="140">
    <w:abstractNumId w:val="7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E85"/>
    <w:rsid w:val="00047021"/>
    <w:rsid w:val="000756C3"/>
    <w:rsid w:val="00080625"/>
    <w:rsid w:val="000A59BE"/>
    <w:rsid w:val="000A5F0D"/>
    <w:rsid w:val="000B32F6"/>
    <w:rsid w:val="000D3B1E"/>
    <w:rsid w:val="000D3DE0"/>
    <w:rsid w:val="00100C67"/>
    <w:rsid w:val="001115C9"/>
    <w:rsid w:val="00140077"/>
    <w:rsid w:val="00150FD7"/>
    <w:rsid w:val="00176F2E"/>
    <w:rsid w:val="00184099"/>
    <w:rsid w:val="00192902"/>
    <w:rsid w:val="001F4118"/>
    <w:rsid w:val="00203BE1"/>
    <w:rsid w:val="00203E77"/>
    <w:rsid w:val="00204965"/>
    <w:rsid w:val="00206C5B"/>
    <w:rsid w:val="002151F9"/>
    <w:rsid w:val="00216AEE"/>
    <w:rsid w:val="0022105E"/>
    <w:rsid w:val="00232939"/>
    <w:rsid w:val="00244A09"/>
    <w:rsid w:val="00260DA5"/>
    <w:rsid w:val="00271A94"/>
    <w:rsid w:val="002849C6"/>
    <w:rsid w:val="00285903"/>
    <w:rsid w:val="00286EDC"/>
    <w:rsid w:val="00290305"/>
    <w:rsid w:val="002B2E6D"/>
    <w:rsid w:val="002C021F"/>
    <w:rsid w:val="0030123F"/>
    <w:rsid w:val="0034012D"/>
    <w:rsid w:val="00374524"/>
    <w:rsid w:val="003772AE"/>
    <w:rsid w:val="00392351"/>
    <w:rsid w:val="003C088C"/>
    <w:rsid w:val="003C75DC"/>
    <w:rsid w:val="003E4D08"/>
    <w:rsid w:val="003F35E3"/>
    <w:rsid w:val="00422E80"/>
    <w:rsid w:val="00437320"/>
    <w:rsid w:val="004632C3"/>
    <w:rsid w:val="00463B36"/>
    <w:rsid w:val="0048421D"/>
    <w:rsid w:val="004911C7"/>
    <w:rsid w:val="004A614A"/>
    <w:rsid w:val="004C7832"/>
    <w:rsid w:val="004F40E0"/>
    <w:rsid w:val="00510CE8"/>
    <w:rsid w:val="00543387"/>
    <w:rsid w:val="00544CFA"/>
    <w:rsid w:val="00576C54"/>
    <w:rsid w:val="005A0547"/>
    <w:rsid w:val="005C58C2"/>
    <w:rsid w:val="006016C4"/>
    <w:rsid w:val="00633F6F"/>
    <w:rsid w:val="00637074"/>
    <w:rsid w:val="00656780"/>
    <w:rsid w:val="00662BF2"/>
    <w:rsid w:val="006912F7"/>
    <w:rsid w:val="006A7244"/>
    <w:rsid w:val="006B3DBE"/>
    <w:rsid w:val="006B7D06"/>
    <w:rsid w:val="006C4993"/>
    <w:rsid w:val="006F69F0"/>
    <w:rsid w:val="00720B51"/>
    <w:rsid w:val="00723074"/>
    <w:rsid w:val="007475A8"/>
    <w:rsid w:val="007828CC"/>
    <w:rsid w:val="00787ED4"/>
    <w:rsid w:val="00794567"/>
    <w:rsid w:val="007A2631"/>
    <w:rsid w:val="007B0AAF"/>
    <w:rsid w:val="007D3BFC"/>
    <w:rsid w:val="007E3326"/>
    <w:rsid w:val="008400E7"/>
    <w:rsid w:val="00841AA3"/>
    <w:rsid w:val="00845204"/>
    <w:rsid w:val="008648CC"/>
    <w:rsid w:val="00867363"/>
    <w:rsid w:val="00891521"/>
    <w:rsid w:val="008C33EB"/>
    <w:rsid w:val="008C39EA"/>
    <w:rsid w:val="0090299C"/>
    <w:rsid w:val="00926A45"/>
    <w:rsid w:val="0095569A"/>
    <w:rsid w:val="00995753"/>
    <w:rsid w:val="009B356D"/>
    <w:rsid w:val="009B45B6"/>
    <w:rsid w:val="009C1167"/>
    <w:rsid w:val="009C78DE"/>
    <w:rsid w:val="009E204C"/>
    <w:rsid w:val="00A1173D"/>
    <w:rsid w:val="00A2663A"/>
    <w:rsid w:val="00A32B31"/>
    <w:rsid w:val="00A80D5F"/>
    <w:rsid w:val="00A90189"/>
    <w:rsid w:val="00AC4686"/>
    <w:rsid w:val="00AF3931"/>
    <w:rsid w:val="00B059E2"/>
    <w:rsid w:val="00B40521"/>
    <w:rsid w:val="00B624E5"/>
    <w:rsid w:val="00B97F48"/>
    <w:rsid w:val="00BF67F2"/>
    <w:rsid w:val="00C30FE8"/>
    <w:rsid w:val="00C3264C"/>
    <w:rsid w:val="00C4771A"/>
    <w:rsid w:val="00C56383"/>
    <w:rsid w:val="00C66529"/>
    <w:rsid w:val="00C817EA"/>
    <w:rsid w:val="00CB0CC4"/>
    <w:rsid w:val="00CC6E4C"/>
    <w:rsid w:val="00CD3987"/>
    <w:rsid w:val="00CE29FD"/>
    <w:rsid w:val="00CE3DE6"/>
    <w:rsid w:val="00D11C78"/>
    <w:rsid w:val="00D37C54"/>
    <w:rsid w:val="00D41C57"/>
    <w:rsid w:val="00D8259F"/>
    <w:rsid w:val="00D91480"/>
    <w:rsid w:val="00DA6922"/>
    <w:rsid w:val="00DB09CA"/>
    <w:rsid w:val="00DD2675"/>
    <w:rsid w:val="00E04E9E"/>
    <w:rsid w:val="00E24EC6"/>
    <w:rsid w:val="00E2609B"/>
    <w:rsid w:val="00E27BB1"/>
    <w:rsid w:val="00E32727"/>
    <w:rsid w:val="00E33447"/>
    <w:rsid w:val="00E34338"/>
    <w:rsid w:val="00E40C07"/>
    <w:rsid w:val="00E41971"/>
    <w:rsid w:val="00E41FAA"/>
    <w:rsid w:val="00E67F60"/>
    <w:rsid w:val="00E73C72"/>
    <w:rsid w:val="00E753EB"/>
    <w:rsid w:val="00E80A11"/>
    <w:rsid w:val="00E97E85"/>
    <w:rsid w:val="00EA269B"/>
    <w:rsid w:val="00EA6E69"/>
    <w:rsid w:val="00EB53C9"/>
    <w:rsid w:val="00EB70E9"/>
    <w:rsid w:val="00EB7127"/>
    <w:rsid w:val="00EC0FC3"/>
    <w:rsid w:val="00ED346C"/>
    <w:rsid w:val="00EF1896"/>
    <w:rsid w:val="00F51A1A"/>
    <w:rsid w:val="00F568A4"/>
    <w:rsid w:val="00FC5A81"/>
    <w:rsid w:val="00FD436E"/>
    <w:rsid w:val="00FE0071"/>
    <w:rsid w:val="00FE6317"/>
    <w:rsid w:val="00FE6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C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91480"/>
    <w:pPr>
      <w:pBdr>
        <w:top w:val="nil"/>
        <w:left w:val="nil"/>
        <w:bottom w:val="nil"/>
        <w:right w:val="nil"/>
        <w:between w:val="nil"/>
        <w:bar w:val="nil"/>
      </w:pBdr>
    </w:pPr>
    <w:rPr>
      <w:rFonts w:eastAsia="Arial Unicode MS"/>
      <w:bdr w:val="nil"/>
    </w:rPr>
  </w:style>
  <w:style w:type="paragraph" w:styleId="Heading1">
    <w:name w:val="heading 1"/>
    <w:basedOn w:val="Normal"/>
    <w:next w:val="Normal"/>
    <w:link w:val="Heading1Char"/>
    <w:uiPriority w:val="9"/>
    <w:qFormat/>
    <w:rsid w:val="00B405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next w:val="BodyText"/>
    <w:link w:val="Heading3Char"/>
    <w:rsid w:val="00080625"/>
    <w:pPr>
      <w:keepNext/>
      <w:pBdr>
        <w:top w:val="nil"/>
        <w:left w:val="nil"/>
        <w:bottom w:val="nil"/>
        <w:right w:val="nil"/>
        <w:between w:val="nil"/>
        <w:bar w:val="nil"/>
      </w:pBdr>
      <w:spacing w:before="180" w:after="60"/>
      <w:outlineLvl w:val="2"/>
    </w:pPr>
    <w:rPr>
      <w:rFonts w:ascii="DINPro-Medium" w:eastAsia="DINPro-Medium" w:hAnsi="DINPro-Medium" w:cs="DINPro-Medium"/>
      <w:color w:val="000000"/>
      <w:sz w:val="22"/>
      <w:szCs w:val="22"/>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80625"/>
    <w:rPr>
      <w:rFonts w:ascii="DINPro-Medium" w:eastAsia="DINPro-Medium" w:hAnsi="DINPro-Medium" w:cs="DINPro-Medium"/>
      <w:color w:val="000000"/>
      <w:sz w:val="22"/>
      <w:szCs w:val="22"/>
      <w:u w:color="000000"/>
      <w:bdr w:val="nil"/>
    </w:rPr>
  </w:style>
  <w:style w:type="character" w:styleId="Hyperlink">
    <w:name w:val="Hyperlink"/>
    <w:rsid w:val="00080625"/>
    <w:rPr>
      <w:u w:val="single"/>
    </w:rPr>
  </w:style>
  <w:style w:type="paragraph" w:customStyle="1" w:styleId="HeaderFooter">
    <w:name w:val="Header &amp; Footer"/>
    <w:rsid w:val="00080625"/>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customStyle="1" w:styleId="Body">
    <w:name w:val="Body"/>
    <w:rsid w:val="00080625"/>
    <w:pPr>
      <w:pBdr>
        <w:top w:val="nil"/>
        <w:left w:val="nil"/>
        <w:bottom w:val="nil"/>
        <w:right w:val="nil"/>
        <w:between w:val="nil"/>
        <w:bar w:val="nil"/>
      </w:pBdr>
    </w:pPr>
    <w:rPr>
      <w:rFonts w:eastAsia="Arial Unicode MS" w:hAnsi="Arial Unicode MS" w:cs="Arial Unicode MS"/>
      <w:color w:val="000000"/>
      <w:u w:color="000000"/>
      <w:bdr w:val="nil"/>
    </w:rPr>
  </w:style>
  <w:style w:type="paragraph" w:styleId="ListParagraph">
    <w:name w:val="List Paragraph"/>
    <w:qFormat/>
    <w:rsid w:val="004A614A"/>
    <w:pPr>
      <w:numPr>
        <w:numId w:val="65"/>
      </w:numPr>
      <w:pBdr>
        <w:top w:val="nil"/>
        <w:left w:val="nil"/>
        <w:bottom w:val="nil"/>
        <w:right w:val="nil"/>
        <w:between w:val="nil"/>
        <w:bar w:val="nil"/>
      </w:pBdr>
      <w:jc w:val="both"/>
    </w:pPr>
    <w:rPr>
      <w:rFonts w:eastAsia="Arial Unicode MS" w:hAnsi="Arial Unicode MS" w:cs="Arial Unicode MS"/>
      <w:color w:val="000000"/>
      <w:u w:color="000000"/>
      <w:bdr w:val="nil"/>
    </w:rPr>
  </w:style>
  <w:style w:type="numbering" w:customStyle="1" w:styleId="List0">
    <w:name w:val="List 0"/>
    <w:basedOn w:val="ImportedStyle1"/>
    <w:rsid w:val="00080625"/>
    <w:pPr>
      <w:numPr>
        <w:numId w:val="3"/>
      </w:numPr>
    </w:pPr>
  </w:style>
  <w:style w:type="numbering" w:customStyle="1" w:styleId="ImportedStyle1">
    <w:name w:val="Imported Style 1"/>
    <w:rsid w:val="00080625"/>
  </w:style>
  <w:style w:type="numbering" w:customStyle="1" w:styleId="List1">
    <w:name w:val="List 1"/>
    <w:basedOn w:val="ImportedStyle2"/>
    <w:rsid w:val="00080625"/>
    <w:pPr>
      <w:numPr>
        <w:numId w:val="102"/>
      </w:numPr>
    </w:pPr>
  </w:style>
  <w:style w:type="numbering" w:customStyle="1" w:styleId="ImportedStyle2">
    <w:name w:val="Imported Style 2"/>
    <w:rsid w:val="00080625"/>
  </w:style>
  <w:style w:type="numbering" w:customStyle="1" w:styleId="List21">
    <w:name w:val="List 21"/>
    <w:basedOn w:val="ImportedStyle3"/>
    <w:rsid w:val="00080625"/>
    <w:pPr>
      <w:numPr>
        <w:numId w:val="8"/>
      </w:numPr>
    </w:pPr>
  </w:style>
  <w:style w:type="numbering" w:customStyle="1" w:styleId="ImportedStyle3">
    <w:name w:val="Imported Style 3"/>
    <w:rsid w:val="00080625"/>
  </w:style>
  <w:style w:type="paragraph" w:styleId="FootnoteText">
    <w:name w:val="footnote text"/>
    <w:aliases w:val="Footnote Text Char1,Footnote Text Char Char"/>
    <w:link w:val="FootnoteTextChar"/>
    <w:rsid w:val="00080625"/>
    <w:pPr>
      <w:pBdr>
        <w:top w:val="nil"/>
        <w:left w:val="nil"/>
        <w:bottom w:val="nil"/>
        <w:right w:val="nil"/>
        <w:between w:val="nil"/>
        <w:bar w:val="nil"/>
      </w:pBdr>
    </w:pPr>
    <w:rPr>
      <w:rFonts w:eastAsia="Times New Roman"/>
      <w:color w:val="000000"/>
      <w:sz w:val="20"/>
      <w:szCs w:val="20"/>
      <w:u w:color="000000"/>
      <w:bdr w:val="nil"/>
    </w:rPr>
  </w:style>
  <w:style w:type="character" w:customStyle="1" w:styleId="FootnoteTextChar">
    <w:name w:val="Footnote Text Char"/>
    <w:aliases w:val="Footnote Text Char1 Char,Footnote Text Char Char Char"/>
    <w:basedOn w:val="DefaultParagraphFont"/>
    <w:link w:val="FootnoteText"/>
    <w:rsid w:val="00080625"/>
    <w:rPr>
      <w:rFonts w:eastAsia="Times New Roman"/>
      <w:color w:val="000000"/>
      <w:sz w:val="20"/>
      <w:szCs w:val="20"/>
      <w:u w:color="000000"/>
      <w:bdr w:val="nil"/>
    </w:rPr>
  </w:style>
  <w:style w:type="paragraph" w:customStyle="1" w:styleId="Default">
    <w:name w:val="Default"/>
    <w:rsid w:val="00080625"/>
    <w:pPr>
      <w:pBdr>
        <w:top w:val="nil"/>
        <w:left w:val="nil"/>
        <w:bottom w:val="nil"/>
        <w:right w:val="nil"/>
        <w:between w:val="nil"/>
        <w:bar w:val="nil"/>
      </w:pBdr>
    </w:pPr>
    <w:rPr>
      <w:rFonts w:ascii="Arial" w:eastAsia="Arial" w:hAnsi="Arial" w:cs="Arial"/>
      <w:color w:val="000000"/>
      <w:u w:color="000000"/>
      <w:bdr w:val="nil"/>
    </w:rPr>
  </w:style>
  <w:style w:type="character" w:customStyle="1" w:styleId="Link">
    <w:name w:val="Link"/>
    <w:rsid w:val="00080625"/>
    <w:rPr>
      <w:color w:val="0000FF"/>
      <w:u w:val="single" w:color="0000FF"/>
    </w:rPr>
  </w:style>
  <w:style w:type="character" w:customStyle="1" w:styleId="Hyperlink0">
    <w:name w:val="Hyperlink.0"/>
    <w:basedOn w:val="Link"/>
    <w:rsid w:val="00080625"/>
    <w:rPr>
      <w:color w:val="0000FF"/>
      <w:u w:val="single" w:color="0000FF"/>
      <w:lang w:val="de-DE"/>
    </w:rPr>
  </w:style>
  <w:style w:type="numbering" w:customStyle="1" w:styleId="List31">
    <w:name w:val="List 31"/>
    <w:basedOn w:val="ImportedStyle4"/>
    <w:rsid w:val="00080625"/>
    <w:pPr>
      <w:numPr>
        <w:numId w:val="115"/>
      </w:numPr>
    </w:pPr>
  </w:style>
  <w:style w:type="numbering" w:customStyle="1" w:styleId="ImportedStyle4">
    <w:name w:val="Imported Style 4"/>
    <w:rsid w:val="00080625"/>
  </w:style>
  <w:style w:type="character" w:customStyle="1" w:styleId="Hyperlink1">
    <w:name w:val="Hyperlink.1"/>
    <w:basedOn w:val="Link"/>
    <w:rsid w:val="00080625"/>
    <w:rPr>
      <w:color w:val="0000FF"/>
      <w:u w:val="single" w:color="0000FF"/>
    </w:rPr>
  </w:style>
  <w:style w:type="numbering" w:customStyle="1" w:styleId="List41">
    <w:name w:val="List 41"/>
    <w:basedOn w:val="ImportedStyle5"/>
    <w:rsid w:val="00080625"/>
    <w:pPr>
      <w:numPr>
        <w:numId w:val="12"/>
      </w:numPr>
    </w:pPr>
  </w:style>
  <w:style w:type="numbering" w:customStyle="1" w:styleId="ImportedStyle5">
    <w:name w:val="Imported Style 5"/>
    <w:rsid w:val="00080625"/>
  </w:style>
  <w:style w:type="paragraph" w:customStyle="1" w:styleId="BodyA">
    <w:name w:val="Body A"/>
    <w:rsid w:val="00080625"/>
    <w:pPr>
      <w:pBdr>
        <w:top w:val="nil"/>
        <w:left w:val="nil"/>
        <w:bottom w:val="nil"/>
        <w:right w:val="nil"/>
        <w:between w:val="nil"/>
        <w:bar w:val="nil"/>
      </w:pBdr>
    </w:pPr>
    <w:rPr>
      <w:rFonts w:eastAsia="Times New Roman"/>
      <w:color w:val="000000"/>
      <w:u w:color="000000"/>
      <w:bdr w:val="nil"/>
    </w:rPr>
  </w:style>
  <w:style w:type="numbering" w:customStyle="1" w:styleId="List51">
    <w:name w:val="List 51"/>
    <w:basedOn w:val="ImportedStyle6"/>
    <w:rsid w:val="00080625"/>
    <w:pPr>
      <w:numPr>
        <w:numId w:val="16"/>
      </w:numPr>
    </w:pPr>
  </w:style>
  <w:style w:type="numbering" w:customStyle="1" w:styleId="ImportedStyle6">
    <w:name w:val="Imported Style 6"/>
    <w:rsid w:val="00080625"/>
  </w:style>
  <w:style w:type="numbering" w:customStyle="1" w:styleId="List6">
    <w:name w:val="List 6"/>
    <w:basedOn w:val="ImportedStyle7"/>
    <w:rsid w:val="00080625"/>
    <w:pPr>
      <w:numPr>
        <w:numId w:val="27"/>
      </w:numPr>
    </w:pPr>
  </w:style>
  <w:style w:type="numbering" w:customStyle="1" w:styleId="ImportedStyle7">
    <w:name w:val="Imported Style 7"/>
    <w:rsid w:val="00080625"/>
  </w:style>
  <w:style w:type="numbering" w:customStyle="1" w:styleId="List7">
    <w:name w:val="List 7"/>
    <w:basedOn w:val="ImportedStyle8"/>
    <w:rsid w:val="00080625"/>
    <w:pPr>
      <w:numPr>
        <w:numId w:val="29"/>
      </w:numPr>
    </w:pPr>
  </w:style>
  <w:style w:type="numbering" w:customStyle="1" w:styleId="ImportedStyle8">
    <w:name w:val="Imported Style 8"/>
    <w:rsid w:val="00080625"/>
  </w:style>
  <w:style w:type="numbering" w:customStyle="1" w:styleId="List8">
    <w:name w:val="List 8"/>
    <w:basedOn w:val="ImportedStyle7"/>
    <w:rsid w:val="00080625"/>
    <w:pPr>
      <w:numPr>
        <w:numId w:val="32"/>
      </w:numPr>
    </w:pPr>
  </w:style>
  <w:style w:type="numbering" w:customStyle="1" w:styleId="List9">
    <w:name w:val="List 9"/>
    <w:basedOn w:val="ImportedStyle9"/>
    <w:rsid w:val="00080625"/>
    <w:pPr>
      <w:numPr>
        <w:numId w:val="36"/>
      </w:numPr>
    </w:pPr>
  </w:style>
  <w:style w:type="numbering" w:customStyle="1" w:styleId="ImportedStyle9">
    <w:name w:val="Imported Style 9"/>
    <w:rsid w:val="00080625"/>
  </w:style>
  <w:style w:type="numbering" w:customStyle="1" w:styleId="List10">
    <w:name w:val="List 10"/>
    <w:basedOn w:val="ImportedStyle10"/>
    <w:rsid w:val="00080625"/>
    <w:pPr>
      <w:numPr>
        <w:numId w:val="39"/>
      </w:numPr>
    </w:pPr>
  </w:style>
  <w:style w:type="numbering" w:customStyle="1" w:styleId="ImportedStyle10">
    <w:name w:val="Imported Style 10"/>
    <w:rsid w:val="00080625"/>
  </w:style>
  <w:style w:type="numbering" w:customStyle="1" w:styleId="List11">
    <w:name w:val="List 11"/>
    <w:basedOn w:val="ImportedStyle11"/>
    <w:rsid w:val="00080625"/>
    <w:pPr>
      <w:numPr>
        <w:numId w:val="46"/>
      </w:numPr>
    </w:pPr>
  </w:style>
  <w:style w:type="numbering" w:customStyle="1" w:styleId="ImportedStyle11">
    <w:name w:val="Imported Style 11"/>
    <w:rsid w:val="00080625"/>
  </w:style>
  <w:style w:type="numbering" w:customStyle="1" w:styleId="List12">
    <w:name w:val="List 12"/>
    <w:basedOn w:val="ImportedStyle2"/>
    <w:rsid w:val="00080625"/>
    <w:pPr>
      <w:numPr>
        <w:numId w:val="47"/>
      </w:numPr>
    </w:pPr>
  </w:style>
  <w:style w:type="numbering" w:customStyle="1" w:styleId="List13">
    <w:name w:val="List 13"/>
    <w:basedOn w:val="ImportedStyle12"/>
    <w:rsid w:val="00080625"/>
    <w:pPr>
      <w:numPr>
        <w:numId w:val="51"/>
      </w:numPr>
    </w:pPr>
  </w:style>
  <w:style w:type="numbering" w:customStyle="1" w:styleId="ImportedStyle12">
    <w:name w:val="Imported Style 12"/>
    <w:rsid w:val="00080625"/>
  </w:style>
  <w:style w:type="numbering" w:customStyle="1" w:styleId="List14">
    <w:name w:val="List 14"/>
    <w:basedOn w:val="ImportedStyle13"/>
    <w:rsid w:val="00080625"/>
    <w:pPr>
      <w:numPr>
        <w:numId w:val="54"/>
      </w:numPr>
    </w:pPr>
  </w:style>
  <w:style w:type="numbering" w:customStyle="1" w:styleId="ImportedStyle13">
    <w:name w:val="Imported Style 13"/>
    <w:rsid w:val="00080625"/>
  </w:style>
  <w:style w:type="numbering" w:customStyle="1" w:styleId="List15">
    <w:name w:val="List 15"/>
    <w:basedOn w:val="ImportedStyle15"/>
    <w:rsid w:val="00080625"/>
    <w:pPr>
      <w:numPr>
        <w:numId w:val="56"/>
      </w:numPr>
    </w:pPr>
  </w:style>
  <w:style w:type="numbering" w:customStyle="1" w:styleId="ImportedStyle15">
    <w:name w:val="Imported Style 15"/>
    <w:rsid w:val="00080625"/>
  </w:style>
  <w:style w:type="numbering" w:customStyle="1" w:styleId="List16">
    <w:name w:val="List 16"/>
    <w:basedOn w:val="ImportedStyle16"/>
    <w:rsid w:val="00080625"/>
    <w:pPr>
      <w:numPr>
        <w:numId w:val="57"/>
      </w:numPr>
    </w:pPr>
  </w:style>
  <w:style w:type="numbering" w:customStyle="1" w:styleId="ImportedStyle16">
    <w:name w:val="Imported Style 16"/>
    <w:rsid w:val="00080625"/>
  </w:style>
  <w:style w:type="numbering" w:customStyle="1" w:styleId="List17">
    <w:name w:val="List 17"/>
    <w:basedOn w:val="ImportedStyle17"/>
    <w:rsid w:val="00080625"/>
    <w:pPr>
      <w:numPr>
        <w:numId w:val="58"/>
      </w:numPr>
    </w:pPr>
  </w:style>
  <w:style w:type="numbering" w:customStyle="1" w:styleId="ImportedStyle17">
    <w:name w:val="Imported Style 17"/>
    <w:rsid w:val="00080625"/>
  </w:style>
  <w:style w:type="numbering" w:customStyle="1" w:styleId="List18">
    <w:name w:val="List 18"/>
    <w:basedOn w:val="ImportedStyle18"/>
    <w:rsid w:val="00080625"/>
    <w:pPr>
      <w:numPr>
        <w:numId w:val="59"/>
      </w:numPr>
    </w:pPr>
  </w:style>
  <w:style w:type="numbering" w:customStyle="1" w:styleId="ImportedStyle18">
    <w:name w:val="Imported Style 18"/>
    <w:rsid w:val="00080625"/>
  </w:style>
  <w:style w:type="character" w:customStyle="1" w:styleId="Hyperlink2">
    <w:name w:val="Hyperlink.2"/>
    <w:basedOn w:val="Link"/>
    <w:rsid w:val="00080625"/>
    <w:rPr>
      <w:color w:val="0000FF"/>
      <w:sz w:val="20"/>
      <w:szCs w:val="20"/>
      <w:u w:val="single" w:color="0000FF"/>
    </w:rPr>
  </w:style>
  <w:style w:type="numbering" w:customStyle="1" w:styleId="List19">
    <w:name w:val="List 19"/>
    <w:basedOn w:val="ImportedStyle19"/>
    <w:rsid w:val="00080625"/>
    <w:pPr>
      <w:numPr>
        <w:numId w:val="103"/>
      </w:numPr>
    </w:pPr>
  </w:style>
  <w:style w:type="numbering" w:customStyle="1" w:styleId="ImportedStyle19">
    <w:name w:val="Imported Style 19"/>
    <w:rsid w:val="00080625"/>
  </w:style>
  <w:style w:type="character" w:customStyle="1" w:styleId="Hyperlink3">
    <w:name w:val="Hyperlink.3"/>
    <w:basedOn w:val="Link"/>
    <w:rsid w:val="00080625"/>
    <w:rPr>
      <w:color w:val="0000FF"/>
      <w:u w:val="single" w:color="0000FF"/>
      <w:lang w:val="en-US"/>
    </w:rPr>
  </w:style>
  <w:style w:type="numbering" w:customStyle="1" w:styleId="List20">
    <w:name w:val="List 20"/>
    <w:basedOn w:val="ImportedStyle20"/>
    <w:rsid w:val="00080625"/>
    <w:pPr>
      <w:numPr>
        <w:numId w:val="65"/>
      </w:numPr>
    </w:pPr>
  </w:style>
  <w:style w:type="numbering" w:customStyle="1" w:styleId="ImportedStyle20">
    <w:name w:val="Imported Style 20"/>
    <w:rsid w:val="00080625"/>
  </w:style>
  <w:style w:type="numbering" w:customStyle="1" w:styleId="ImportedStyle21">
    <w:name w:val="Imported Style 21"/>
    <w:rsid w:val="00080625"/>
  </w:style>
  <w:style w:type="numbering" w:customStyle="1" w:styleId="List22">
    <w:name w:val="List 22"/>
    <w:basedOn w:val="ImportedStyle2"/>
    <w:rsid w:val="00080625"/>
    <w:pPr>
      <w:numPr>
        <w:numId w:val="67"/>
      </w:numPr>
    </w:pPr>
  </w:style>
  <w:style w:type="numbering" w:customStyle="1" w:styleId="List23">
    <w:name w:val="List 23"/>
    <w:basedOn w:val="ImportedStyle22"/>
    <w:rsid w:val="00080625"/>
    <w:pPr>
      <w:numPr>
        <w:numId w:val="114"/>
      </w:numPr>
    </w:pPr>
  </w:style>
  <w:style w:type="numbering" w:customStyle="1" w:styleId="ImportedStyle22">
    <w:name w:val="Imported Style 22"/>
    <w:rsid w:val="00080625"/>
  </w:style>
  <w:style w:type="numbering" w:customStyle="1" w:styleId="List24">
    <w:name w:val="List 24"/>
    <w:basedOn w:val="ImportedStyle23"/>
    <w:rsid w:val="00080625"/>
    <w:pPr>
      <w:numPr>
        <w:numId w:val="71"/>
      </w:numPr>
    </w:pPr>
  </w:style>
  <w:style w:type="numbering" w:customStyle="1" w:styleId="ImportedStyle23">
    <w:name w:val="Imported Style 23"/>
    <w:rsid w:val="00080625"/>
  </w:style>
  <w:style w:type="numbering" w:customStyle="1" w:styleId="List25">
    <w:name w:val="List 25"/>
    <w:basedOn w:val="ImportedStyle23"/>
    <w:rsid w:val="00080625"/>
    <w:pPr>
      <w:numPr>
        <w:numId w:val="117"/>
      </w:numPr>
    </w:pPr>
  </w:style>
  <w:style w:type="paragraph" w:styleId="BodyText">
    <w:name w:val="Body Text"/>
    <w:link w:val="BodyTextChar"/>
    <w:rsid w:val="00080625"/>
    <w:pPr>
      <w:pBdr>
        <w:top w:val="nil"/>
        <w:left w:val="nil"/>
        <w:bottom w:val="nil"/>
        <w:right w:val="nil"/>
        <w:between w:val="nil"/>
        <w:bar w:val="nil"/>
      </w:pBdr>
      <w:spacing w:after="120"/>
    </w:pPr>
    <w:rPr>
      <w:rFonts w:ascii="Gill Sans Light" w:eastAsia="Arial Unicode MS" w:hAnsi="Arial Unicode MS" w:cs="Arial Unicode MS"/>
      <w:color w:val="000000"/>
      <w:sz w:val="22"/>
      <w:szCs w:val="22"/>
      <w:u w:color="000000"/>
      <w:bdr w:val="nil"/>
    </w:rPr>
  </w:style>
  <w:style w:type="character" w:customStyle="1" w:styleId="BodyTextChar">
    <w:name w:val="Body Text Char"/>
    <w:basedOn w:val="DefaultParagraphFont"/>
    <w:link w:val="BodyText"/>
    <w:rsid w:val="00080625"/>
    <w:rPr>
      <w:rFonts w:ascii="Gill Sans Light" w:eastAsia="Arial Unicode MS" w:hAnsi="Arial Unicode MS" w:cs="Arial Unicode MS"/>
      <w:color w:val="000000"/>
      <w:sz w:val="22"/>
      <w:szCs w:val="22"/>
      <w:u w:color="000000"/>
      <w:bdr w:val="nil"/>
    </w:rPr>
  </w:style>
  <w:style w:type="paragraph" w:styleId="CommentText">
    <w:name w:val="annotation text"/>
    <w:link w:val="CommentTextChar"/>
    <w:uiPriority w:val="99"/>
    <w:rsid w:val="00080625"/>
    <w:pPr>
      <w:pBdr>
        <w:top w:val="nil"/>
        <w:left w:val="nil"/>
        <w:bottom w:val="nil"/>
        <w:right w:val="nil"/>
        <w:between w:val="nil"/>
        <w:bar w:val="nil"/>
      </w:pBdr>
    </w:pPr>
    <w:rPr>
      <w:rFonts w:eastAsia="Times New Roman"/>
      <w:color w:val="000000"/>
      <w:sz w:val="20"/>
      <w:szCs w:val="20"/>
      <w:u w:color="000000"/>
      <w:bdr w:val="nil"/>
    </w:rPr>
  </w:style>
  <w:style w:type="character" w:customStyle="1" w:styleId="CommentTextChar">
    <w:name w:val="Comment Text Char"/>
    <w:basedOn w:val="DefaultParagraphFont"/>
    <w:link w:val="CommentText"/>
    <w:uiPriority w:val="99"/>
    <w:rsid w:val="00080625"/>
    <w:rPr>
      <w:rFonts w:eastAsia="Times New Roman"/>
      <w:color w:val="000000"/>
      <w:sz w:val="20"/>
      <w:szCs w:val="20"/>
      <w:u w:color="000000"/>
      <w:bdr w:val="nil"/>
    </w:rPr>
  </w:style>
  <w:style w:type="numbering" w:customStyle="1" w:styleId="List26">
    <w:name w:val="List 26"/>
    <w:basedOn w:val="ImportedStyle24"/>
    <w:rsid w:val="00080625"/>
    <w:pPr>
      <w:numPr>
        <w:numId w:val="72"/>
      </w:numPr>
    </w:pPr>
  </w:style>
  <w:style w:type="numbering" w:customStyle="1" w:styleId="ImportedStyle24">
    <w:name w:val="Imported Style 24"/>
    <w:rsid w:val="00080625"/>
  </w:style>
  <w:style w:type="numbering" w:customStyle="1" w:styleId="List27">
    <w:name w:val="List 27"/>
    <w:basedOn w:val="ImportedStyle25"/>
    <w:rsid w:val="00080625"/>
    <w:pPr>
      <w:numPr>
        <w:numId w:val="116"/>
      </w:numPr>
    </w:pPr>
  </w:style>
  <w:style w:type="numbering" w:customStyle="1" w:styleId="ImportedStyle25">
    <w:name w:val="Imported Style 25"/>
    <w:rsid w:val="00080625"/>
  </w:style>
  <w:style w:type="numbering" w:customStyle="1" w:styleId="List28">
    <w:name w:val="List 28"/>
    <w:basedOn w:val="ImportedStyle2"/>
    <w:rsid w:val="00080625"/>
    <w:pPr>
      <w:numPr>
        <w:numId w:val="77"/>
      </w:numPr>
    </w:pPr>
  </w:style>
  <w:style w:type="numbering" w:customStyle="1" w:styleId="List29">
    <w:name w:val="List 29"/>
    <w:basedOn w:val="ImportedStyle26"/>
    <w:rsid w:val="00080625"/>
    <w:pPr>
      <w:numPr>
        <w:numId w:val="78"/>
      </w:numPr>
    </w:pPr>
  </w:style>
  <w:style w:type="numbering" w:customStyle="1" w:styleId="ImportedStyle26">
    <w:name w:val="Imported Style 26"/>
    <w:rsid w:val="00080625"/>
  </w:style>
  <w:style w:type="character" w:styleId="CommentReference">
    <w:name w:val="annotation reference"/>
    <w:basedOn w:val="DefaultParagraphFont"/>
    <w:uiPriority w:val="99"/>
    <w:semiHidden/>
    <w:unhideWhenUsed/>
    <w:rsid w:val="00080625"/>
    <w:rPr>
      <w:sz w:val="16"/>
      <w:szCs w:val="16"/>
    </w:rPr>
  </w:style>
  <w:style w:type="paragraph" w:styleId="BalloonText">
    <w:name w:val="Balloon Text"/>
    <w:basedOn w:val="Normal"/>
    <w:link w:val="BalloonTextChar"/>
    <w:uiPriority w:val="99"/>
    <w:semiHidden/>
    <w:unhideWhenUsed/>
    <w:rsid w:val="00080625"/>
    <w:rPr>
      <w:rFonts w:ascii="Tahoma" w:hAnsi="Tahoma" w:cs="Tahoma"/>
      <w:sz w:val="16"/>
      <w:szCs w:val="16"/>
    </w:rPr>
  </w:style>
  <w:style w:type="character" w:customStyle="1" w:styleId="BalloonTextChar">
    <w:name w:val="Balloon Text Char"/>
    <w:basedOn w:val="DefaultParagraphFont"/>
    <w:link w:val="BalloonText"/>
    <w:uiPriority w:val="99"/>
    <w:semiHidden/>
    <w:rsid w:val="00080625"/>
    <w:rPr>
      <w:rFonts w:ascii="Tahoma" w:eastAsia="Arial Unicode MS" w:hAnsi="Tahoma" w:cs="Tahoma"/>
      <w:sz w:val="16"/>
      <w:szCs w:val="16"/>
      <w:bdr w:val="nil"/>
    </w:rPr>
  </w:style>
  <w:style w:type="paragraph" w:styleId="CommentSubject">
    <w:name w:val="annotation subject"/>
    <w:basedOn w:val="CommentText"/>
    <w:next w:val="CommentText"/>
    <w:link w:val="CommentSubjectChar"/>
    <w:uiPriority w:val="99"/>
    <w:semiHidden/>
    <w:unhideWhenUsed/>
    <w:rsid w:val="00080625"/>
    <w:rPr>
      <w:rFonts w:eastAsia="Arial Unicode MS"/>
      <w:b/>
      <w:bCs/>
      <w:color w:val="auto"/>
    </w:rPr>
  </w:style>
  <w:style w:type="character" w:customStyle="1" w:styleId="CommentSubjectChar">
    <w:name w:val="Comment Subject Char"/>
    <w:basedOn w:val="CommentTextChar"/>
    <w:link w:val="CommentSubject"/>
    <w:uiPriority w:val="99"/>
    <w:semiHidden/>
    <w:rsid w:val="00080625"/>
    <w:rPr>
      <w:rFonts w:eastAsia="Arial Unicode MS"/>
      <w:b/>
      <w:bCs/>
      <w:color w:val="000000"/>
      <w:sz w:val="20"/>
      <w:szCs w:val="20"/>
      <w:u w:color="000000"/>
      <w:bdr w:val="nil"/>
    </w:rPr>
  </w:style>
  <w:style w:type="character" w:styleId="FootnoteReference">
    <w:name w:val="footnote reference"/>
    <w:basedOn w:val="DefaultParagraphFont"/>
    <w:unhideWhenUsed/>
    <w:rsid w:val="00080625"/>
    <w:rPr>
      <w:vertAlign w:val="superscript"/>
    </w:rPr>
  </w:style>
  <w:style w:type="character" w:customStyle="1" w:styleId="FootnoteReference1">
    <w:name w:val="Footnote Reference1"/>
    <w:basedOn w:val="DefaultParagraphFont"/>
    <w:rsid w:val="00080625"/>
    <w:rPr>
      <w:vertAlign w:val="superscript"/>
    </w:rPr>
  </w:style>
  <w:style w:type="character" w:customStyle="1" w:styleId="FootnoteCharacters">
    <w:name w:val="Footnote Characters"/>
    <w:rsid w:val="00080625"/>
  </w:style>
  <w:style w:type="paragraph" w:customStyle="1" w:styleId="FootnoteText1">
    <w:name w:val="Footnote Text1"/>
    <w:basedOn w:val="Normal"/>
    <w:rsid w:val="0008062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100" w:lineRule="atLeast"/>
    </w:pPr>
    <w:rPr>
      <w:kern w:val="1"/>
      <w:sz w:val="20"/>
      <w:szCs w:val="20"/>
      <w:bdr w:val="none" w:sz="0" w:space="0" w:color="auto"/>
      <w:lang w:eastAsia="ar-SA"/>
    </w:rPr>
  </w:style>
  <w:style w:type="character" w:styleId="Strong">
    <w:name w:val="Strong"/>
    <w:basedOn w:val="DefaultParagraphFont"/>
    <w:qFormat/>
    <w:rsid w:val="00080625"/>
    <w:rPr>
      <w:rFonts w:ascii="DINPro-Medium" w:hAnsi="DINPro-Medium" w:cs="DINPro-Medium" w:hint="default"/>
      <w:b w:val="0"/>
      <w:bCs w:val="0"/>
      <w:sz w:val="22"/>
      <w:lang w:val="en-GB"/>
    </w:rPr>
  </w:style>
  <w:style w:type="character" w:customStyle="1" w:styleId="Funotenzeichen">
    <w:name w:val="Fußnotenzeichen"/>
    <w:basedOn w:val="DefaultParagraphFont"/>
    <w:rsid w:val="00080625"/>
    <w:rPr>
      <w:vertAlign w:val="superscript"/>
    </w:rPr>
  </w:style>
  <w:style w:type="paragraph" w:styleId="Header">
    <w:name w:val="header"/>
    <w:basedOn w:val="Normal"/>
    <w:link w:val="HeaderChar"/>
    <w:uiPriority w:val="99"/>
    <w:unhideWhenUsed/>
    <w:rsid w:val="00080625"/>
    <w:pPr>
      <w:tabs>
        <w:tab w:val="center" w:pos="4680"/>
        <w:tab w:val="right" w:pos="9360"/>
      </w:tabs>
    </w:pPr>
  </w:style>
  <w:style w:type="character" w:customStyle="1" w:styleId="HeaderChar">
    <w:name w:val="Header Char"/>
    <w:basedOn w:val="DefaultParagraphFont"/>
    <w:link w:val="Header"/>
    <w:uiPriority w:val="99"/>
    <w:rsid w:val="00080625"/>
    <w:rPr>
      <w:rFonts w:eastAsia="Arial Unicode MS"/>
      <w:bdr w:val="nil"/>
    </w:rPr>
  </w:style>
  <w:style w:type="paragraph" w:styleId="Footer">
    <w:name w:val="footer"/>
    <w:basedOn w:val="Normal"/>
    <w:link w:val="FooterChar"/>
    <w:uiPriority w:val="99"/>
    <w:unhideWhenUsed/>
    <w:rsid w:val="00080625"/>
    <w:pPr>
      <w:tabs>
        <w:tab w:val="center" w:pos="4680"/>
        <w:tab w:val="right" w:pos="9360"/>
      </w:tabs>
    </w:pPr>
  </w:style>
  <w:style w:type="character" w:customStyle="1" w:styleId="FooterChar">
    <w:name w:val="Footer Char"/>
    <w:basedOn w:val="DefaultParagraphFont"/>
    <w:link w:val="Footer"/>
    <w:uiPriority w:val="99"/>
    <w:rsid w:val="00080625"/>
    <w:rPr>
      <w:rFonts w:eastAsia="Arial Unicode MS"/>
      <w:bdr w:val="nil"/>
    </w:rPr>
  </w:style>
  <w:style w:type="paragraph" w:styleId="NoSpacing">
    <w:name w:val="No Spacing"/>
    <w:uiPriority w:val="1"/>
    <w:qFormat/>
    <w:rsid w:val="00080625"/>
    <w:pPr>
      <w:pBdr>
        <w:top w:val="nil"/>
        <w:left w:val="nil"/>
        <w:bottom w:val="nil"/>
        <w:right w:val="nil"/>
        <w:between w:val="nil"/>
        <w:bar w:val="nil"/>
      </w:pBdr>
    </w:pPr>
    <w:rPr>
      <w:rFonts w:eastAsia="Arial Unicode MS"/>
      <w:bdr w:val="nil"/>
    </w:rPr>
  </w:style>
  <w:style w:type="character" w:customStyle="1" w:styleId="Heading1Char">
    <w:name w:val="Heading 1 Char"/>
    <w:basedOn w:val="DefaultParagraphFont"/>
    <w:link w:val="Heading1"/>
    <w:uiPriority w:val="9"/>
    <w:rsid w:val="00B40521"/>
    <w:rPr>
      <w:rFonts w:asciiTheme="majorHAnsi" w:eastAsiaTheme="majorEastAsia" w:hAnsiTheme="majorHAnsi" w:cstheme="majorBidi"/>
      <w:b/>
      <w:bCs/>
      <w:color w:val="365F91" w:themeColor="accent1" w:themeShade="BF"/>
      <w:sz w:val="28"/>
      <w:szCs w:val="28"/>
      <w:bdr w:val="nil"/>
    </w:rPr>
  </w:style>
  <w:style w:type="paragraph" w:customStyle="1" w:styleId="ZCom">
    <w:name w:val="Z_Com"/>
    <w:basedOn w:val="Normal"/>
    <w:next w:val="ZDGName"/>
    <w:uiPriority w:val="99"/>
    <w:rsid w:val="00B405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jc w:val="both"/>
    </w:pPr>
    <w:rPr>
      <w:rFonts w:ascii="Arial" w:eastAsiaTheme="minorEastAsia" w:hAnsi="Arial" w:cs="Arial"/>
      <w:bdr w:val="none" w:sz="0" w:space="0" w:color="auto"/>
      <w:lang w:val="en-GB" w:eastAsia="en-GB"/>
    </w:rPr>
  </w:style>
  <w:style w:type="paragraph" w:customStyle="1" w:styleId="ZDGName">
    <w:name w:val="Z_DGName"/>
    <w:basedOn w:val="Normal"/>
    <w:uiPriority w:val="99"/>
    <w:rsid w:val="00B405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pPr>
    <w:rPr>
      <w:rFonts w:ascii="Arial" w:eastAsiaTheme="minorEastAsia" w:hAnsi="Arial" w:cs="Arial"/>
      <w:sz w:val="16"/>
      <w:szCs w:val="16"/>
      <w:bdr w:val="none" w:sz="0" w:space="0" w:color="auto"/>
      <w:lang w:val="en-GB" w:eastAsia="en-GB"/>
    </w:rPr>
  </w:style>
  <w:style w:type="table" w:styleId="TableGrid">
    <w:name w:val="Table Grid"/>
    <w:basedOn w:val="TableNormal"/>
    <w:uiPriority w:val="59"/>
    <w:rsid w:val="00B40521"/>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405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91480"/>
    <w:pPr>
      <w:pBdr>
        <w:top w:val="nil"/>
        <w:left w:val="nil"/>
        <w:bottom w:val="nil"/>
        <w:right w:val="nil"/>
        <w:between w:val="nil"/>
        <w:bar w:val="nil"/>
      </w:pBdr>
    </w:pPr>
    <w:rPr>
      <w:rFonts w:eastAsia="Arial Unicode MS"/>
      <w:bdr w:val="nil"/>
    </w:rPr>
  </w:style>
  <w:style w:type="paragraph" w:styleId="Heading1">
    <w:name w:val="heading 1"/>
    <w:basedOn w:val="Normal"/>
    <w:next w:val="Normal"/>
    <w:link w:val="Heading1Char"/>
    <w:uiPriority w:val="9"/>
    <w:qFormat/>
    <w:rsid w:val="00B405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next w:val="BodyText"/>
    <w:link w:val="Heading3Char"/>
    <w:rsid w:val="00080625"/>
    <w:pPr>
      <w:keepNext/>
      <w:pBdr>
        <w:top w:val="nil"/>
        <w:left w:val="nil"/>
        <w:bottom w:val="nil"/>
        <w:right w:val="nil"/>
        <w:between w:val="nil"/>
        <w:bar w:val="nil"/>
      </w:pBdr>
      <w:spacing w:before="180" w:after="60"/>
      <w:outlineLvl w:val="2"/>
    </w:pPr>
    <w:rPr>
      <w:rFonts w:ascii="DINPro-Medium" w:eastAsia="DINPro-Medium" w:hAnsi="DINPro-Medium" w:cs="DINPro-Medium"/>
      <w:color w:val="000000"/>
      <w:sz w:val="22"/>
      <w:szCs w:val="22"/>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80625"/>
    <w:rPr>
      <w:rFonts w:ascii="DINPro-Medium" w:eastAsia="DINPro-Medium" w:hAnsi="DINPro-Medium" w:cs="DINPro-Medium"/>
      <w:color w:val="000000"/>
      <w:sz w:val="22"/>
      <w:szCs w:val="22"/>
      <w:u w:color="000000"/>
      <w:bdr w:val="nil"/>
    </w:rPr>
  </w:style>
  <w:style w:type="character" w:styleId="Hyperlink">
    <w:name w:val="Hyperlink"/>
    <w:rsid w:val="00080625"/>
    <w:rPr>
      <w:u w:val="single"/>
    </w:rPr>
  </w:style>
  <w:style w:type="paragraph" w:customStyle="1" w:styleId="HeaderFooter">
    <w:name w:val="Header &amp; Footer"/>
    <w:rsid w:val="00080625"/>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customStyle="1" w:styleId="Body">
    <w:name w:val="Body"/>
    <w:rsid w:val="00080625"/>
    <w:pPr>
      <w:pBdr>
        <w:top w:val="nil"/>
        <w:left w:val="nil"/>
        <w:bottom w:val="nil"/>
        <w:right w:val="nil"/>
        <w:between w:val="nil"/>
        <w:bar w:val="nil"/>
      </w:pBdr>
    </w:pPr>
    <w:rPr>
      <w:rFonts w:eastAsia="Arial Unicode MS" w:hAnsi="Arial Unicode MS" w:cs="Arial Unicode MS"/>
      <w:color w:val="000000"/>
      <w:u w:color="000000"/>
      <w:bdr w:val="nil"/>
    </w:rPr>
  </w:style>
  <w:style w:type="paragraph" w:styleId="ListParagraph">
    <w:name w:val="List Paragraph"/>
    <w:qFormat/>
    <w:rsid w:val="004A614A"/>
    <w:pPr>
      <w:numPr>
        <w:numId w:val="65"/>
      </w:numPr>
      <w:pBdr>
        <w:top w:val="nil"/>
        <w:left w:val="nil"/>
        <w:bottom w:val="nil"/>
        <w:right w:val="nil"/>
        <w:between w:val="nil"/>
        <w:bar w:val="nil"/>
      </w:pBdr>
      <w:jc w:val="both"/>
    </w:pPr>
    <w:rPr>
      <w:rFonts w:eastAsia="Arial Unicode MS" w:hAnsi="Arial Unicode MS" w:cs="Arial Unicode MS"/>
      <w:color w:val="000000"/>
      <w:u w:color="000000"/>
      <w:bdr w:val="nil"/>
    </w:rPr>
  </w:style>
  <w:style w:type="numbering" w:customStyle="1" w:styleId="List0">
    <w:name w:val="List 0"/>
    <w:basedOn w:val="ImportedStyle1"/>
    <w:rsid w:val="00080625"/>
    <w:pPr>
      <w:numPr>
        <w:numId w:val="3"/>
      </w:numPr>
    </w:pPr>
  </w:style>
  <w:style w:type="numbering" w:customStyle="1" w:styleId="ImportedStyle1">
    <w:name w:val="Imported Style 1"/>
    <w:rsid w:val="00080625"/>
  </w:style>
  <w:style w:type="numbering" w:customStyle="1" w:styleId="List1">
    <w:name w:val="List 1"/>
    <w:basedOn w:val="ImportedStyle2"/>
    <w:rsid w:val="00080625"/>
    <w:pPr>
      <w:numPr>
        <w:numId w:val="102"/>
      </w:numPr>
    </w:pPr>
  </w:style>
  <w:style w:type="numbering" w:customStyle="1" w:styleId="ImportedStyle2">
    <w:name w:val="Imported Style 2"/>
    <w:rsid w:val="00080625"/>
  </w:style>
  <w:style w:type="numbering" w:customStyle="1" w:styleId="List21">
    <w:name w:val="List 21"/>
    <w:basedOn w:val="ImportedStyle3"/>
    <w:rsid w:val="00080625"/>
    <w:pPr>
      <w:numPr>
        <w:numId w:val="8"/>
      </w:numPr>
    </w:pPr>
  </w:style>
  <w:style w:type="numbering" w:customStyle="1" w:styleId="ImportedStyle3">
    <w:name w:val="Imported Style 3"/>
    <w:rsid w:val="00080625"/>
  </w:style>
  <w:style w:type="paragraph" w:styleId="FootnoteText">
    <w:name w:val="footnote text"/>
    <w:aliases w:val="Footnote Text Char1,Footnote Text Char Char"/>
    <w:link w:val="FootnoteTextChar"/>
    <w:rsid w:val="00080625"/>
    <w:pPr>
      <w:pBdr>
        <w:top w:val="nil"/>
        <w:left w:val="nil"/>
        <w:bottom w:val="nil"/>
        <w:right w:val="nil"/>
        <w:between w:val="nil"/>
        <w:bar w:val="nil"/>
      </w:pBdr>
    </w:pPr>
    <w:rPr>
      <w:rFonts w:eastAsia="Times New Roman"/>
      <w:color w:val="000000"/>
      <w:sz w:val="20"/>
      <w:szCs w:val="20"/>
      <w:u w:color="000000"/>
      <w:bdr w:val="nil"/>
    </w:rPr>
  </w:style>
  <w:style w:type="character" w:customStyle="1" w:styleId="FootnoteTextChar">
    <w:name w:val="Footnote Text Char"/>
    <w:aliases w:val="Footnote Text Char1 Char,Footnote Text Char Char Char"/>
    <w:basedOn w:val="DefaultParagraphFont"/>
    <w:link w:val="FootnoteText"/>
    <w:rsid w:val="00080625"/>
    <w:rPr>
      <w:rFonts w:eastAsia="Times New Roman"/>
      <w:color w:val="000000"/>
      <w:sz w:val="20"/>
      <w:szCs w:val="20"/>
      <w:u w:color="000000"/>
      <w:bdr w:val="nil"/>
    </w:rPr>
  </w:style>
  <w:style w:type="paragraph" w:customStyle="1" w:styleId="Default">
    <w:name w:val="Default"/>
    <w:rsid w:val="00080625"/>
    <w:pPr>
      <w:pBdr>
        <w:top w:val="nil"/>
        <w:left w:val="nil"/>
        <w:bottom w:val="nil"/>
        <w:right w:val="nil"/>
        <w:between w:val="nil"/>
        <w:bar w:val="nil"/>
      </w:pBdr>
    </w:pPr>
    <w:rPr>
      <w:rFonts w:ascii="Arial" w:eastAsia="Arial" w:hAnsi="Arial" w:cs="Arial"/>
      <w:color w:val="000000"/>
      <w:u w:color="000000"/>
      <w:bdr w:val="nil"/>
    </w:rPr>
  </w:style>
  <w:style w:type="character" w:customStyle="1" w:styleId="Link">
    <w:name w:val="Link"/>
    <w:rsid w:val="00080625"/>
    <w:rPr>
      <w:color w:val="0000FF"/>
      <w:u w:val="single" w:color="0000FF"/>
    </w:rPr>
  </w:style>
  <w:style w:type="character" w:customStyle="1" w:styleId="Hyperlink0">
    <w:name w:val="Hyperlink.0"/>
    <w:basedOn w:val="Link"/>
    <w:rsid w:val="00080625"/>
    <w:rPr>
      <w:color w:val="0000FF"/>
      <w:u w:val="single" w:color="0000FF"/>
      <w:lang w:val="de-DE"/>
    </w:rPr>
  </w:style>
  <w:style w:type="numbering" w:customStyle="1" w:styleId="List31">
    <w:name w:val="List 31"/>
    <w:basedOn w:val="ImportedStyle4"/>
    <w:rsid w:val="00080625"/>
    <w:pPr>
      <w:numPr>
        <w:numId w:val="115"/>
      </w:numPr>
    </w:pPr>
  </w:style>
  <w:style w:type="numbering" w:customStyle="1" w:styleId="ImportedStyle4">
    <w:name w:val="Imported Style 4"/>
    <w:rsid w:val="00080625"/>
  </w:style>
  <w:style w:type="character" w:customStyle="1" w:styleId="Hyperlink1">
    <w:name w:val="Hyperlink.1"/>
    <w:basedOn w:val="Link"/>
    <w:rsid w:val="00080625"/>
    <w:rPr>
      <w:color w:val="0000FF"/>
      <w:u w:val="single" w:color="0000FF"/>
    </w:rPr>
  </w:style>
  <w:style w:type="numbering" w:customStyle="1" w:styleId="List41">
    <w:name w:val="List 41"/>
    <w:basedOn w:val="ImportedStyle5"/>
    <w:rsid w:val="00080625"/>
    <w:pPr>
      <w:numPr>
        <w:numId w:val="12"/>
      </w:numPr>
    </w:pPr>
  </w:style>
  <w:style w:type="numbering" w:customStyle="1" w:styleId="ImportedStyle5">
    <w:name w:val="Imported Style 5"/>
    <w:rsid w:val="00080625"/>
  </w:style>
  <w:style w:type="paragraph" w:customStyle="1" w:styleId="BodyA">
    <w:name w:val="Body A"/>
    <w:rsid w:val="00080625"/>
    <w:pPr>
      <w:pBdr>
        <w:top w:val="nil"/>
        <w:left w:val="nil"/>
        <w:bottom w:val="nil"/>
        <w:right w:val="nil"/>
        <w:between w:val="nil"/>
        <w:bar w:val="nil"/>
      </w:pBdr>
    </w:pPr>
    <w:rPr>
      <w:rFonts w:eastAsia="Times New Roman"/>
      <w:color w:val="000000"/>
      <w:u w:color="000000"/>
      <w:bdr w:val="nil"/>
    </w:rPr>
  </w:style>
  <w:style w:type="numbering" w:customStyle="1" w:styleId="List51">
    <w:name w:val="List 51"/>
    <w:basedOn w:val="ImportedStyle6"/>
    <w:rsid w:val="00080625"/>
    <w:pPr>
      <w:numPr>
        <w:numId w:val="16"/>
      </w:numPr>
    </w:pPr>
  </w:style>
  <w:style w:type="numbering" w:customStyle="1" w:styleId="ImportedStyle6">
    <w:name w:val="Imported Style 6"/>
    <w:rsid w:val="00080625"/>
  </w:style>
  <w:style w:type="numbering" w:customStyle="1" w:styleId="List6">
    <w:name w:val="List 6"/>
    <w:basedOn w:val="ImportedStyle7"/>
    <w:rsid w:val="00080625"/>
    <w:pPr>
      <w:numPr>
        <w:numId w:val="27"/>
      </w:numPr>
    </w:pPr>
  </w:style>
  <w:style w:type="numbering" w:customStyle="1" w:styleId="ImportedStyle7">
    <w:name w:val="Imported Style 7"/>
    <w:rsid w:val="00080625"/>
  </w:style>
  <w:style w:type="numbering" w:customStyle="1" w:styleId="List7">
    <w:name w:val="List 7"/>
    <w:basedOn w:val="ImportedStyle8"/>
    <w:rsid w:val="00080625"/>
    <w:pPr>
      <w:numPr>
        <w:numId w:val="29"/>
      </w:numPr>
    </w:pPr>
  </w:style>
  <w:style w:type="numbering" w:customStyle="1" w:styleId="ImportedStyle8">
    <w:name w:val="Imported Style 8"/>
    <w:rsid w:val="00080625"/>
  </w:style>
  <w:style w:type="numbering" w:customStyle="1" w:styleId="List8">
    <w:name w:val="List 8"/>
    <w:basedOn w:val="ImportedStyle7"/>
    <w:rsid w:val="00080625"/>
    <w:pPr>
      <w:numPr>
        <w:numId w:val="32"/>
      </w:numPr>
    </w:pPr>
  </w:style>
  <w:style w:type="numbering" w:customStyle="1" w:styleId="List9">
    <w:name w:val="List 9"/>
    <w:basedOn w:val="ImportedStyle9"/>
    <w:rsid w:val="00080625"/>
    <w:pPr>
      <w:numPr>
        <w:numId w:val="36"/>
      </w:numPr>
    </w:pPr>
  </w:style>
  <w:style w:type="numbering" w:customStyle="1" w:styleId="ImportedStyle9">
    <w:name w:val="Imported Style 9"/>
    <w:rsid w:val="00080625"/>
  </w:style>
  <w:style w:type="numbering" w:customStyle="1" w:styleId="List10">
    <w:name w:val="List 10"/>
    <w:basedOn w:val="ImportedStyle10"/>
    <w:rsid w:val="00080625"/>
    <w:pPr>
      <w:numPr>
        <w:numId w:val="39"/>
      </w:numPr>
    </w:pPr>
  </w:style>
  <w:style w:type="numbering" w:customStyle="1" w:styleId="ImportedStyle10">
    <w:name w:val="Imported Style 10"/>
    <w:rsid w:val="00080625"/>
  </w:style>
  <w:style w:type="numbering" w:customStyle="1" w:styleId="List11">
    <w:name w:val="List 11"/>
    <w:basedOn w:val="ImportedStyle11"/>
    <w:rsid w:val="00080625"/>
    <w:pPr>
      <w:numPr>
        <w:numId w:val="46"/>
      </w:numPr>
    </w:pPr>
  </w:style>
  <w:style w:type="numbering" w:customStyle="1" w:styleId="ImportedStyle11">
    <w:name w:val="Imported Style 11"/>
    <w:rsid w:val="00080625"/>
  </w:style>
  <w:style w:type="numbering" w:customStyle="1" w:styleId="List12">
    <w:name w:val="List 12"/>
    <w:basedOn w:val="ImportedStyle2"/>
    <w:rsid w:val="00080625"/>
    <w:pPr>
      <w:numPr>
        <w:numId w:val="47"/>
      </w:numPr>
    </w:pPr>
  </w:style>
  <w:style w:type="numbering" w:customStyle="1" w:styleId="List13">
    <w:name w:val="List 13"/>
    <w:basedOn w:val="ImportedStyle12"/>
    <w:rsid w:val="00080625"/>
    <w:pPr>
      <w:numPr>
        <w:numId w:val="51"/>
      </w:numPr>
    </w:pPr>
  </w:style>
  <w:style w:type="numbering" w:customStyle="1" w:styleId="ImportedStyle12">
    <w:name w:val="Imported Style 12"/>
    <w:rsid w:val="00080625"/>
  </w:style>
  <w:style w:type="numbering" w:customStyle="1" w:styleId="List14">
    <w:name w:val="List 14"/>
    <w:basedOn w:val="ImportedStyle13"/>
    <w:rsid w:val="00080625"/>
    <w:pPr>
      <w:numPr>
        <w:numId w:val="54"/>
      </w:numPr>
    </w:pPr>
  </w:style>
  <w:style w:type="numbering" w:customStyle="1" w:styleId="ImportedStyle13">
    <w:name w:val="Imported Style 13"/>
    <w:rsid w:val="00080625"/>
  </w:style>
  <w:style w:type="numbering" w:customStyle="1" w:styleId="List15">
    <w:name w:val="List 15"/>
    <w:basedOn w:val="ImportedStyle15"/>
    <w:rsid w:val="00080625"/>
    <w:pPr>
      <w:numPr>
        <w:numId w:val="56"/>
      </w:numPr>
    </w:pPr>
  </w:style>
  <w:style w:type="numbering" w:customStyle="1" w:styleId="ImportedStyle15">
    <w:name w:val="Imported Style 15"/>
    <w:rsid w:val="00080625"/>
  </w:style>
  <w:style w:type="numbering" w:customStyle="1" w:styleId="List16">
    <w:name w:val="List 16"/>
    <w:basedOn w:val="ImportedStyle16"/>
    <w:rsid w:val="00080625"/>
    <w:pPr>
      <w:numPr>
        <w:numId w:val="57"/>
      </w:numPr>
    </w:pPr>
  </w:style>
  <w:style w:type="numbering" w:customStyle="1" w:styleId="ImportedStyle16">
    <w:name w:val="Imported Style 16"/>
    <w:rsid w:val="00080625"/>
  </w:style>
  <w:style w:type="numbering" w:customStyle="1" w:styleId="List17">
    <w:name w:val="List 17"/>
    <w:basedOn w:val="ImportedStyle17"/>
    <w:rsid w:val="00080625"/>
    <w:pPr>
      <w:numPr>
        <w:numId w:val="58"/>
      </w:numPr>
    </w:pPr>
  </w:style>
  <w:style w:type="numbering" w:customStyle="1" w:styleId="ImportedStyle17">
    <w:name w:val="Imported Style 17"/>
    <w:rsid w:val="00080625"/>
  </w:style>
  <w:style w:type="numbering" w:customStyle="1" w:styleId="List18">
    <w:name w:val="List 18"/>
    <w:basedOn w:val="ImportedStyle18"/>
    <w:rsid w:val="00080625"/>
    <w:pPr>
      <w:numPr>
        <w:numId w:val="59"/>
      </w:numPr>
    </w:pPr>
  </w:style>
  <w:style w:type="numbering" w:customStyle="1" w:styleId="ImportedStyle18">
    <w:name w:val="Imported Style 18"/>
    <w:rsid w:val="00080625"/>
  </w:style>
  <w:style w:type="character" w:customStyle="1" w:styleId="Hyperlink2">
    <w:name w:val="Hyperlink.2"/>
    <w:basedOn w:val="Link"/>
    <w:rsid w:val="00080625"/>
    <w:rPr>
      <w:color w:val="0000FF"/>
      <w:sz w:val="20"/>
      <w:szCs w:val="20"/>
      <w:u w:val="single" w:color="0000FF"/>
    </w:rPr>
  </w:style>
  <w:style w:type="numbering" w:customStyle="1" w:styleId="List19">
    <w:name w:val="List 19"/>
    <w:basedOn w:val="ImportedStyle19"/>
    <w:rsid w:val="00080625"/>
    <w:pPr>
      <w:numPr>
        <w:numId w:val="103"/>
      </w:numPr>
    </w:pPr>
  </w:style>
  <w:style w:type="numbering" w:customStyle="1" w:styleId="ImportedStyle19">
    <w:name w:val="Imported Style 19"/>
    <w:rsid w:val="00080625"/>
  </w:style>
  <w:style w:type="character" w:customStyle="1" w:styleId="Hyperlink3">
    <w:name w:val="Hyperlink.3"/>
    <w:basedOn w:val="Link"/>
    <w:rsid w:val="00080625"/>
    <w:rPr>
      <w:color w:val="0000FF"/>
      <w:u w:val="single" w:color="0000FF"/>
      <w:lang w:val="en-US"/>
    </w:rPr>
  </w:style>
  <w:style w:type="numbering" w:customStyle="1" w:styleId="List20">
    <w:name w:val="List 20"/>
    <w:basedOn w:val="ImportedStyle20"/>
    <w:rsid w:val="00080625"/>
    <w:pPr>
      <w:numPr>
        <w:numId w:val="65"/>
      </w:numPr>
    </w:pPr>
  </w:style>
  <w:style w:type="numbering" w:customStyle="1" w:styleId="ImportedStyle20">
    <w:name w:val="Imported Style 20"/>
    <w:rsid w:val="00080625"/>
  </w:style>
  <w:style w:type="numbering" w:customStyle="1" w:styleId="ImportedStyle21">
    <w:name w:val="Imported Style 21"/>
    <w:rsid w:val="00080625"/>
  </w:style>
  <w:style w:type="numbering" w:customStyle="1" w:styleId="List22">
    <w:name w:val="List 22"/>
    <w:basedOn w:val="ImportedStyle2"/>
    <w:rsid w:val="00080625"/>
    <w:pPr>
      <w:numPr>
        <w:numId w:val="67"/>
      </w:numPr>
    </w:pPr>
  </w:style>
  <w:style w:type="numbering" w:customStyle="1" w:styleId="List23">
    <w:name w:val="List 23"/>
    <w:basedOn w:val="ImportedStyle22"/>
    <w:rsid w:val="00080625"/>
    <w:pPr>
      <w:numPr>
        <w:numId w:val="114"/>
      </w:numPr>
    </w:pPr>
  </w:style>
  <w:style w:type="numbering" w:customStyle="1" w:styleId="ImportedStyle22">
    <w:name w:val="Imported Style 22"/>
    <w:rsid w:val="00080625"/>
  </w:style>
  <w:style w:type="numbering" w:customStyle="1" w:styleId="List24">
    <w:name w:val="List 24"/>
    <w:basedOn w:val="ImportedStyle23"/>
    <w:rsid w:val="00080625"/>
    <w:pPr>
      <w:numPr>
        <w:numId w:val="71"/>
      </w:numPr>
    </w:pPr>
  </w:style>
  <w:style w:type="numbering" w:customStyle="1" w:styleId="ImportedStyle23">
    <w:name w:val="Imported Style 23"/>
    <w:rsid w:val="00080625"/>
  </w:style>
  <w:style w:type="numbering" w:customStyle="1" w:styleId="List25">
    <w:name w:val="List 25"/>
    <w:basedOn w:val="ImportedStyle23"/>
    <w:rsid w:val="00080625"/>
    <w:pPr>
      <w:numPr>
        <w:numId w:val="117"/>
      </w:numPr>
    </w:pPr>
  </w:style>
  <w:style w:type="paragraph" w:styleId="BodyText">
    <w:name w:val="Body Text"/>
    <w:link w:val="BodyTextChar"/>
    <w:rsid w:val="00080625"/>
    <w:pPr>
      <w:pBdr>
        <w:top w:val="nil"/>
        <w:left w:val="nil"/>
        <w:bottom w:val="nil"/>
        <w:right w:val="nil"/>
        <w:between w:val="nil"/>
        <w:bar w:val="nil"/>
      </w:pBdr>
      <w:spacing w:after="120"/>
    </w:pPr>
    <w:rPr>
      <w:rFonts w:ascii="Gill Sans Light" w:eastAsia="Arial Unicode MS" w:hAnsi="Arial Unicode MS" w:cs="Arial Unicode MS"/>
      <w:color w:val="000000"/>
      <w:sz w:val="22"/>
      <w:szCs w:val="22"/>
      <w:u w:color="000000"/>
      <w:bdr w:val="nil"/>
    </w:rPr>
  </w:style>
  <w:style w:type="character" w:customStyle="1" w:styleId="BodyTextChar">
    <w:name w:val="Body Text Char"/>
    <w:basedOn w:val="DefaultParagraphFont"/>
    <w:link w:val="BodyText"/>
    <w:rsid w:val="00080625"/>
    <w:rPr>
      <w:rFonts w:ascii="Gill Sans Light" w:eastAsia="Arial Unicode MS" w:hAnsi="Arial Unicode MS" w:cs="Arial Unicode MS"/>
      <w:color w:val="000000"/>
      <w:sz w:val="22"/>
      <w:szCs w:val="22"/>
      <w:u w:color="000000"/>
      <w:bdr w:val="nil"/>
    </w:rPr>
  </w:style>
  <w:style w:type="paragraph" w:styleId="CommentText">
    <w:name w:val="annotation text"/>
    <w:link w:val="CommentTextChar"/>
    <w:uiPriority w:val="99"/>
    <w:rsid w:val="00080625"/>
    <w:pPr>
      <w:pBdr>
        <w:top w:val="nil"/>
        <w:left w:val="nil"/>
        <w:bottom w:val="nil"/>
        <w:right w:val="nil"/>
        <w:between w:val="nil"/>
        <w:bar w:val="nil"/>
      </w:pBdr>
    </w:pPr>
    <w:rPr>
      <w:rFonts w:eastAsia="Times New Roman"/>
      <w:color w:val="000000"/>
      <w:sz w:val="20"/>
      <w:szCs w:val="20"/>
      <w:u w:color="000000"/>
      <w:bdr w:val="nil"/>
    </w:rPr>
  </w:style>
  <w:style w:type="character" w:customStyle="1" w:styleId="CommentTextChar">
    <w:name w:val="Comment Text Char"/>
    <w:basedOn w:val="DefaultParagraphFont"/>
    <w:link w:val="CommentText"/>
    <w:uiPriority w:val="99"/>
    <w:rsid w:val="00080625"/>
    <w:rPr>
      <w:rFonts w:eastAsia="Times New Roman"/>
      <w:color w:val="000000"/>
      <w:sz w:val="20"/>
      <w:szCs w:val="20"/>
      <w:u w:color="000000"/>
      <w:bdr w:val="nil"/>
    </w:rPr>
  </w:style>
  <w:style w:type="numbering" w:customStyle="1" w:styleId="List26">
    <w:name w:val="List 26"/>
    <w:basedOn w:val="ImportedStyle24"/>
    <w:rsid w:val="00080625"/>
    <w:pPr>
      <w:numPr>
        <w:numId w:val="72"/>
      </w:numPr>
    </w:pPr>
  </w:style>
  <w:style w:type="numbering" w:customStyle="1" w:styleId="ImportedStyle24">
    <w:name w:val="Imported Style 24"/>
    <w:rsid w:val="00080625"/>
  </w:style>
  <w:style w:type="numbering" w:customStyle="1" w:styleId="List27">
    <w:name w:val="List 27"/>
    <w:basedOn w:val="ImportedStyle25"/>
    <w:rsid w:val="00080625"/>
    <w:pPr>
      <w:numPr>
        <w:numId w:val="116"/>
      </w:numPr>
    </w:pPr>
  </w:style>
  <w:style w:type="numbering" w:customStyle="1" w:styleId="ImportedStyle25">
    <w:name w:val="Imported Style 25"/>
    <w:rsid w:val="00080625"/>
  </w:style>
  <w:style w:type="numbering" w:customStyle="1" w:styleId="List28">
    <w:name w:val="List 28"/>
    <w:basedOn w:val="ImportedStyle2"/>
    <w:rsid w:val="00080625"/>
    <w:pPr>
      <w:numPr>
        <w:numId w:val="77"/>
      </w:numPr>
    </w:pPr>
  </w:style>
  <w:style w:type="numbering" w:customStyle="1" w:styleId="List29">
    <w:name w:val="List 29"/>
    <w:basedOn w:val="ImportedStyle26"/>
    <w:rsid w:val="00080625"/>
    <w:pPr>
      <w:numPr>
        <w:numId w:val="78"/>
      </w:numPr>
    </w:pPr>
  </w:style>
  <w:style w:type="numbering" w:customStyle="1" w:styleId="ImportedStyle26">
    <w:name w:val="Imported Style 26"/>
    <w:rsid w:val="00080625"/>
  </w:style>
  <w:style w:type="character" w:styleId="CommentReference">
    <w:name w:val="annotation reference"/>
    <w:basedOn w:val="DefaultParagraphFont"/>
    <w:uiPriority w:val="99"/>
    <w:semiHidden/>
    <w:unhideWhenUsed/>
    <w:rsid w:val="00080625"/>
    <w:rPr>
      <w:sz w:val="16"/>
      <w:szCs w:val="16"/>
    </w:rPr>
  </w:style>
  <w:style w:type="paragraph" w:styleId="BalloonText">
    <w:name w:val="Balloon Text"/>
    <w:basedOn w:val="Normal"/>
    <w:link w:val="BalloonTextChar"/>
    <w:uiPriority w:val="99"/>
    <w:semiHidden/>
    <w:unhideWhenUsed/>
    <w:rsid w:val="00080625"/>
    <w:rPr>
      <w:rFonts w:ascii="Tahoma" w:hAnsi="Tahoma" w:cs="Tahoma"/>
      <w:sz w:val="16"/>
      <w:szCs w:val="16"/>
    </w:rPr>
  </w:style>
  <w:style w:type="character" w:customStyle="1" w:styleId="BalloonTextChar">
    <w:name w:val="Balloon Text Char"/>
    <w:basedOn w:val="DefaultParagraphFont"/>
    <w:link w:val="BalloonText"/>
    <w:uiPriority w:val="99"/>
    <w:semiHidden/>
    <w:rsid w:val="00080625"/>
    <w:rPr>
      <w:rFonts w:ascii="Tahoma" w:eastAsia="Arial Unicode MS" w:hAnsi="Tahoma" w:cs="Tahoma"/>
      <w:sz w:val="16"/>
      <w:szCs w:val="16"/>
      <w:bdr w:val="nil"/>
    </w:rPr>
  </w:style>
  <w:style w:type="paragraph" w:styleId="CommentSubject">
    <w:name w:val="annotation subject"/>
    <w:basedOn w:val="CommentText"/>
    <w:next w:val="CommentText"/>
    <w:link w:val="CommentSubjectChar"/>
    <w:uiPriority w:val="99"/>
    <w:semiHidden/>
    <w:unhideWhenUsed/>
    <w:rsid w:val="00080625"/>
    <w:rPr>
      <w:rFonts w:eastAsia="Arial Unicode MS"/>
      <w:b/>
      <w:bCs/>
      <w:color w:val="auto"/>
    </w:rPr>
  </w:style>
  <w:style w:type="character" w:customStyle="1" w:styleId="CommentSubjectChar">
    <w:name w:val="Comment Subject Char"/>
    <w:basedOn w:val="CommentTextChar"/>
    <w:link w:val="CommentSubject"/>
    <w:uiPriority w:val="99"/>
    <w:semiHidden/>
    <w:rsid w:val="00080625"/>
    <w:rPr>
      <w:rFonts w:eastAsia="Arial Unicode MS"/>
      <w:b/>
      <w:bCs/>
      <w:color w:val="000000"/>
      <w:sz w:val="20"/>
      <w:szCs w:val="20"/>
      <w:u w:color="000000"/>
      <w:bdr w:val="nil"/>
    </w:rPr>
  </w:style>
  <w:style w:type="character" w:styleId="FootnoteReference">
    <w:name w:val="footnote reference"/>
    <w:basedOn w:val="DefaultParagraphFont"/>
    <w:unhideWhenUsed/>
    <w:rsid w:val="00080625"/>
    <w:rPr>
      <w:vertAlign w:val="superscript"/>
    </w:rPr>
  </w:style>
  <w:style w:type="character" w:customStyle="1" w:styleId="FootnoteReference1">
    <w:name w:val="Footnote Reference1"/>
    <w:basedOn w:val="DefaultParagraphFont"/>
    <w:rsid w:val="00080625"/>
    <w:rPr>
      <w:vertAlign w:val="superscript"/>
    </w:rPr>
  </w:style>
  <w:style w:type="character" w:customStyle="1" w:styleId="FootnoteCharacters">
    <w:name w:val="Footnote Characters"/>
    <w:rsid w:val="00080625"/>
  </w:style>
  <w:style w:type="paragraph" w:customStyle="1" w:styleId="FootnoteText1">
    <w:name w:val="Footnote Text1"/>
    <w:basedOn w:val="Normal"/>
    <w:rsid w:val="0008062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100" w:lineRule="atLeast"/>
    </w:pPr>
    <w:rPr>
      <w:kern w:val="1"/>
      <w:sz w:val="20"/>
      <w:szCs w:val="20"/>
      <w:bdr w:val="none" w:sz="0" w:space="0" w:color="auto"/>
      <w:lang w:eastAsia="ar-SA"/>
    </w:rPr>
  </w:style>
  <w:style w:type="character" w:styleId="Strong">
    <w:name w:val="Strong"/>
    <w:basedOn w:val="DefaultParagraphFont"/>
    <w:qFormat/>
    <w:rsid w:val="00080625"/>
    <w:rPr>
      <w:rFonts w:ascii="DINPro-Medium" w:hAnsi="DINPro-Medium" w:cs="DINPro-Medium" w:hint="default"/>
      <w:b w:val="0"/>
      <w:bCs w:val="0"/>
      <w:sz w:val="22"/>
      <w:lang w:val="en-GB"/>
    </w:rPr>
  </w:style>
  <w:style w:type="character" w:customStyle="1" w:styleId="Funotenzeichen">
    <w:name w:val="Fußnotenzeichen"/>
    <w:basedOn w:val="DefaultParagraphFont"/>
    <w:rsid w:val="00080625"/>
    <w:rPr>
      <w:vertAlign w:val="superscript"/>
    </w:rPr>
  </w:style>
  <w:style w:type="paragraph" w:styleId="Header">
    <w:name w:val="header"/>
    <w:basedOn w:val="Normal"/>
    <w:link w:val="HeaderChar"/>
    <w:uiPriority w:val="99"/>
    <w:unhideWhenUsed/>
    <w:rsid w:val="00080625"/>
    <w:pPr>
      <w:tabs>
        <w:tab w:val="center" w:pos="4680"/>
        <w:tab w:val="right" w:pos="9360"/>
      </w:tabs>
    </w:pPr>
  </w:style>
  <w:style w:type="character" w:customStyle="1" w:styleId="HeaderChar">
    <w:name w:val="Header Char"/>
    <w:basedOn w:val="DefaultParagraphFont"/>
    <w:link w:val="Header"/>
    <w:uiPriority w:val="99"/>
    <w:rsid w:val="00080625"/>
    <w:rPr>
      <w:rFonts w:eastAsia="Arial Unicode MS"/>
      <w:bdr w:val="nil"/>
    </w:rPr>
  </w:style>
  <w:style w:type="paragraph" w:styleId="Footer">
    <w:name w:val="footer"/>
    <w:basedOn w:val="Normal"/>
    <w:link w:val="FooterChar"/>
    <w:uiPriority w:val="99"/>
    <w:unhideWhenUsed/>
    <w:rsid w:val="00080625"/>
    <w:pPr>
      <w:tabs>
        <w:tab w:val="center" w:pos="4680"/>
        <w:tab w:val="right" w:pos="9360"/>
      </w:tabs>
    </w:pPr>
  </w:style>
  <w:style w:type="character" w:customStyle="1" w:styleId="FooterChar">
    <w:name w:val="Footer Char"/>
    <w:basedOn w:val="DefaultParagraphFont"/>
    <w:link w:val="Footer"/>
    <w:uiPriority w:val="99"/>
    <w:rsid w:val="00080625"/>
    <w:rPr>
      <w:rFonts w:eastAsia="Arial Unicode MS"/>
      <w:bdr w:val="nil"/>
    </w:rPr>
  </w:style>
  <w:style w:type="paragraph" w:styleId="NoSpacing">
    <w:name w:val="No Spacing"/>
    <w:uiPriority w:val="1"/>
    <w:qFormat/>
    <w:rsid w:val="00080625"/>
    <w:pPr>
      <w:pBdr>
        <w:top w:val="nil"/>
        <w:left w:val="nil"/>
        <w:bottom w:val="nil"/>
        <w:right w:val="nil"/>
        <w:between w:val="nil"/>
        <w:bar w:val="nil"/>
      </w:pBdr>
    </w:pPr>
    <w:rPr>
      <w:rFonts w:eastAsia="Arial Unicode MS"/>
      <w:bdr w:val="nil"/>
    </w:rPr>
  </w:style>
  <w:style w:type="character" w:customStyle="1" w:styleId="Heading1Char">
    <w:name w:val="Heading 1 Char"/>
    <w:basedOn w:val="DefaultParagraphFont"/>
    <w:link w:val="Heading1"/>
    <w:uiPriority w:val="9"/>
    <w:rsid w:val="00B40521"/>
    <w:rPr>
      <w:rFonts w:asciiTheme="majorHAnsi" w:eastAsiaTheme="majorEastAsia" w:hAnsiTheme="majorHAnsi" w:cstheme="majorBidi"/>
      <w:b/>
      <w:bCs/>
      <w:color w:val="365F91" w:themeColor="accent1" w:themeShade="BF"/>
      <w:sz w:val="28"/>
      <w:szCs w:val="28"/>
      <w:bdr w:val="nil"/>
    </w:rPr>
  </w:style>
  <w:style w:type="paragraph" w:customStyle="1" w:styleId="ZCom">
    <w:name w:val="Z_Com"/>
    <w:basedOn w:val="Normal"/>
    <w:next w:val="ZDGName"/>
    <w:uiPriority w:val="99"/>
    <w:rsid w:val="00B405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jc w:val="both"/>
    </w:pPr>
    <w:rPr>
      <w:rFonts w:ascii="Arial" w:eastAsiaTheme="minorEastAsia" w:hAnsi="Arial" w:cs="Arial"/>
      <w:bdr w:val="none" w:sz="0" w:space="0" w:color="auto"/>
      <w:lang w:val="en-GB" w:eastAsia="en-GB"/>
    </w:rPr>
  </w:style>
  <w:style w:type="paragraph" w:customStyle="1" w:styleId="ZDGName">
    <w:name w:val="Z_DGName"/>
    <w:basedOn w:val="Normal"/>
    <w:uiPriority w:val="99"/>
    <w:rsid w:val="00B405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pPr>
    <w:rPr>
      <w:rFonts w:ascii="Arial" w:eastAsiaTheme="minorEastAsia" w:hAnsi="Arial" w:cs="Arial"/>
      <w:sz w:val="16"/>
      <w:szCs w:val="16"/>
      <w:bdr w:val="none" w:sz="0" w:space="0" w:color="auto"/>
      <w:lang w:val="en-GB" w:eastAsia="en-GB"/>
    </w:rPr>
  </w:style>
  <w:style w:type="table" w:styleId="TableGrid">
    <w:name w:val="Table Grid"/>
    <w:basedOn w:val="TableNormal"/>
    <w:uiPriority w:val="59"/>
    <w:rsid w:val="00B40521"/>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405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hea.info/Uploads/%25281%2529/ENQA_report_EHEA_ministers_FINAL.pdf" TargetMode="External"/><Relationship Id="rId18" Type="http://schemas.openxmlformats.org/officeDocument/2006/relationships/diagramColors" Target="diagrams/colors1.xml"/><Relationship Id="rId26" Type="http://schemas.openxmlformats.org/officeDocument/2006/relationships/hyperlink" Target="mailto:jean-philippe.restoueix@coe.int" TargetMode="External"/><Relationship Id="rId3" Type="http://schemas.microsoft.com/office/2007/relationships/stylesWithEffects" Target="stylesWithEffects.xml"/><Relationship Id="rId21" Type="http://schemas.openxmlformats.org/officeDocument/2006/relationships/hyperlink" Target="mailto:marzia.foroni@miur.it" TargetMode="External"/><Relationship Id="rId7" Type="http://schemas.openxmlformats.org/officeDocument/2006/relationships/endnotes" Target="endnotes.xml"/><Relationship Id="rId12" Type="http://schemas.openxmlformats.org/officeDocument/2006/relationships/hyperlink" Target="http://www.ehea.info/Uploads/%25281%2529/brosura_v1_v12_vp_120419_text.pdf" TargetMode="External"/><Relationship Id="rId17" Type="http://schemas.openxmlformats.org/officeDocument/2006/relationships/diagramQuickStyle" Target="diagrams/quickStyle1.xml"/><Relationship Id="rId25" Type="http://schemas.openxmlformats.org/officeDocument/2006/relationships/hyperlink" Target="mailto:klara.engels-perenyi@ec.europa.eu" TargetMode="Externa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diagramLayout" Target="diagrams/layout1.xml"/><Relationship Id="rId20" Type="http://schemas.openxmlformats.org/officeDocument/2006/relationships/hyperlink" Target="mailto:nicola.vittorio@uniroma2.i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hea.info/Uploads/%25281%2529/RPL%2520Network%2520Report.pdf" TargetMode="External"/><Relationship Id="rId24" Type="http://schemas.openxmlformats.org/officeDocument/2006/relationships/hyperlink" Target="mailto:adam.tyson@ec.europa.eu" TargetMode="Externa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yperlink" Target="mailto:gloria.molero@mecd.es" TargetMode="External"/><Relationship Id="rId28" Type="http://schemas.openxmlformats.org/officeDocument/2006/relationships/header" Target="header1.xml"/><Relationship Id="rId10" Type="http://schemas.openxmlformats.org/officeDocument/2006/relationships/hyperlink" Target="http://www.ehea.info/Uploads/%25281%2529/Recognition%2520WG%2520Report.pdf" TargetMode="External"/><Relationship Id="rId19" Type="http://schemas.microsoft.com/office/2007/relationships/diagramDrawing" Target="diagrams/drawing1.xml"/><Relationship Id="rId31"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http://www.ehea.info/Uploads/%25281%2529/Qualifications%2520Frameworks%2520Working%2520Group%2520Report.pdf" TargetMode="External"/><Relationship Id="rId14" Type="http://schemas.openxmlformats.org/officeDocument/2006/relationships/hyperlink" Target="http://www.ehea.info/Uploads/%25281%2529/T_120425_EQAR_MessageToBucharestMinisterial_web.pdf" TargetMode="External"/><Relationship Id="rId22" Type="http://schemas.openxmlformats.org/officeDocument/2006/relationships/hyperlink" Target="mailto:cezar.haj@uefiscdi.ro" TargetMode="External"/><Relationship Id="rId27" Type="http://schemas.openxmlformats.org/officeDocument/2006/relationships/image" Target="media/image1.gif"/><Relationship Id="rId30" Type="http://schemas.openxmlformats.org/officeDocument/2006/relationships/theme" Target="theme/theme1.xml"/><Relationship Id="rId8" Type="http://schemas.openxmlformats.org/officeDocument/2006/relationships/comments" Target="comments.xml"/></Relationships>
</file>

<file path=word/_rels/footnotes.xml.rels><?xml version="1.0" encoding="UTF-8" standalone="yes"?>
<Relationships xmlns="http://schemas.openxmlformats.org/package/2006/relationships"><Relationship Id="rId8" Type="http://schemas.openxmlformats.org/officeDocument/2006/relationships/hyperlink" Target="http://www.enic-naric.net/index.aspx?s=n&amp;r=ena&amp;d=ds" TargetMode="External"/><Relationship Id="rId13" Type="http://schemas.openxmlformats.org/officeDocument/2006/relationships/hyperlink" Target="http://www.eua.be/Libraries/Publications_homepage_list/EUA_Global_University_Rankings_and_Their_Impact_-_Report_II.sflb.ashx" TargetMode="External"/><Relationship Id="rId18" Type="http://schemas.openxmlformats.org/officeDocument/2006/relationships/hyperlink" Target="http://www.consilium.europa.eu/uedocs/cms_data/docs/pressdata/en/educ/142694.pdf" TargetMode="External"/><Relationship Id="rId3" Type="http://schemas.openxmlformats.org/officeDocument/2006/relationships/hyperlink" Target="http://www.eqar.eu/index.php?id=32" TargetMode="External"/><Relationship Id="rId21" Type="http://schemas.openxmlformats.org/officeDocument/2006/relationships/hyperlink" Target="http://www.unesco.org/new/en/education/themes/education-building-blocks/technical-vocational-education-and-training-tvet/third-international-congress-on-tvet/thematic-areas/transformative-perspective/" TargetMode="External"/><Relationship Id="rId7" Type="http://schemas.openxmlformats.org/officeDocument/2006/relationships/hyperlink" Target="http://conventions.coe.int/Treaty/en/reports/Html/165.htm" TargetMode="External"/><Relationship Id="rId12" Type="http://schemas.openxmlformats.org/officeDocument/2006/relationships/hyperlink" Target="http://www.eua.be/pubs/global_university_rankings_and_their_impact.pdf" TargetMode="External"/><Relationship Id="rId17" Type="http://schemas.openxmlformats.org/officeDocument/2006/relationships/hyperlink" Target="http://www.education.ie/en/Press-Events/Conferences/Ireland-s-Presidency-of-the-EU/Conference-12-13-March-2013/Conclusions.pdf" TargetMode="External"/><Relationship Id="rId2" Type="http://schemas.openxmlformats.org/officeDocument/2006/relationships/hyperlink" Target="http://www.ehea.info/uploads/documents/esg_3rdedition.pdf" TargetMode="External"/><Relationship Id="rId16" Type="http://schemas.openxmlformats.org/officeDocument/2006/relationships/hyperlink" Target="http://www.eqavet.eu/gns/home.aspx" TargetMode="External"/><Relationship Id="rId20" Type="http://schemas.openxmlformats.org/officeDocument/2006/relationships/hyperlink" Target="http://www.unesco.org/new/en/education/themes/strengthening-education-systems/higher-education/quality-assurance/" TargetMode="External"/><Relationship Id="rId1" Type="http://schemas.openxmlformats.org/officeDocument/2006/relationships/hyperlink" Target="http://paginas.fe.up.pt/~sfeyo/Docs_SFA_Bologna/120_Ref%2520Doc_20041018%2520%255BJQIG%2520Dublin%2520Descriptors%255D.pdf" TargetMode="External"/><Relationship Id="rId6" Type="http://schemas.openxmlformats.org/officeDocument/2006/relationships/hyperlink" Target="http://conventions.coe.int/Treaty/en/Treaties/Html/165.htm" TargetMode="External"/><Relationship Id="rId11" Type="http://schemas.openxmlformats.org/officeDocument/2006/relationships/hyperlink" Target="http://www.iau-aiu.net/sites/all/files/Ethics_Guidelines_FinalDef_08.02.13.pdf" TargetMode="External"/><Relationship Id="rId5" Type="http://schemas.openxmlformats.org/officeDocument/2006/relationships/hyperlink" Target="http://www.ehea.info/uploads/qf/eqf_en.pdf" TargetMode="External"/><Relationship Id="rId15" Type="http://schemas.openxmlformats.org/officeDocument/2006/relationships/hyperlink" Target="http://eur-lex.europa.eu/LexUriServ/LexUriServ.do?uri=OJ:C:2009:155:0001:0010:EN:PDF" TargetMode="External"/><Relationship Id="rId10" Type="http://schemas.openxmlformats.org/officeDocument/2006/relationships/hyperlink" Target="http://www.ehea.info/Uploads/QF/Bologna_Framework_and_Certification_revised_29_02_08.pdf" TargetMode="External"/><Relationship Id="rId19" Type="http://schemas.openxmlformats.org/officeDocument/2006/relationships/hyperlink" Target="http://eur-lex.europa.eu/LexUriServ/LexUriServ.do?uri=OJ:C:2009:155:0001:0010:EN:PDF" TargetMode="External"/><Relationship Id="rId4" Type="http://schemas.openxmlformats.org/officeDocument/2006/relationships/hyperlink" Target="http://www.ehea.info/uploads/qualification/qf-ehea-may2005.pdf" TargetMode="External"/><Relationship Id="rId9" Type="http://schemas.openxmlformats.org/officeDocument/2006/relationships/hyperlink" Target="http://www.coe.int/t/dg4/highereducation/Recognition/DGIIEDUHE(2012)14%2520Rev09%2520FINAL%2520-%2520LRC%2520Supplementary%2520Text%2520on%2520the%2520Use%2520of%2520QFs%2520ENGLISH.asp" TargetMode="External"/><Relationship Id="rId14" Type="http://schemas.openxmlformats.org/officeDocument/2006/relationships/hyperlink" Target="http://www.ehea.info/Uploads/Global%20context/Strategy-for-EHEA-in-global-setting.pdf" TargetMode="External"/><Relationship Id="rId22" Type="http://schemas.openxmlformats.org/officeDocument/2006/relationships/hyperlink" Target="http://paginas.fe.up.pt/~sfeyo/Docs_SFA_Bologna/120_Ref%2520Doc_20041018%2520%255BJQIG%2520Dublin%2520Descriptors%255D.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98FF748-8840-478E-A7CF-09C372951FCD}"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nl-BE"/>
        </a:p>
      </dgm:t>
    </dgm:pt>
    <dgm:pt modelId="{3C45038C-9C68-4F26-9F58-AAC755AAF62B}">
      <dgm:prSet phldrT="[Tekst]" custT="1"/>
      <dgm:spPr/>
      <dgm:t>
        <a:bodyPr/>
        <a:lstStyle/>
        <a:p>
          <a:r>
            <a:rPr lang="nl-BE" sz="800"/>
            <a:t>Curriculum; LO aligned to the relevant descriptors in the NQF;</a:t>
          </a:r>
        </a:p>
        <a:p>
          <a:r>
            <a:rPr lang="nl-BE" sz="800"/>
            <a:t>The learning  opportunities</a:t>
          </a:r>
        </a:p>
        <a:p>
          <a:r>
            <a:rPr lang="nl-BE" sz="800"/>
            <a:t>Embedding  ed for democratic society, ed for employability, ed for sustainability, professional ed   in the curriculum </a:t>
          </a:r>
        </a:p>
        <a:p>
          <a:r>
            <a:rPr lang="nl-BE" sz="800"/>
            <a:t>inclusive HE, equality and diversity</a:t>
          </a:r>
        </a:p>
        <a:p>
          <a:r>
            <a:rPr lang="nl-BE" sz="800"/>
            <a:t>inclusive LLL</a:t>
          </a:r>
        </a:p>
      </dgm:t>
    </dgm:pt>
    <dgm:pt modelId="{BA82ED6F-D7A6-4F5E-AC67-444B62CA31BC}" type="parTrans" cxnId="{179CEC3E-270E-4394-B1A2-154D757A460B}">
      <dgm:prSet/>
      <dgm:spPr/>
      <dgm:t>
        <a:bodyPr/>
        <a:lstStyle/>
        <a:p>
          <a:endParaRPr lang="nl-BE"/>
        </a:p>
      </dgm:t>
    </dgm:pt>
    <dgm:pt modelId="{78CB0CF4-F1CD-47C2-B449-15F4E19BD4D4}" type="sibTrans" cxnId="{179CEC3E-270E-4394-B1A2-154D757A460B}">
      <dgm:prSet/>
      <dgm:spPr/>
      <dgm:t>
        <a:bodyPr/>
        <a:lstStyle/>
        <a:p>
          <a:endParaRPr lang="nl-BE"/>
        </a:p>
      </dgm:t>
    </dgm:pt>
    <dgm:pt modelId="{807CF36C-BBEC-45E0-8E71-AFD4CA8951B8}">
      <dgm:prSet phldrT="[Tekst]" custT="1"/>
      <dgm:spPr/>
      <dgm:t>
        <a:bodyPr/>
        <a:lstStyle/>
        <a:p>
          <a:r>
            <a:rPr lang="nl-BE" sz="800"/>
            <a:t>QF</a:t>
          </a:r>
        </a:p>
        <a:p>
          <a:r>
            <a:rPr lang="nl-BE" sz="800"/>
            <a:t>National QF, referenced to the </a:t>
          </a:r>
        </a:p>
        <a:p>
          <a:r>
            <a:rPr lang="nl-BE" sz="800"/>
            <a:t>European QF for HE</a:t>
          </a:r>
        </a:p>
      </dgm:t>
    </dgm:pt>
    <dgm:pt modelId="{13CDDF09-C9DD-4061-B60B-C0A79FF1B6D4}" type="parTrans" cxnId="{062655D6-0C5A-453B-83E5-A1E3FEEF8561}">
      <dgm:prSet/>
      <dgm:spPr/>
      <dgm:t>
        <a:bodyPr/>
        <a:lstStyle/>
        <a:p>
          <a:endParaRPr lang="nl-BE"/>
        </a:p>
      </dgm:t>
    </dgm:pt>
    <dgm:pt modelId="{E2DD9B0C-7FCE-4EB5-91A8-6EFA508C13F3}" type="sibTrans" cxnId="{062655D6-0C5A-453B-83E5-A1E3FEEF8561}">
      <dgm:prSet/>
      <dgm:spPr/>
      <dgm:t>
        <a:bodyPr/>
        <a:lstStyle/>
        <a:p>
          <a:endParaRPr lang="nl-BE"/>
        </a:p>
      </dgm:t>
    </dgm:pt>
    <dgm:pt modelId="{0E61F465-EE40-4A2F-8475-A71650229067}">
      <dgm:prSet phldrT="[Tekst]" custT="1"/>
      <dgm:spPr/>
      <dgm:t>
        <a:bodyPr/>
        <a:lstStyle/>
        <a:p>
          <a:r>
            <a:rPr lang="nl-BE" sz="900"/>
            <a:t>QA,</a:t>
          </a:r>
        </a:p>
        <a:p>
          <a:r>
            <a:rPr lang="nl-BE" sz="900"/>
            <a:t>Demonstrating Quality: </a:t>
          </a:r>
        </a:p>
        <a:p>
          <a:endParaRPr lang="nl-BE" sz="900"/>
        </a:p>
        <a:p>
          <a:r>
            <a:rPr lang="nl-BE" sz="900"/>
            <a:t>ensuring that the standards are met in the qualifications </a:t>
          </a:r>
          <a:r>
            <a:rPr lang="nl-BE" sz="800"/>
            <a:t>awarded</a:t>
          </a:r>
        </a:p>
        <a:p>
          <a:r>
            <a:rPr lang="nl-BE" sz="800"/>
            <a:t>quality of the learning opportunities available to the students enabling them to achieve their qualifications</a:t>
          </a:r>
        </a:p>
        <a:p>
          <a:r>
            <a:rPr lang="nl-BE" sz="800"/>
            <a:t>quality enhancement:: improving th quality of the learning opportunities</a:t>
          </a:r>
        </a:p>
        <a:p>
          <a:r>
            <a:rPr lang="nl-BE" sz="800"/>
            <a:t>HE providers have the responsibility to produce appropriate information</a:t>
          </a:r>
        </a:p>
        <a:p>
          <a:endParaRPr lang="nl-BE" sz="800" i="1"/>
        </a:p>
        <a:p>
          <a:r>
            <a:rPr lang="nl-BE" sz="800"/>
            <a:t>IQA</a:t>
          </a:r>
        </a:p>
        <a:p>
          <a:r>
            <a:rPr lang="nl-BE" sz="900"/>
            <a:t>       EQA, external reviews</a:t>
          </a:r>
        </a:p>
        <a:p>
          <a:r>
            <a:rPr lang="nl-BE" sz="900"/>
            <a:t>             in compliance with the ESG</a:t>
          </a:r>
        </a:p>
      </dgm:t>
    </dgm:pt>
    <dgm:pt modelId="{2AAAF04B-5863-4625-9C26-5C76748C1AA5}" type="parTrans" cxnId="{112FFC70-2256-46B3-92DC-CD8984757744}">
      <dgm:prSet/>
      <dgm:spPr/>
      <dgm:t>
        <a:bodyPr/>
        <a:lstStyle/>
        <a:p>
          <a:endParaRPr lang="nl-BE"/>
        </a:p>
      </dgm:t>
    </dgm:pt>
    <dgm:pt modelId="{9A153F5C-94E9-4790-85A5-A8B7FB2E2D5D}" type="sibTrans" cxnId="{112FFC70-2256-46B3-92DC-CD8984757744}">
      <dgm:prSet/>
      <dgm:spPr/>
      <dgm:t>
        <a:bodyPr/>
        <a:lstStyle/>
        <a:p>
          <a:endParaRPr lang="nl-BE"/>
        </a:p>
      </dgm:t>
    </dgm:pt>
    <dgm:pt modelId="{EDAE278E-652F-43B8-98A2-31FF7CB94EFF}">
      <dgm:prSet phldrT="[Tekst]" custT="1"/>
      <dgm:spPr/>
      <dgm:t>
        <a:bodyPr/>
        <a:lstStyle/>
        <a:p>
          <a:r>
            <a:rPr lang="nl-BE" sz="800"/>
            <a:t>RECOGNITION</a:t>
          </a:r>
        </a:p>
        <a:p>
          <a:r>
            <a:rPr lang="nl-BE" sz="800"/>
            <a:t>Recognition of foreign diplomas, degrees and periods of study (certified learning)</a:t>
          </a:r>
        </a:p>
        <a:p>
          <a:r>
            <a:rPr lang="nl-BE" sz="800"/>
            <a:t>Recognition of  prior (experiential) learning</a:t>
          </a:r>
        </a:p>
      </dgm:t>
    </dgm:pt>
    <dgm:pt modelId="{771C1C4F-B060-4A78-876F-773D79E1CD01}" type="parTrans" cxnId="{4E92A06D-6A65-47CF-9250-23FD5CB4C325}">
      <dgm:prSet/>
      <dgm:spPr/>
      <dgm:t>
        <a:bodyPr/>
        <a:lstStyle/>
        <a:p>
          <a:endParaRPr lang="nl-BE"/>
        </a:p>
      </dgm:t>
    </dgm:pt>
    <dgm:pt modelId="{C8FFBA30-6570-4B78-9F20-3F2EF1E9A39B}" type="sibTrans" cxnId="{4E92A06D-6A65-47CF-9250-23FD5CB4C325}">
      <dgm:prSet/>
      <dgm:spPr/>
      <dgm:t>
        <a:bodyPr/>
        <a:lstStyle/>
        <a:p>
          <a:endParaRPr lang="nl-BE"/>
        </a:p>
      </dgm:t>
    </dgm:pt>
    <dgm:pt modelId="{39EE1939-B2F9-409E-9771-1E762262B877}">
      <dgm:prSet phldrT="[Tekst]" custT="1"/>
      <dgm:spPr/>
      <dgm:t>
        <a:bodyPr/>
        <a:lstStyle/>
        <a:p>
          <a:r>
            <a:rPr lang="nl-BE" sz="800"/>
            <a:t>Transparency,</a:t>
          </a:r>
        </a:p>
        <a:p>
          <a:r>
            <a:rPr lang="nl-BE" sz="800"/>
            <a:t>quality information</a:t>
          </a:r>
        </a:p>
        <a:p>
          <a:r>
            <a:rPr lang="nl-BE" sz="800"/>
            <a:t>program specifications</a:t>
          </a:r>
        </a:p>
        <a:p>
          <a:r>
            <a:rPr lang="nl-BE" sz="800"/>
            <a:t>DS</a:t>
          </a:r>
        </a:p>
        <a:p>
          <a:r>
            <a:rPr lang="nl-BE" sz="800"/>
            <a:t>ECTS</a:t>
          </a:r>
        </a:p>
        <a:p>
          <a:r>
            <a:rPr lang="nl-BE" sz="800"/>
            <a:t>quality review reports</a:t>
          </a:r>
        </a:p>
        <a:p>
          <a:r>
            <a:rPr lang="nl-BE" sz="800"/>
            <a:t>U-Multirank</a:t>
          </a:r>
        </a:p>
      </dgm:t>
    </dgm:pt>
    <dgm:pt modelId="{2039355F-03EB-4AAC-A802-DDE856D6CB43}" type="parTrans" cxnId="{EFF15CA7-8C9A-4A7E-9ECC-93F634C0FE3D}">
      <dgm:prSet/>
      <dgm:spPr/>
      <dgm:t>
        <a:bodyPr/>
        <a:lstStyle/>
        <a:p>
          <a:endParaRPr lang="nl-BE"/>
        </a:p>
      </dgm:t>
    </dgm:pt>
    <dgm:pt modelId="{5ECE4DA5-B249-48C4-B023-FC4F880EE70C}" type="sibTrans" cxnId="{EFF15CA7-8C9A-4A7E-9ECC-93F634C0FE3D}">
      <dgm:prSet/>
      <dgm:spPr/>
      <dgm:t>
        <a:bodyPr/>
        <a:lstStyle/>
        <a:p>
          <a:endParaRPr lang="nl-BE"/>
        </a:p>
      </dgm:t>
    </dgm:pt>
    <dgm:pt modelId="{EAF67A20-5B1C-4810-9C16-77B8579BF6F6}" type="pres">
      <dgm:prSet presAssocID="{D98FF748-8840-478E-A7CF-09C372951FCD}" presName="diagram" presStyleCnt="0">
        <dgm:presLayoutVars>
          <dgm:chMax val="1"/>
          <dgm:dir/>
          <dgm:animLvl val="ctr"/>
          <dgm:resizeHandles val="exact"/>
        </dgm:presLayoutVars>
      </dgm:prSet>
      <dgm:spPr/>
      <dgm:t>
        <a:bodyPr/>
        <a:lstStyle/>
        <a:p>
          <a:endParaRPr lang="en-US"/>
        </a:p>
      </dgm:t>
    </dgm:pt>
    <dgm:pt modelId="{144C6D48-6DAB-4796-8094-135026F1C05E}" type="pres">
      <dgm:prSet presAssocID="{D98FF748-8840-478E-A7CF-09C372951FCD}" presName="matrix" presStyleCnt="0"/>
      <dgm:spPr/>
    </dgm:pt>
    <dgm:pt modelId="{946F0AB6-CCCF-43E3-AB10-E0E2C221F97A}" type="pres">
      <dgm:prSet presAssocID="{D98FF748-8840-478E-A7CF-09C372951FCD}" presName="tile1" presStyleLbl="node1" presStyleIdx="0" presStyleCnt="4" custLinFactNeighborX="-3610" custLinFactNeighborY="-4689"/>
      <dgm:spPr/>
      <dgm:t>
        <a:bodyPr/>
        <a:lstStyle/>
        <a:p>
          <a:endParaRPr lang="nl-BE"/>
        </a:p>
      </dgm:t>
    </dgm:pt>
    <dgm:pt modelId="{524282D2-E4D2-4E5F-BD9E-5DCD8747C230}" type="pres">
      <dgm:prSet presAssocID="{D98FF748-8840-478E-A7CF-09C372951FCD}" presName="tile1text" presStyleLbl="node1" presStyleIdx="0" presStyleCnt="4">
        <dgm:presLayoutVars>
          <dgm:chMax val="0"/>
          <dgm:chPref val="0"/>
          <dgm:bulletEnabled val="1"/>
        </dgm:presLayoutVars>
      </dgm:prSet>
      <dgm:spPr/>
      <dgm:t>
        <a:bodyPr/>
        <a:lstStyle/>
        <a:p>
          <a:endParaRPr lang="nl-BE"/>
        </a:p>
      </dgm:t>
    </dgm:pt>
    <dgm:pt modelId="{A8A7D018-697A-4AC2-8922-CD9A02862B30}" type="pres">
      <dgm:prSet presAssocID="{D98FF748-8840-478E-A7CF-09C372951FCD}" presName="tile2" presStyleLbl="node1" presStyleIdx="1" presStyleCnt="4"/>
      <dgm:spPr/>
      <dgm:t>
        <a:bodyPr/>
        <a:lstStyle/>
        <a:p>
          <a:endParaRPr lang="nl-BE"/>
        </a:p>
      </dgm:t>
    </dgm:pt>
    <dgm:pt modelId="{1A7260B7-E32A-4E63-BF06-F47F18DA2E4C}" type="pres">
      <dgm:prSet presAssocID="{D98FF748-8840-478E-A7CF-09C372951FCD}" presName="tile2text" presStyleLbl="node1" presStyleIdx="1" presStyleCnt="4">
        <dgm:presLayoutVars>
          <dgm:chMax val="0"/>
          <dgm:chPref val="0"/>
          <dgm:bulletEnabled val="1"/>
        </dgm:presLayoutVars>
      </dgm:prSet>
      <dgm:spPr/>
      <dgm:t>
        <a:bodyPr/>
        <a:lstStyle/>
        <a:p>
          <a:endParaRPr lang="nl-BE"/>
        </a:p>
      </dgm:t>
    </dgm:pt>
    <dgm:pt modelId="{4A0804CF-22D4-445A-88B8-BFC3CBB9F617}" type="pres">
      <dgm:prSet presAssocID="{D98FF748-8840-478E-A7CF-09C372951FCD}" presName="tile3" presStyleLbl="node1" presStyleIdx="2" presStyleCnt="4" custLinFactNeighborY="137"/>
      <dgm:spPr/>
      <dgm:t>
        <a:bodyPr/>
        <a:lstStyle/>
        <a:p>
          <a:endParaRPr lang="nl-BE"/>
        </a:p>
      </dgm:t>
    </dgm:pt>
    <dgm:pt modelId="{B2CE96BB-2183-44CD-8FB7-23B45D5D2BF5}" type="pres">
      <dgm:prSet presAssocID="{D98FF748-8840-478E-A7CF-09C372951FCD}" presName="tile3text" presStyleLbl="node1" presStyleIdx="2" presStyleCnt="4">
        <dgm:presLayoutVars>
          <dgm:chMax val="0"/>
          <dgm:chPref val="0"/>
          <dgm:bulletEnabled val="1"/>
        </dgm:presLayoutVars>
      </dgm:prSet>
      <dgm:spPr/>
      <dgm:t>
        <a:bodyPr/>
        <a:lstStyle/>
        <a:p>
          <a:endParaRPr lang="nl-BE"/>
        </a:p>
      </dgm:t>
    </dgm:pt>
    <dgm:pt modelId="{198CC6C4-C6B1-42A2-BE19-6ACD9B3F8C2F}" type="pres">
      <dgm:prSet presAssocID="{D98FF748-8840-478E-A7CF-09C372951FCD}" presName="tile4" presStyleLbl="node1" presStyleIdx="3" presStyleCnt="4" custLinFactNeighborY="3711"/>
      <dgm:spPr/>
      <dgm:t>
        <a:bodyPr/>
        <a:lstStyle/>
        <a:p>
          <a:endParaRPr lang="nl-BE"/>
        </a:p>
      </dgm:t>
    </dgm:pt>
    <dgm:pt modelId="{10735D7F-12EB-4E7F-A19B-5F55FC15792B}" type="pres">
      <dgm:prSet presAssocID="{D98FF748-8840-478E-A7CF-09C372951FCD}" presName="tile4text" presStyleLbl="node1" presStyleIdx="3" presStyleCnt="4">
        <dgm:presLayoutVars>
          <dgm:chMax val="0"/>
          <dgm:chPref val="0"/>
          <dgm:bulletEnabled val="1"/>
        </dgm:presLayoutVars>
      </dgm:prSet>
      <dgm:spPr/>
      <dgm:t>
        <a:bodyPr/>
        <a:lstStyle/>
        <a:p>
          <a:endParaRPr lang="nl-BE"/>
        </a:p>
      </dgm:t>
    </dgm:pt>
    <dgm:pt modelId="{CA23F824-9B4B-404A-BB75-6C3E85723BB6}" type="pres">
      <dgm:prSet presAssocID="{D98FF748-8840-478E-A7CF-09C372951FCD}" presName="centerTile" presStyleLbl="fgShp" presStyleIdx="0" presStyleCnt="1" custScaleX="108992" custScaleY="129892">
        <dgm:presLayoutVars>
          <dgm:chMax val="0"/>
          <dgm:chPref val="0"/>
        </dgm:presLayoutVars>
      </dgm:prSet>
      <dgm:spPr/>
      <dgm:t>
        <a:bodyPr/>
        <a:lstStyle/>
        <a:p>
          <a:endParaRPr lang="nl-BE"/>
        </a:p>
      </dgm:t>
    </dgm:pt>
  </dgm:ptLst>
  <dgm:cxnLst>
    <dgm:cxn modelId="{CA85374D-1203-4718-9250-F0C7A35FFFED}" type="presOf" srcId="{807CF36C-BBEC-45E0-8E71-AFD4CA8951B8}" destId="{524282D2-E4D2-4E5F-BD9E-5DCD8747C230}" srcOrd="1" destOrd="0" presId="urn:microsoft.com/office/officeart/2005/8/layout/matrix1"/>
    <dgm:cxn modelId="{7BEEEC22-B86F-4854-ACCA-45F255AE4AA1}" type="presOf" srcId="{0E61F465-EE40-4A2F-8475-A71650229067}" destId="{A8A7D018-697A-4AC2-8922-CD9A02862B30}" srcOrd="0" destOrd="0" presId="urn:microsoft.com/office/officeart/2005/8/layout/matrix1"/>
    <dgm:cxn modelId="{6A8ACD40-7534-4FE3-B6F2-6D0754677DE8}" type="presOf" srcId="{EDAE278E-652F-43B8-98A2-31FF7CB94EFF}" destId="{4A0804CF-22D4-445A-88B8-BFC3CBB9F617}" srcOrd="0" destOrd="0" presId="urn:microsoft.com/office/officeart/2005/8/layout/matrix1"/>
    <dgm:cxn modelId="{112FFC70-2256-46B3-92DC-CD8984757744}" srcId="{3C45038C-9C68-4F26-9F58-AAC755AAF62B}" destId="{0E61F465-EE40-4A2F-8475-A71650229067}" srcOrd="1" destOrd="0" parTransId="{2AAAF04B-5863-4625-9C26-5C76748C1AA5}" sibTransId="{9A153F5C-94E9-4790-85A5-A8B7FB2E2D5D}"/>
    <dgm:cxn modelId="{4E92A06D-6A65-47CF-9250-23FD5CB4C325}" srcId="{3C45038C-9C68-4F26-9F58-AAC755AAF62B}" destId="{EDAE278E-652F-43B8-98A2-31FF7CB94EFF}" srcOrd="2" destOrd="0" parTransId="{771C1C4F-B060-4A78-876F-773D79E1CD01}" sibTransId="{C8FFBA30-6570-4B78-9F20-3F2EF1E9A39B}"/>
    <dgm:cxn modelId="{B95DA6A2-4136-4F7B-A7D9-942F8F4505FB}" type="presOf" srcId="{EDAE278E-652F-43B8-98A2-31FF7CB94EFF}" destId="{B2CE96BB-2183-44CD-8FB7-23B45D5D2BF5}" srcOrd="1" destOrd="0" presId="urn:microsoft.com/office/officeart/2005/8/layout/matrix1"/>
    <dgm:cxn modelId="{7742DDF3-CC8C-4642-9340-EE7AA0D38539}" type="presOf" srcId="{39EE1939-B2F9-409E-9771-1E762262B877}" destId="{198CC6C4-C6B1-42A2-BE19-6ACD9B3F8C2F}" srcOrd="0" destOrd="0" presId="urn:microsoft.com/office/officeart/2005/8/layout/matrix1"/>
    <dgm:cxn modelId="{D0FE474D-9A3D-45FD-A0C2-DB1CA5A2939D}" type="presOf" srcId="{0E61F465-EE40-4A2F-8475-A71650229067}" destId="{1A7260B7-E32A-4E63-BF06-F47F18DA2E4C}" srcOrd="1" destOrd="0" presId="urn:microsoft.com/office/officeart/2005/8/layout/matrix1"/>
    <dgm:cxn modelId="{062655D6-0C5A-453B-83E5-A1E3FEEF8561}" srcId="{3C45038C-9C68-4F26-9F58-AAC755AAF62B}" destId="{807CF36C-BBEC-45E0-8E71-AFD4CA8951B8}" srcOrd="0" destOrd="0" parTransId="{13CDDF09-C9DD-4061-B60B-C0A79FF1B6D4}" sibTransId="{E2DD9B0C-7FCE-4EB5-91A8-6EFA508C13F3}"/>
    <dgm:cxn modelId="{AAEE9C5F-BA83-42CC-A60C-48E7C8992FE5}" type="presOf" srcId="{D98FF748-8840-478E-A7CF-09C372951FCD}" destId="{EAF67A20-5B1C-4810-9C16-77B8579BF6F6}" srcOrd="0" destOrd="0" presId="urn:microsoft.com/office/officeart/2005/8/layout/matrix1"/>
    <dgm:cxn modelId="{EFF15CA7-8C9A-4A7E-9ECC-93F634C0FE3D}" srcId="{3C45038C-9C68-4F26-9F58-AAC755AAF62B}" destId="{39EE1939-B2F9-409E-9771-1E762262B877}" srcOrd="3" destOrd="0" parTransId="{2039355F-03EB-4AAC-A802-DDE856D6CB43}" sibTransId="{5ECE4DA5-B249-48C4-B023-FC4F880EE70C}"/>
    <dgm:cxn modelId="{21922B5D-00D3-44C7-9565-96788FBFE6E9}" type="presOf" srcId="{3C45038C-9C68-4F26-9F58-AAC755AAF62B}" destId="{CA23F824-9B4B-404A-BB75-6C3E85723BB6}" srcOrd="0" destOrd="0" presId="urn:microsoft.com/office/officeart/2005/8/layout/matrix1"/>
    <dgm:cxn modelId="{179CEC3E-270E-4394-B1A2-154D757A460B}" srcId="{D98FF748-8840-478E-A7CF-09C372951FCD}" destId="{3C45038C-9C68-4F26-9F58-AAC755AAF62B}" srcOrd="0" destOrd="0" parTransId="{BA82ED6F-D7A6-4F5E-AC67-444B62CA31BC}" sibTransId="{78CB0CF4-F1CD-47C2-B449-15F4E19BD4D4}"/>
    <dgm:cxn modelId="{95A4A050-77FF-4331-BF9E-E0737CF08ABF}" type="presOf" srcId="{39EE1939-B2F9-409E-9771-1E762262B877}" destId="{10735D7F-12EB-4E7F-A19B-5F55FC15792B}" srcOrd="1" destOrd="0" presId="urn:microsoft.com/office/officeart/2005/8/layout/matrix1"/>
    <dgm:cxn modelId="{08F6FD90-B1A7-40DB-9155-9E9FAFABA555}" type="presOf" srcId="{807CF36C-BBEC-45E0-8E71-AFD4CA8951B8}" destId="{946F0AB6-CCCF-43E3-AB10-E0E2C221F97A}" srcOrd="0" destOrd="0" presId="urn:microsoft.com/office/officeart/2005/8/layout/matrix1"/>
    <dgm:cxn modelId="{A69C10F2-5946-407A-B5D7-3E4C22648E15}" type="presParOf" srcId="{EAF67A20-5B1C-4810-9C16-77B8579BF6F6}" destId="{144C6D48-6DAB-4796-8094-135026F1C05E}" srcOrd="0" destOrd="0" presId="urn:microsoft.com/office/officeart/2005/8/layout/matrix1"/>
    <dgm:cxn modelId="{0C57BAE2-B0B7-4B84-B956-16EB5718575D}" type="presParOf" srcId="{144C6D48-6DAB-4796-8094-135026F1C05E}" destId="{946F0AB6-CCCF-43E3-AB10-E0E2C221F97A}" srcOrd="0" destOrd="0" presId="urn:microsoft.com/office/officeart/2005/8/layout/matrix1"/>
    <dgm:cxn modelId="{3E8537BE-1FED-43D5-B423-00ECFBF8302E}" type="presParOf" srcId="{144C6D48-6DAB-4796-8094-135026F1C05E}" destId="{524282D2-E4D2-4E5F-BD9E-5DCD8747C230}" srcOrd="1" destOrd="0" presId="urn:microsoft.com/office/officeart/2005/8/layout/matrix1"/>
    <dgm:cxn modelId="{9010C64C-8655-42AD-8179-34CB43B3FFAC}" type="presParOf" srcId="{144C6D48-6DAB-4796-8094-135026F1C05E}" destId="{A8A7D018-697A-4AC2-8922-CD9A02862B30}" srcOrd="2" destOrd="0" presId="urn:microsoft.com/office/officeart/2005/8/layout/matrix1"/>
    <dgm:cxn modelId="{20B3F18A-B386-4617-8B59-4A74F69F1899}" type="presParOf" srcId="{144C6D48-6DAB-4796-8094-135026F1C05E}" destId="{1A7260B7-E32A-4E63-BF06-F47F18DA2E4C}" srcOrd="3" destOrd="0" presId="urn:microsoft.com/office/officeart/2005/8/layout/matrix1"/>
    <dgm:cxn modelId="{074820C4-F23F-42F0-BB17-9D593B96DD13}" type="presParOf" srcId="{144C6D48-6DAB-4796-8094-135026F1C05E}" destId="{4A0804CF-22D4-445A-88B8-BFC3CBB9F617}" srcOrd="4" destOrd="0" presId="urn:microsoft.com/office/officeart/2005/8/layout/matrix1"/>
    <dgm:cxn modelId="{AE233DD7-181A-4803-948C-BB3013B2E39A}" type="presParOf" srcId="{144C6D48-6DAB-4796-8094-135026F1C05E}" destId="{B2CE96BB-2183-44CD-8FB7-23B45D5D2BF5}" srcOrd="5" destOrd="0" presId="urn:microsoft.com/office/officeart/2005/8/layout/matrix1"/>
    <dgm:cxn modelId="{7AEAAB78-F698-429A-BE5F-DB573B15F2DD}" type="presParOf" srcId="{144C6D48-6DAB-4796-8094-135026F1C05E}" destId="{198CC6C4-C6B1-42A2-BE19-6ACD9B3F8C2F}" srcOrd="6" destOrd="0" presId="urn:microsoft.com/office/officeart/2005/8/layout/matrix1"/>
    <dgm:cxn modelId="{42733628-43EB-4C89-813D-600644944618}" type="presParOf" srcId="{144C6D48-6DAB-4796-8094-135026F1C05E}" destId="{10735D7F-12EB-4E7F-A19B-5F55FC15792B}" srcOrd="7" destOrd="0" presId="urn:microsoft.com/office/officeart/2005/8/layout/matrix1"/>
    <dgm:cxn modelId="{8EE94DA1-D263-4506-8617-7F45E7092681}" type="presParOf" srcId="{EAF67A20-5B1C-4810-9C16-77B8579BF6F6}" destId="{CA23F824-9B4B-404A-BB75-6C3E85723BB6}" srcOrd="1" destOrd="0" presId="urn:microsoft.com/office/officeart/2005/8/layout/matrix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6F0AB6-CCCF-43E3-AB10-E0E2C221F97A}">
      <dsp:nvSpPr>
        <dsp:cNvPr id="0" name=""/>
        <dsp:cNvSpPr/>
      </dsp:nvSpPr>
      <dsp:spPr>
        <a:xfrm rot="16200000">
          <a:off x="464854" y="-464854"/>
          <a:ext cx="2010378" cy="2940086"/>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nl-BE" sz="800" kern="1200"/>
            <a:t>QF</a:t>
          </a:r>
        </a:p>
        <a:p>
          <a:pPr lvl="0" algn="ctr" defTabSz="355600">
            <a:lnSpc>
              <a:spcPct val="90000"/>
            </a:lnSpc>
            <a:spcBef>
              <a:spcPct val="0"/>
            </a:spcBef>
            <a:spcAft>
              <a:spcPct val="35000"/>
            </a:spcAft>
          </a:pPr>
          <a:r>
            <a:rPr lang="nl-BE" sz="800" kern="1200"/>
            <a:t>National QF, referenced to the </a:t>
          </a:r>
        </a:p>
        <a:p>
          <a:pPr lvl="0" algn="ctr" defTabSz="355600">
            <a:lnSpc>
              <a:spcPct val="90000"/>
            </a:lnSpc>
            <a:spcBef>
              <a:spcPct val="0"/>
            </a:spcBef>
            <a:spcAft>
              <a:spcPct val="35000"/>
            </a:spcAft>
          </a:pPr>
          <a:r>
            <a:rPr lang="nl-BE" sz="800" kern="1200"/>
            <a:t>European QF for HE</a:t>
          </a:r>
        </a:p>
      </dsp:txBody>
      <dsp:txXfrm rot="5400000">
        <a:off x="0" y="0"/>
        <a:ext cx="2940086" cy="1507783"/>
      </dsp:txXfrm>
    </dsp:sp>
    <dsp:sp modelId="{A8A7D018-697A-4AC2-8922-CD9A02862B30}">
      <dsp:nvSpPr>
        <dsp:cNvPr id="0" name=""/>
        <dsp:cNvSpPr/>
      </dsp:nvSpPr>
      <dsp:spPr>
        <a:xfrm>
          <a:off x="2940086" y="0"/>
          <a:ext cx="2940086" cy="2010378"/>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nl-BE" sz="900" kern="1200"/>
            <a:t>QA,</a:t>
          </a:r>
        </a:p>
        <a:p>
          <a:pPr lvl="0" algn="ctr" defTabSz="400050">
            <a:lnSpc>
              <a:spcPct val="90000"/>
            </a:lnSpc>
            <a:spcBef>
              <a:spcPct val="0"/>
            </a:spcBef>
            <a:spcAft>
              <a:spcPct val="35000"/>
            </a:spcAft>
          </a:pPr>
          <a:r>
            <a:rPr lang="nl-BE" sz="900" kern="1200"/>
            <a:t>Demonstrating Quality: </a:t>
          </a:r>
        </a:p>
        <a:p>
          <a:pPr lvl="0" algn="ctr" defTabSz="400050">
            <a:lnSpc>
              <a:spcPct val="90000"/>
            </a:lnSpc>
            <a:spcBef>
              <a:spcPct val="0"/>
            </a:spcBef>
            <a:spcAft>
              <a:spcPct val="35000"/>
            </a:spcAft>
          </a:pPr>
          <a:endParaRPr lang="nl-BE" sz="900" kern="1200"/>
        </a:p>
        <a:p>
          <a:pPr lvl="0" algn="ctr" defTabSz="400050">
            <a:lnSpc>
              <a:spcPct val="90000"/>
            </a:lnSpc>
            <a:spcBef>
              <a:spcPct val="0"/>
            </a:spcBef>
            <a:spcAft>
              <a:spcPct val="35000"/>
            </a:spcAft>
          </a:pPr>
          <a:r>
            <a:rPr lang="nl-BE" sz="900" kern="1200"/>
            <a:t>ensuring that the standards are met in the qualifications </a:t>
          </a:r>
          <a:r>
            <a:rPr lang="nl-BE" sz="800" kern="1200"/>
            <a:t>awarded</a:t>
          </a:r>
        </a:p>
        <a:p>
          <a:pPr lvl="0" algn="ctr" defTabSz="400050">
            <a:lnSpc>
              <a:spcPct val="90000"/>
            </a:lnSpc>
            <a:spcBef>
              <a:spcPct val="0"/>
            </a:spcBef>
            <a:spcAft>
              <a:spcPct val="35000"/>
            </a:spcAft>
          </a:pPr>
          <a:r>
            <a:rPr lang="nl-BE" sz="800" kern="1200"/>
            <a:t>quality of the learning opportunities available to the students enabling them to achieve their qualifications</a:t>
          </a:r>
        </a:p>
        <a:p>
          <a:pPr lvl="0" algn="ctr" defTabSz="400050">
            <a:lnSpc>
              <a:spcPct val="90000"/>
            </a:lnSpc>
            <a:spcBef>
              <a:spcPct val="0"/>
            </a:spcBef>
            <a:spcAft>
              <a:spcPct val="35000"/>
            </a:spcAft>
          </a:pPr>
          <a:r>
            <a:rPr lang="nl-BE" sz="800" kern="1200"/>
            <a:t>quality enhancement:: improving th quality of the learning opportunities</a:t>
          </a:r>
        </a:p>
        <a:p>
          <a:pPr lvl="0" algn="ctr" defTabSz="400050">
            <a:lnSpc>
              <a:spcPct val="90000"/>
            </a:lnSpc>
            <a:spcBef>
              <a:spcPct val="0"/>
            </a:spcBef>
            <a:spcAft>
              <a:spcPct val="35000"/>
            </a:spcAft>
          </a:pPr>
          <a:r>
            <a:rPr lang="nl-BE" sz="800" kern="1200"/>
            <a:t>HE providers have the responsibility to produce appropriate information</a:t>
          </a:r>
        </a:p>
        <a:p>
          <a:pPr lvl="0" algn="ctr" defTabSz="400050">
            <a:lnSpc>
              <a:spcPct val="90000"/>
            </a:lnSpc>
            <a:spcBef>
              <a:spcPct val="0"/>
            </a:spcBef>
            <a:spcAft>
              <a:spcPct val="35000"/>
            </a:spcAft>
          </a:pPr>
          <a:endParaRPr lang="nl-BE" sz="800" i="1" kern="1200"/>
        </a:p>
        <a:p>
          <a:pPr lvl="0" algn="ctr" defTabSz="400050">
            <a:lnSpc>
              <a:spcPct val="90000"/>
            </a:lnSpc>
            <a:spcBef>
              <a:spcPct val="0"/>
            </a:spcBef>
            <a:spcAft>
              <a:spcPct val="35000"/>
            </a:spcAft>
          </a:pPr>
          <a:r>
            <a:rPr lang="nl-BE" sz="800" kern="1200"/>
            <a:t>IQA</a:t>
          </a:r>
        </a:p>
        <a:p>
          <a:pPr lvl="0" algn="ctr" defTabSz="400050">
            <a:lnSpc>
              <a:spcPct val="90000"/>
            </a:lnSpc>
            <a:spcBef>
              <a:spcPct val="0"/>
            </a:spcBef>
            <a:spcAft>
              <a:spcPct val="35000"/>
            </a:spcAft>
          </a:pPr>
          <a:r>
            <a:rPr lang="nl-BE" sz="900" kern="1200"/>
            <a:t>       EQA, external reviews</a:t>
          </a:r>
        </a:p>
        <a:p>
          <a:pPr lvl="0" algn="ctr" defTabSz="400050">
            <a:lnSpc>
              <a:spcPct val="90000"/>
            </a:lnSpc>
            <a:spcBef>
              <a:spcPct val="0"/>
            </a:spcBef>
            <a:spcAft>
              <a:spcPct val="35000"/>
            </a:spcAft>
          </a:pPr>
          <a:r>
            <a:rPr lang="nl-BE" sz="900" kern="1200"/>
            <a:t>             in compliance with the ESG</a:t>
          </a:r>
        </a:p>
      </dsp:txBody>
      <dsp:txXfrm>
        <a:off x="2940086" y="0"/>
        <a:ext cx="2940086" cy="1507783"/>
      </dsp:txXfrm>
    </dsp:sp>
    <dsp:sp modelId="{4A0804CF-22D4-445A-88B8-BFC3CBB9F617}">
      <dsp:nvSpPr>
        <dsp:cNvPr id="0" name=""/>
        <dsp:cNvSpPr/>
      </dsp:nvSpPr>
      <dsp:spPr>
        <a:xfrm rot="10800000">
          <a:off x="0" y="2010378"/>
          <a:ext cx="2940086" cy="2010378"/>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nl-BE" sz="800" kern="1200"/>
            <a:t>RECOGNITION</a:t>
          </a:r>
        </a:p>
        <a:p>
          <a:pPr lvl="0" algn="ctr" defTabSz="355600">
            <a:lnSpc>
              <a:spcPct val="90000"/>
            </a:lnSpc>
            <a:spcBef>
              <a:spcPct val="0"/>
            </a:spcBef>
            <a:spcAft>
              <a:spcPct val="35000"/>
            </a:spcAft>
          </a:pPr>
          <a:r>
            <a:rPr lang="nl-BE" sz="800" kern="1200"/>
            <a:t>Recognition of foreign diplomas, degrees and periods of study (certified learning)</a:t>
          </a:r>
        </a:p>
        <a:p>
          <a:pPr lvl="0" algn="ctr" defTabSz="355600">
            <a:lnSpc>
              <a:spcPct val="90000"/>
            </a:lnSpc>
            <a:spcBef>
              <a:spcPct val="0"/>
            </a:spcBef>
            <a:spcAft>
              <a:spcPct val="35000"/>
            </a:spcAft>
          </a:pPr>
          <a:r>
            <a:rPr lang="nl-BE" sz="800" kern="1200"/>
            <a:t>Recognition of  prior (experiential) learning</a:t>
          </a:r>
        </a:p>
      </dsp:txBody>
      <dsp:txXfrm rot="10800000">
        <a:off x="0" y="2512972"/>
        <a:ext cx="2940086" cy="1507783"/>
      </dsp:txXfrm>
    </dsp:sp>
    <dsp:sp modelId="{198CC6C4-C6B1-42A2-BE19-6ACD9B3F8C2F}">
      <dsp:nvSpPr>
        <dsp:cNvPr id="0" name=""/>
        <dsp:cNvSpPr/>
      </dsp:nvSpPr>
      <dsp:spPr>
        <a:xfrm rot="5400000">
          <a:off x="3404940" y="1545524"/>
          <a:ext cx="2010378" cy="2940086"/>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nl-BE" sz="800" kern="1200"/>
            <a:t>Transparency,</a:t>
          </a:r>
        </a:p>
        <a:p>
          <a:pPr lvl="0" algn="ctr" defTabSz="355600">
            <a:lnSpc>
              <a:spcPct val="90000"/>
            </a:lnSpc>
            <a:spcBef>
              <a:spcPct val="0"/>
            </a:spcBef>
            <a:spcAft>
              <a:spcPct val="35000"/>
            </a:spcAft>
          </a:pPr>
          <a:r>
            <a:rPr lang="nl-BE" sz="800" kern="1200"/>
            <a:t>quality information</a:t>
          </a:r>
        </a:p>
        <a:p>
          <a:pPr lvl="0" algn="ctr" defTabSz="355600">
            <a:lnSpc>
              <a:spcPct val="90000"/>
            </a:lnSpc>
            <a:spcBef>
              <a:spcPct val="0"/>
            </a:spcBef>
            <a:spcAft>
              <a:spcPct val="35000"/>
            </a:spcAft>
          </a:pPr>
          <a:r>
            <a:rPr lang="nl-BE" sz="800" kern="1200"/>
            <a:t>program specifications</a:t>
          </a:r>
        </a:p>
        <a:p>
          <a:pPr lvl="0" algn="ctr" defTabSz="355600">
            <a:lnSpc>
              <a:spcPct val="90000"/>
            </a:lnSpc>
            <a:spcBef>
              <a:spcPct val="0"/>
            </a:spcBef>
            <a:spcAft>
              <a:spcPct val="35000"/>
            </a:spcAft>
          </a:pPr>
          <a:r>
            <a:rPr lang="nl-BE" sz="800" kern="1200"/>
            <a:t>DS</a:t>
          </a:r>
        </a:p>
        <a:p>
          <a:pPr lvl="0" algn="ctr" defTabSz="355600">
            <a:lnSpc>
              <a:spcPct val="90000"/>
            </a:lnSpc>
            <a:spcBef>
              <a:spcPct val="0"/>
            </a:spcBef>
            <a:spcAft>
              <a:spcPct val="35000"/>
            </a:spcAft>
          </a:pPr>
          <a:r>
            <a:rPr lang="nl-BE" sz="800" kern="1200"/>
            <a:t>ECTS</a:t>
          </a:r>
        </a:p>
        <a:p>
          <a:pPr lvl="0" algn="ctr" defTabSz="355600">
            <a:lnSpc>
              <a:spcPct val="90000"/>
            </a:lnSpc>
            <a:spcBef>
              <a:spcPct val="0"/>
            </a:spcBef>
            <a:spcAft>
              <a:spcPct val="35000"/>
            </a:spcAft>
          </a:pPr>
          <a:r>
            <a:rPr lang="nl-BE" sz="800" kern="1200"/>
            <a:t>quality review reports</a:t>
          </a:r>
        </a:p>
        <a:p>
          <a:pPr lvl="0" algn="ctr" defTabSz="355600">
            <a:lnSpc>
              <a:spcPct val="90000"/>
            </a:lnSpc>
            <a:spcBef>
              <a:spcPct val="0"/>
            </a:spcBef>
            <a:spcAft>
              <a:spcPct val="35000"/>
            </a:spcAft>
          </a:pPr>
          <a:r>
            <a:rPr lang="nl-BE" sz="800" kern="1200"/>
            <a:t>U-Multirank</a:t>
          </a:r>
        </a:p>
      </dsp:txBody>
      <dsp:txXfrm rot="-5400000">
        <a:off x="2940086" y="2512972"/>
        <a:ext cx="2940086" cy="1507783"/>
      </dsp:txXfrm>
    </dsp:sp>
    <dsp:sp modelId="{CA23F824-9B4B-404A-BB75-6C3E85723BB6}">
      <dsp:nvSpPr>
        <dsp:cNvPr id="0" name=""/>
        <dsp:cNvSpPr/>
      </dsp:nvSpPr>
      <dsp:spPr>
        <a:xfrm>
          <a:off x="1978748" y="1357547"/>
          <a:ext cx="1922675" cy="1305660"/>
        </a:xfrm>
        <a:prstGeom prst="roundRect">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BE" sz="800" kern="1200"/>
            <a:t>Curriculum; LO aligned to the relevant descriptors in the NQF;</a:t>
          </a:r>
        </a:p>
        <a:p>
          <a:pPr lvl="0" algn="ctr" defTabSz="355600">
            <a:lnSpc>
              <a:spcPct val="90000"/>
            </a:lnSpc>
            <a:spcBef>
              <a:spcPct val="0"/>
            </a:spcBef>
            <a:spcAft>
              <a:spcPct val="35000"/>
            </a:spcAft>
          </a:pPr>
          <a:r>
            <a:rPr lang="nl-BE" sz="800" kern="1200"/>
            <a:t>The learning  opportunities</a:t>
          </a:r>
        </a:p>
        <a:p>
          <a:pPr lvl="0" algn="ctr" defTabSz="355600">
            <a:lnSpc>
              <a:spcPct val="90000"/>
            </a:lnSpc>
            <a:spcBef>
              <a:spcPct val="0"/>
            </a:spcBef>
            <a:spcAft>
              <a:spcPct val="35000"/>
            </a:spcAft>
          </a:pPr>
          <a:r>
            <a:rPr lang="nl-BE" sz="800" kern="1200"/>
            <a:t>Embedding  ed for democratic society, ed for employability, ed for sustainability, professional ed   in the curriculum </a:t>
          </a:r>
        </a:p>
        <a:p>
          <a:pPr lvl="0" algn="ctr" defTabSz="355600">
            <a:lnSpc>
              <a:spcPct val="90000"/>
            </a:lnSpc>
            <a:spcBef>
              <a:spcPct val="0"/>
            </a:spcBef>
            <a:spcAft>
              <a:spcPct val="35000"/>
            </a:spcAft>
          </a:pPr>
          <a:r>
            <a:rPr lang="nl-BE" sz="800" kern="1200"/>
            <a:t>inclusive HE, equality and diversity</a:t>
          </a:r>
        </a:p>
        <a:p>
          <a:pPr lvl="0" algn="ctr" defTabSz="355600">
            <a:lnSpc>
              <a:spcPct val="90000"/>
            </a:lnSpc>
            <a:spcBef>
              <a:spcPct val="0"/>
            </a:spcBef>
            <a:spcAft>
              <a:spcPct val="35000"/>
            </a:spcAft>
          </a:pPr>
          <a:r>
            <a:rPr lang="nl-BE" sz="800" kern="1200"/>
            <a:t>inclusive LLL</a:t>
          </a:r>
        </a:p>
      </dsp:txBody>
      <dsp:txXfrm>
        <a:off x="2042485" y="1421284"/>
        <a:ext cx="1795201" cy="1178186"/>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8569F49-B0DF-46EC-8A30-965B4DCFF8D4}"/>
</file>

<file path=customXml/itemProps2.xml><?xml version="1.0" encoding="utf-8"?>
<ds:datastoreItem xmlns:ds="http://schemas.openxmlformats.org/officeDocument/2006/customXml" ds:itemID="{4770D241-0D9E-4825-A8C0-DC7AA4E32372}"/>
</file>

<file path=customXml/itemProps3.xml><?xml version="1.0" encoding="utf-8"?>
<ds:datastoreItem xmlns:ds="http://schemas.openxmlformats.org/officeDocument/2006/customXml" ds:itemID="{31AF28DC-232D-40EE-805E-B041BCA315F3}"/>
</file>

<file path=docProps/app.xml><?xml version="1.0" encoding="utf-8"?>
<Properties xmlns="http://schemas.openxmlformats.org/officeDocument/2006/extended-properties" xmlns:vt="http://schemas.openxmlformats.org/officeDocument/2006/docPropsVTypes">
  <Template>Normal</Template>
  <TotalTime>0</TotalTime>
  <Pages>102</Pages>
  <Words>35547</Words>
  <Characters>202618</Characters>
  <Application>Microsoft Office Word</Application>
  <DocSecurity>0</DocSecurity>
  <Lines>1688</Lines>
  <Paragraphs>475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Council of Europe</Company>
  <LinksUpToDate>false</LinksUpToDate>
  <CharactersWithSpaces>237690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USER</cp:lastModifiedBy>
  <cp:revision>2</cp:revision>
  <cp:lastPrinted>2014-07-17T07:07:00Z</cp:lastPrinted>
  <dcterms:created xsi:type="dcterms:W3CDTF">2014-09-10T12:23:00Z</dcterms:created>
  <dcterms:modified xsi:type="dcterms:W3CDTF">2014-09-10T12:23:00Z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