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customXml/itemProps3.xml" ContentType="application/vnd.openxmlformats-officedocument.customXmlProperties+xml"/>
  <Override PartName="/customXml/itemProps1.xml" ContentType="application/vnd.openxmlformats-officedocument.customXmlProperties+xml"/>
  <Override PartName="/word/theme/themeOverride3.xml" ContentType="application/vnd.openxmlformats-officedocument.themeOverride+xml"/>
  <Default Extension="rels" ContentType="application/vnd.openxmlformats-package.relationships+xml"/>
  <Override PartName="/word/theme/themeOverride1.xml" ContentType="application/vnd.openxmlformats-officedocument.themeOverride+xml"/>
  <Override PartName="/word/theme/themeOverride11.xml" ContentType="application/vnd.openxmlformats-officedocument.themeOverride+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charts/chart9.xml" ContentType="application/vnd.openxmlformats-officedocument.drawingml.chart+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Override PartName="/customXml/itemProps4.xml" ContentType="application/vnd.openxmlformats-officedocument.customXmlProperties+xml"/>
  <Default Extension="png" ContentType="image/png"/>
  <Override PartName="/word/theme/themeOverride4.xml" ContentType="application/vnd.openxmlformats-officedocument.themeOverride+xml"/>
  <Override PartName="/customXml/itemProps2.xml" ContentType="application/vnd.openxmlformats-officedocument.customXmlProperties+xml"/>
  <Override PartName="/word/theme/themeOverride2.xml" ContentType="application/vnd.openxmlformats-officedocument.themeOverride+xml"/>
  <Override PartName="/word/theme/themeOverride12.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A03" w:rsidRPr="00BE4B00" w:rsidRDefault="00711A03" w:rsidP="00776F7E">
      <w:pPr>
        <w:spacing w:before="100" w:beforeAutospacing="1" w:after="100" w:afterAutospacing="1" w:line="240" w:lineRule="auto"/>
        <w:jc w:val="both"/>
        <w:rPr>
          <w:rFonts w:ascii="Arial" w:hAnsi="Arial" w:cs="Arial"/>
          <w:b/>
          <w:lang w:val="en-GB"/>
        </w:rPr>
      </w:pPr>
      <w:r w:rsidRPr="00BE4B00">
        <w:rPr>
          <w:rFonts w:ascii="Arial" w:hAnsi="Arial" w:cs="Arial"/>
          <w:b/>
          <w:lang w:val="en-GB"/>
        </w:rPr>
        <w:t>Pathfinder Group on Automatic Recognition</w:t>
      </w:r>
    </w:p>
    <w:p w:rsidR="00711A03" w:rsidRPr="00BE4B00" w:rsidRDefault="00711A03" w:rsidP="00776F7E">
      <w:pPr>
        <w:spacing w:before="100" w:beforeAutospacing="1" w:after="100" w:afterAutospacing="1" w:line="240" w:lineRule="auto"/>
        <w:jc w:val="both"/>
        <w:rPr>
          <w:rFonts w:ascii="Arial" w:hAnsi="Arial" w:cs="Arial"/>
          <w:b/>
          <w:lang w:val="en-GB"/>
        </w:rPr>
      </w:pPr>
      <w:r w:rsidRPr="00BE4B00">
        <w:rPr>
          <w:rFonts w:ascii="Arial" w:hAnsi="Arial" w:cs="Arial"/>
          <w:b/>
          <w:lang w:val="en-GB"/>
        </w:rPr>
        <w:t xml:space="preserve">Recognition and assessment of foreign qualifications </w:t>
      </w: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p>
    <w:p w:rsidR="00711A03" w:rsidRPr="00BE4B00" w:rsidRDefault="00711A03" w:rsidP="00776F7E">
      <w:pPr>
        <w:spacing w:before="100" w:beforeAutospacing="1" w:after="100" w:afterAutospacing="1" w:line="240" w:lineRule="auto"/>
        <w:jc w:val="both"/>
        <w:rPr>
          <w:rFonts w:ascii="Arial" w:hAnsi="Arial" w:cs="Arial"/>
          <w:i/>
          <w:lang w:val="en-GB"/>
        </w:rPr>
      </w:pPr>
      <w:r w:rsidRPr="00BE4B00">
        <w:rPr>
          <w:rFonts w:ascii="Arial" w:hAnsi="Arial" w:cs="Arial"/>
          <w:i/>
          <w:lang w:val="en-GB"/>
        </w:rPr>
        <w:t xml:space="preserve">Report on the analysis of the </w:t>
      </w:r>
      <w:r w:rsidR="005C5B12">
        <w:rPr>
          <w:rFonts w:ascii="Arial" w:hAnsi="Arial" w:cs="Arial"/>
          <w:i/>
          <w:lang w:val="en-GB"/>
        </w:rPr>
        <w:t>s</w:t>
      </w:r>
      <w:r w:rsidRPr="00BE4B00">
        <w:rPr>
          <w:rFonts w:ascii="Arial" w:hAnsi="Arial" w:cs="Arial"/>
          <w:i/>
          <w:lang w:val="en-GB"/>
        </w:rPr>
        <w:t xml:space="preserve">urvey of higher education institutions on applications from </w:t>
      </w:r>
      <w:r w:rsidR="005B3AB1">
        <w:rPr>
          <w:rFonts w:ascii="Arial" w:hAnsi="Arial" w:cs="Arial"/>
          <w:i/>
          <w:lang w:val="en-GB"/>
        </w:rPr>
        <w:br/>
      </w:r>
      <w:r w:rsidRPr="00BE4B00">
        <w:rPr>
          <w:rFonts w:ascii="Arial" w:hAnsi="Arial" w:cs="Arial"/>
          <w:i/>
          <w:lang w:val="en-GB"/>
        </w:rPr>
        <w:t>Bachelor graduates from another EHEA country to a Master’s degree programme</w:t>
      </w: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Pr="00BE4B00" w:rsidRDefault="004850E1" w:rsidP="004850E1">
      <w:pPr>
        <w:spacing w:before="100" w:beforeAutospacing="1" w:after="100" w:afterAutospacing="1" w:line="240" w:lineRule="auto"/>
        <w:jc w:val="center"/>
        <w:rPr>
          <w:rFonts w:ascii="Arial" w:hAnsi="Arial" w:cs="Arial"/>
          <w:lang w:val="en-GB"/>
        </w:rPr>
      </w:pPr>
      <w:r>
        <w:rPr>
          <w:rFonts w:ascii="Arial" w:hAnsi="Arial" w:cs="Arial"/>
          <w:lang w:val="en-GB"/>
        </w:rPr>
        <w:t>(</w:t>
      </w:r>
      <w:proofErr w:type="gramStart"/>
      <w:r>
        <w:rPr>
          <w:rFonts w:ascii="Arial" w:hAnsi="Arial" w:cs="Arial"/>
          <w:lang w:val="en-GB"/>
        </w:rPr>
        <w:t>annexed</w:t>
      </w:r>
      <w:proofErr w:type="gramEnd"/>
      <w:r>
        <w:rPr>
          <w:rFonts w:ascii="Arial" w:hAnsi="Arial" w:cs="Arial"/>
          <w:lang w:val="en-GB"/>
        </w:rPr>
        <w:t xml:space="preserve"> to the Report by the EHEA Pathfinder Group on Automatic Recognition to the BFUG)</w:t>
      </w: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Default="00711A03" w:rsidP="00776F7E">
      <w:pPr>
        <w:spacing w:before="100" w:beforeAutospacing="1" w:after="100" w:afterAutospacing="1" w:line="240" w:lineRule="auto"/>
        <w:jc w:val="both"/>
        <w:rPr>
          <w:rFonts w:ascii="Arial" w:hAnsi="Arial" w:cs="Arial"/>
          <w:lang w:val="en-GB"/>
        </w:rPr>
      </w:pPr>
    </w:p>
    <w:p w:rsidR="005F3A27" w:rsidRPr="00BE4B00" w:rsidRDefault="005F3A27" w:rsidP="00776F7E">
      <w:pPr>
        <w:spacing w:before="100" w:beforeAutospacing="1" w:after="100" w:afterAutospacing="1" w:line="240" w:lineRule="auto"/>
        <w:jc w:val="both"/>
        <w:rPr>
          <w:rFonts w:ascii="Arial" w:hAnsi="Arial" w:cs="Arial"/>
          <w:lang w:val="en-GB"/>
        </w:rPr>
      </w:pPr>
    </w:p>
    <w:p w:rsidR="00711A03" w:rsidRPr="00BE4B00" w:rsidRDefault="00711A03" w:rsidP="00776F7E">
      <w:pPr>
        <w:spacing w:before="100" w:beforeAutospacing="1" w:after="100" w:afterAutospacing="1" w:line="240" w:lineRule="auto"/>
        <w:jc w:val="both"/>
        <w:rPr>
          <w:rFonts w:ascii="Arial" w:hAnsi="Arial" w:cs="Arial"/>
          <w:lang w:val="en-GB"/>
        </w:rPr>
      </w:pPr>
    </w:p>
    <w:p w:rsidR="00711A03" w:rsidRDefault="00711A03" w:rsidP="00776F7E">
      <w:pPr>
        <w:spacing w:before="100" w:beforeAutospacing="1" w:after="100" w:afterAutospacing="1" w:line="240" w:lineRule="auto"/>
        <w:jc w:val="both"/>
        <w:rPr>
          <w:rFonts w:ascii="Arial" w:hAnsi="Arial" w:cs="Arial"/>
          <w:lang w:val="en-GB"/>
        </w:rPr>
      </w:pPr>
    </w:p>
    <w:p w:rsidR="005F3A27" w:rsidRDefault="005F3A27" w:rsidP="00776F7E">
      <w:pPr>
        <w:spacing w:before="100" w:beforeAutospacing="1" w:after="100" w:afterAutospacing="1" w:line="240" w:lineRule="auto"/>
        <w:jc w:val="both"/>
        <w:rPr>
          <w:rFonts w:ascii="Arial" w:hAnsi="Arial" w:cs="Arial"/>
          <w:lang w:val="en-GB"/>
        </w:rPr>
      </w:pPr>
    </w:p>
    <w:p w:rsidR="006D09CE" w:rsidRPr="00BE4B00" w:rsidRDefault="006D09CE" w:rsidP="00776F7E">
      <w:pPr>
        <w:spacing w:before="100" w:beforeAutospacing="1" w:after="100" w:afterAutospacing="1" w:line="240" w:lineRule="auto"/>
        <w:jc w:val="both"/>
        <w:rPr>
          <w:rFonts w:ascii="Arial" w:hAnsi="Arial" w:cs="Arial"/>
          <w:lang w:val="en-GB"/>
        </w:rPr>
      </w:pPr>
    </w:p>
    <w:p w:rsidR="00711A03" w:rsidRPr="00BE4B00" w:rsidRDefault="00711A03" w:rsidP="00776F7E">
      <w:pPr>
        <w:spacing w:before="100" w:beforeAutospacing="1" w:after="100" w:afterAutospacing="1" w:line="240" w:lineRule="auto"/>
        <w:jc w:val="right"/>
        <w:rPr>
          <w:rFonts w:ascii="Arial" w:hAnsi="Arial" w:cs="Arial"/>
          <w:lang w:val="en-GB"/>
        </w:rPr>
      </w:pPr>
      <w:r w:rsidRPr="00BE4B00">
        <w:rPr>
          <w:rFonts w:ascii="Arial" w:hAnsi="Arial" w:cs="Arial"/>
          <w:lang w:val="en-GB"/>
        </w:rPr>
        <w:t xml:space="preserve">Prepared by </w:t>
      </w:r>
      <w:r w:rsidR="006D09CE">
        <w:rPr>
          <w:rFonts w:ascii="Arial" w:hAnsi="Arial" w:cs="Arial"/>
          <w:lang w:val="en-GB"/>
        </w:rPr>
        <w:t>the Pathfinder Group on Automatic Recognition</w:t>
      </w:r>
    </w:p>
    <w:p w:rsidR="00711A03" w:rsidRPr="00BE4B00" w:rsidRDefault="00000414" w:rsidP="006D09CE">
      <w:pPr>
        <w:spacing w:before="100" w:beforeAutospacing="1" w:after="100" w:afterAutospacing="1" w:line="240" w:lineRule="auto"/>
        <w:jc w:val="right"/>
        <w:rPr>
          <w:rFonts w:ascii="Arial" w:hAnsi="Arial" w:cs="Arial"/>
          <w:lang w:val="en-GB"/>
        </w:rPr>
      </w:pPr>
      <w:r>
        <w:rPr>
          <w:rFonts w:ascii="Arial" w:hAnsi="Arial" w:cs="Arial"/>
          <w:lang w:val="en-GB"/>
        </w:rPr>
        <w:t>September</w:t>
      </w:r>
      <w:r w:rsidR="00711A03" w:rsidRPr="00BE4B00">
        <w:rPr>
          <w:rFonts w:ascii="Arial" w:hAnsi="Arial" w:cs="Arial"/>
          <w:lang w:val="en-GB"/>
        </w:rPr>
        <w:t xml:space="preserve"> 2014</w:t>
      </w:r>
    </w:p>
    <w:p w:rsidR="00711A03" w:rsidRPr="00BE4B00" w:rsidRDefault="00711A03" w:rsidP="00E248F5">
      <w:pPr>
        <w:pBdr>
          <w:bottom w:val="single" w:sz="4" w:space="1" w:color="auto"/>
        </w:pBdr>
        <w:spacing w:before="100" w:beforeAutospacing="1" w:after="100" w:afterAutospacing="1" w:line="240" w:lineRule="auto"/>
        <w:jc w:val="both"/>
        <w:rPr>
          <w:rFonts w:ascii="Arial" w:hAnsi="Arial" w:cs="Arial"/>
          <w:lang w:val="en-GB"/>
        </w:rPr>
      </w:pPr>
      <w:r w:rsidRPr="00BE4B00">
        <w:rPr>
          <w:rFonts w:ascii="Arial" w:hAnsi="Arial" w:cs="Arial"/>
          <w:lang w:val="en-GB"/>
        </w:rPr>
        <w:br w:type="page"/>
      </w:r>
      <w:r w:rsidRPr="00BE4B00">
        <w:rPr>
          <w:rFonts w:ascii="Arial" w:hAnsi="Arial" w:cs="Arial"/>
          <w:b/>
          <w:lang w:val="en-GB"/>
        </w:rPr>
        <w:lastRenderedPageBreak/>
        <w:t>I. Introduction</w:t>
      </w:r>
    </w:p>
    <w:p w:rsidR="00711A03" w:rsidRDefault="00711A03" w:rsidP="00E248F5">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The Pathfinder Group on the Automatic Recognition of comparable </w:t>
      </w:r>
      <w:r w:rsidR="006D09CE">
        <w:rPr>
          <w:rFonts w:ascii="Arial" w:hAnsi="Arial" w:cs="Arial"/>
          <w:lang w:val="en-GB"/>
        </w:rPr>
        <w:t>higher education</w:t>
      </w:r>
      <w:r w:rsidR="006D09CE" w:rsidRPr="00BE4B00">
        <w:rPr>
          <w:rFonts w:ascii="Arial" w:hAnsi="Arial" w:cs="Arial"/>
          <w:lang w:val="en-GB"/>
        </w:rPr>
        <w:t xml:space="preserve"> </w:t>
      </w:r>
      <w:r w:rsidRPr="00BE4B00">
        <w:rPr>
          <w:rFonts w:ascii="Arial" w:hAnsi="Arial" w:cs="Arial"/>
          <w:lang w:val="en-GB"/>
        </w:rPr>
        <w:t>degrees (</w:t>
      </w:r>
      <w:proofErr w:type="spellStart"/>
      <w:r w:rsidRPr="00BE4B00">
        <w:rPr>
          <w:rFonts w:ascii="Arial" w:hAnsi="Arial" w:cs="Arial"/>
          <w:lang w:val="en-GB"/>
        </w:rPr>
        <w:t>P</w:t>
      </w:r>
      <w:r w:rsidR="00CB6B48">
        <w:rPr>
          <w:rFonts w:ascii="Arial" w:hAnsi="Arial" w:cs="Arial"/>
          <w:lang w:val="en-GB"/>
        </w:rPr>
        <w:t>f</w:t>
      </w:r>
      <w:r w:rsidRPr="00BE4B00">
        <w:rPr>
          <w:rFonts w:ascii="Arial" w:hAnsi="Arial" w:cs="Arial"/>
          <w:lang w:val="en-GB"/>
        </w:rPr>
        <w:t>G</w:t>
      </w:r>
      <w:proofErr w:type="spellEnd"/>
      <w:r w:rsidRPr="00BE4B00">
        <w:rPr>
          <w:rFonts w:ascii="Arial" w:hAnsi="Arial" w:cs="Arial"/>
          <w:lang w:val="en-GB"/>
        </w:rPr>
        <w:t xml:space="preserve">) was established by the Ministers responsible for Higher Education at the meeting of the European Higher Education Area (Bologna Process) in Bucharest in April 2012. The objective of the work of the </w:t>
      </w:r>
      <w:proofErr w:type="spellStart"/>
      <w:r w:rsidRPr="00BE4B00">
        <w:rPr>
          <w:rFonts w:ascii="Arial" w:hAnsi="Arial" w:cs="Arial"/>
          <w:lang w:val="en-GB"/>
        </w:rPr>
        <w:t>P</w:t>
      </w:r>
      <w:r w:rsidR="00CB6B48">
        <w:rPr>
          <w:rFonts w:ascii="Arial" w:hAnsi="Arial" w:cs="Arial"/>
          <w:lang w:val="en-GB"/>
        </w:rPr>
        <w:t>f</w:t>
      </w:r>
      <w:r w:rsidRPr="00BE4B00">
        <w:rPr>
          <w:rFonts w:ascii="Arial" w:hAnsi="Arial" w:cs="Arial"/>
          <w:lang w:val="en-GB"/>
        </w:rPr>
        <w:t>G</w:t>
      </w:r>
      <w:proofErr w:type="spellEnd"/>
      <w:r w:rsidRPr="00BE4B00">
        <w:rPr>
          <w:rFonts w:ascii="Arial" w:hAnsi="Arial" w:cs="Arial"/>
          <w:lang w:val="en-GB"/>
        </w:rPr>
        <w:t xml:space="preserve"> is to explore ways to </w:t>
      </w:r>
      <w:r w:rsidR="009502E2">
        <w:rPr>
          <w:rFonts w:ascii="Arial" w:hAnsi="Arial" w:cs="Arial"/>
          <w:lang w:val="en-GB"/>
        </w:rPr>
        <w:t>approach</w:t>
      </w:r>
      <w:r w:rsidRPr="00BE4B00">
        <w:rPr>
          <w:rFonts w:ascii="Arial" w:hAnsi="Arial" w:cs="Arial"/>
          <w:lang w:val="en-GB"/>
        </w:rPr>
        <w:t xml:space="preserve"> the long-term goal of automatic recognition of </w:t>
      </w:r>
      <w:r w:rsidR="006D09CE" w:rsidRPr="00BE4B00">
        <w:rPr>
          <w:rFonts w:ascii="Arial" w:hAnsi="Arial" w:cs="Arial"/>
          <w:lang w:val="en-GB"/>
        </w:rPr>
        <w:t xml:space="preserve">comparable </w:t>
      </w:r>
      <w:r w:rsidR="006D09CE">
        <w:rPr>
          <w:rFonts w:ascii="Arial" w:hAnsi="Arial" w:cs="Arial"/>
          <w:lang w:val="en-GB"/>
        </w:rPr>
        <w:t>HE</w:t>
      </w:r>
      <w:r w:rsidR="00CB6B48">
        <w:rPr>
          <w:rFonts w:ascii="Arial" w:hAnsi="Arial" w:cs="Arial"/>
          <w:lang w:val="en-GB"/>
        </w:rPr>
        <w:t xml:space="preserve"> </w:t>
      </w:r>
      <w:r w:rsidRPr="00BE4B00">
        <w:rPr>
          <w:rFonts w:ascii="Arial" w:hAnsi="Arial" w:cs="Arial"/>
          <w:lang w:val="en-GB"/>
        </w:rPr>
        <w:t>degrees. The group agreed that it should work on automatic recognition of generic levels of qualifications by moving away from individual to system-</w:t>
      </w:r>
      <w:r w:rsidR="00CB6B48">
        <w:rPr>
          <w:rFonts w:ascii="Arial" w:hAnsi="Arial" w:cs="Arial"/>
          <w:lang w:val="en-GB"/>
        </w:rPr>
        <w:t>level</w:t>
      </w:r>
      <w:r w:rsidRPr="00BE4B00">
        <w:rPr>
          <w:rFonts w:ascii="Arial" w:hAnsi="Arial" w:cs="Arial"/>
          <w:lang w:val="en-GB"/>
        </w:rPr>
        <w:t xml:space="preserve"> recognition, placing students on an equal footing irrespective of the country of origin of their </w:t>
      </w:r>
      <w:r w:rsidR="007356BF">
        <w:rPr>
          <w:rFonts w:ascii="Arial" w:hAnsi="Arial" w:cs="Arial"/>
          <w:lang w:val="en-GB"/>
        </w:rPr>
        <w:t>HE</w:t>
      </w:r>
      <w:r w:rsidR="000E4A57">
        <w:rPr>
          <w:rFonts w:ascii="Arial" w:hAnsi="Arial" w:cs="Arial"/>
          <w:lang w:val="en-GB"/>
        </w:rPr>
        <w:t xml:space="preserve"> </w:t>
      </w:r>
      <w:r w:rsidRPr="00BE4B00">
        <w:rPr>
          <w:rFonts w:ascii="Arial" w:hAnsi="Arial" w:cs="Arial"/>
          <w:lang w:val="en-GB"/>
        </w:rPr>
        <w:t xml:space="preserve">degree. The group agreed to focus on the recognition of qualifications on the level of a </w:t>
      </w:r>
      <w:r w:rsidR="007356BF">
        <w:rPr>
          <w:rFonts w:ascii="Arial" w:hAnsi="Arial" w:cs="Arial"/>
          <w:lang w:val="en-GB"/>
        </w:rPr>
        <w:t>B</w:t>
      </w:r>
      <w:r w:rsidRPr="00BE4B00">
        <w:rPr>
          <w:rFonts w:ascii="Arial" w:hAnsi="Arial" w:cs="Arial"/>
          <w:lang w:val="en-GB"/>
        </w:rPr>
        <w:t>achelor degree (first cycle of EHEA-QF</w:t>
      </w:r>
      <w:r w:rsidR="008465FF">
        <w:rPr>
          <w:rStyle w:val="FootnoteReference"/>
          <w:rFonts w:ascii="Arial" w:hAnsi="Arial"/>
          <w:lang w:val="en-GB"/>
        </w:rPr>
        <w:footnoteReference w:id="1"/>
      </w:r>
      <w:r w:rsidRPr="00BE4B00">
        <w:rPr>
          <w:rFonts w:ascii="Arial" w:hAnsi="Arial" w:cs="Arial"/>
          <w:lang w:val="en-GB"/>
        </w:rPr>
        <w:t xml:space="preserve"> or level 6 EQF</w:t>
      </w:r>
      <w:r w:rsidR="007356BF">
        <w:rPr>
          <w:rFonts w:ascii="Arial" w:hAnsi="Arial" w:cs="Arial"/>
          <w:lang w:val="en-GB"/>
        </w:rPr>
        <w:t xml:space="preserve"> for LLL</w:t>
      </w:r>
      <w:r w:rsidRPr="00BE4B00">
        <w:rPr>
          <w:rFonts w:ascii="Arial" w:hAnsi="Arial" w:cs="Arial"/>
          <w:lang w:val="en-GB"/>
        </w:rPr>
        <w:t xml:space="preserve">) and a </w:t>
      </w:r>
      <w:r w:rsidR="007356BF">
        <w:rPr>
          <w:rFonts w:ascii="Arial" w:hAnsi="Arial" w:cs="Arial"/>
          <w:lang w:val="en-GB"/>
        </w:rPr>
        <w:t>M</w:t>
      </w:r>
      <w:r w:rsidRPr="00BE4B00">
        <w:rPr>
          <w:rFonts w:ascii="Arial" w:hAnsi="Arial" w:cs="Arial"/>
          <w:lang w:val="en-GB"/>
        </w:rPr>
        <w:t>aster degree (second cycle of EHEA</w:t>
      </w:r>
      <w:r w:rsidR="007356BF">
        <w:rPr>
          <w:rFonts w:ascii="Arial" w:hAnsi="Arial" w:cs="Arial"/>
          <w:lang w:val="en-GB"/>
        </w:rPr>
        <w:t>-QF</w:t>
      </w:r>
      <w:r w:rsidRPr="00BE4B00">
        <w:rPr>
          <w:rFonts w:ascii="Arial" w:hAnsi="Arial" w:cs="Arial"/>
          <w:lang w:val="en-GB"/>
        </w:rPr>
        <w:t xml:space="preserve"> or level 7 EQF</w:t>
      </w:r>
      <w:r w:rsidR="007356BF">
        <w:rPr>
          <w:rFonts w:ascii="Arial" w:hAnsi="Arial" w:cs="Arial"/>
          <w:lang w:val="en-GB"/>
        </w:rPr>
        <w:t xml:space="preserve"> for LLL</w:t>
      </w:r>
      <w:r w:rsidRPr="00BE4B00">
        <w:rPr>
          <w:rFonts w:ascii="Arial" w:hAnsi="Arial" w:cs="Arial"/>
          <w:lang w:val="en-GB"/>
        </w:rPr>
        <w:t xml:space="preserve">). While not cutting across the autonomy of institutions to make decisions about admitting individual students, the shift to a system-based approach might nonetheless require a change in practices, policy attitudes, and culture in order to ensure that a graduate from an EHEA country has the automatic right to </w:t>
      </w:r>
      <w:r w:rsidR="00D64EA9">
        <w:rPr>
          <w:rFonts w:ascii="Arial" w:hAnsi="Arial" w:cs="Arial"/>
          <w:lang w:val="en-GB"/>
        </w:rPr>
        <w:t xml:space="preserve">have access </w:t>
      </w:r>
      <w:r w:rsidRPr="00BE4B00">
        <w:rPr>
          <w:rFonts w:ascii="Arial" w:hAnsi="Arial" w:cs="Arial"/>
          <w:lang w:val="en-GB"/>
        </w:rPr>
        <w:t xml:space="preserve">(though not necessarily </w:t>
      </w:r>
      <w:r w:rsidR="00E02EDC">
        <w:rPr>
          <w:rFonts w:ascii="Arial" w:hAnsi="Arial" w:cs="Arial"/>
          <w:lang w:val="en-GB"/>
        </w:rPr>
        <w:t xml:space="preserve">be </w:t>
      </w:r>
      <w:r w:rsidRPr="00BE4B00">
        <w:rPr>
          <w:rFonts w:ascii="Arial" w:hAnsi="Arial" w:cs="Arial"/>
          <w:lang w:val="en-GB"/>
        </w:rPr>
        <w:t>admitted) to a programme of further study at the higher level in any other EHEA country.</w:t>
      </w:r>
    </w:p>
    <w:p w:rsidR="00950BDB" w:rsidRPr="00BE4B00" w:rsidRDefault="00950BDB" w:rsidP="00950BDB">
      <w:pPr>
        <w:spacing w:before="100" w:beforeAutospacing="1" w:after="100" w:afterAutospacing="1" w:line="240" w:lineRule="auto"/>
        <w:jc w:val="both"/>
        <w:rPr>
          <w:rFonts w:ascii="Arial" w:hAnsi="Arial" w:cs="Arial"/>
          <w:lang w:val="en-GB"/>
        </w:rPr>
      </w:pPr>
      <w:r w:rsidRPr="00BE4B00">
        <w:rPr>
          <w:rFonts w:ascii="Arial" w:hAnsi="Arial" w:cs="Arial"/>
          <w:lang w:val="en-GB"/>
        </w:rPr>
        <w:t>This survey chooses to use the definitions contained in the Lisbon Recognition Convention</w:t>
      </w:r>
      <w:r w:rsidR="000E4A57">
        <w:rPr>
          <w:rFonts w:ascii="Arial" w:hAnsi="Arial" w:cs="Arial"/>
          <w:lang w:val="en-GB"/>
        </w:rPr>
        <w:t xml:space="preserve"> (LRC)</w:t>
      </w:r>
      <w:r w:rsidRPr="00BE4B00">
        <w:rPr>
          <w:rStyle w:val="FootnoteReference"/>
          <w:rFonts w:ascii="Arial" w:hAnsi="Arial" w:cs="Arial"/>
          <w:lang w:val="en-GB"/>
        </w:rPr>
        <w:footnoteReference w:id="2"/>
      </w:r>
      <w:r w:rsidRPr="00BE4B00">
        <w:rPr>
          <w:rFonts w:ascii="Arial" w:hAnsi="Arial" w:cs="Arial"/>
          <w:lang w:val="en-GB"/>
        </w:rPr>
        <w:t>. Article 1 of the Convention provides that the terms have the following meaning:</w:t>
      </w:r>
    </w:p>
    <w:p w:rsidR="00950BDB" w:rsidRPr="00BE4B00" w:rsidRDefault="00950BDB" w:rsidP="00950BDB">
      <w:pPr>
        <w:pStyle w:val="ListParagraph"/>
        <w:numPr>
          <w:ilvl w:val="0"/>
          <w:numId w:val="2"/>
        </w:numPr>
        <w:spacing w:before="100" w:beforeAutospacing="1" w:after="100" w:afterAutospacing="1" w:line="240" w:lineRule="auto"/>
        <w:jc w:val="both"/>
        <w:rPr>
          <w:rFonts w:ascii="Arial" w:hAnsi="Arial" w:cs="Arial"/>
          <w:lang w:val="en-GB"/>
        </w:rPr>
      </w:pPr>
      <w:r w:rsidRPr="00BE4B00">
        <w:rPr>
          <w:rFonts w:ascii="Arial" w:hAnsi="Arial" w:cs="Arial"/>
          <w:lang w:val="en-GB"/>
        </w:rPr>
        <w:t>Access (to higher education): The right of qualified candidates to apply and to be considered for admission to higher education.</w:t>
      </w:r>
    </w:p>
    <w:p w:rsidR="00950BDB" w:rsidRPr="00BE4B00" w:rsidRDefault="00950BDB" w:rsidP="00950BDB">
      <w:pPr>
        <w:pStyle w:val="ListParagraph"/>
        <w:numPr>
          <w:ilvl w:val="0"/>
          <w:numId w:val="2"/>
        </w:numPr>
        <w:spacing w:before="100" w:beforeAutospacing="1" w:after="100" w:afterAutospacing="1" w:line="240" w:lineRule="auto"/>
        <w:jc w:val="both"/>
        <w:rPr>
          <w:rFonts w:ascii="Arial" w:hAnsi="Arial" w:cs="Arial"/>
          <w:lang w:val="en-GB"/>
        </w:rPr>
      </w:pPr>
      <w:r w:rsidRPr="00BE4B00">
        <w:rPr>
          <w:rFonts w:ascii="Arial" w:hAnsi="Arial" w:cs="Arial"/>
          <w:lang w:val="en-GB"/>
        </w:rPr>
        <w:t>Admission (to higher education institutions and programmes): The act of, or system for, allowing qualified applicants to pursue studies in higher education at a given institu</w:t>
      </w:r>
      <w:r w:rsidR="00CB6B48">
        <w:rPr>
          <w:rFonts w:ascii="Arial" w:hAnsi="Arial" w:cs="Arial"/>
          <w:lang w:val="en-GB"/>
        </w:rPr>
        <w:t>tion and/or a given programme.</w:t>
      </w:r>
    </w:p>
    <w:p w:rsidR="00950BDB" w:rsidRPr="00BE4B00" w:rsidRDefault="00950BDB" w:rsidP="00950BDB">
      <w:pPr>
        <w:pStyle w:val="ListParagraph"/>
        <w:numPr>
          <w:ilvl w:val="0"/>
          <w:numId w:val="2"/>
        </w:numPr>
        <w:spacing w:before="100" w:beforeAutospacing="1" w:after="100" w:afterAutospacing="1" w:line="240" w:lineRule="auto"/>
        <w:jc w:val="both"/>
        <w:rPr>
          <w:rFonts w:ascii="Arial" w:hAnsi="Arial" w:cs="Arial"/>
          <w:lang w:val="en-GB"/>
        </w:rPr>
      </w:pPr>
      <w:r w:rsidRPr="00BE4B00">
        <w:rPr>
          <w:rFonts w:ascii="Arial" w:hAnsi="Arial" w:cs="Arial"/>
          <w:lang w:val="en-GB"/>
        </w:rPr>
        <w:t>Assessment (of individual qualifications): The written appraisal or evaluation of an ind</w:t>
      </w:r>
      <w:r w:rsidR="00F3113D">
        <w:rPr>
          <w:rFonts w:ascii="Arial" w:hAnsi="Arial" w:cs="Arial"/>
          <w:lang w:val="en-GB"/>
        </w:rPr>
        <w:t>ividual's foreign qualification</w:t>
      </w:r>
      <w:r w:rsidRPr="00BE4B00">
        <w:rPr>
          <w:rFonts w:ascii="Arial" w:hAnsi="Arial" w:cs="Arial"/>
          <w:lang w:val="en-GB"/>
        </w:rPr>
        <w:t xml:space="preserve"> by a competent body. </w:t>
      </w:r>
    </w:p>
    <w:p w:rsidR="00711A03" w:rsidRPr="00BE4B00" w:rsidRDefault="007946F6" w:rsidP="00E248F5">
      <w:pPr>
        <w:spacing w:before="100" w:beforeAutospacing="1" w:after="100" w:afterAutospacing="1" w:line="240" w:lineRule="auto"/>
        <w:jc w:val="both"/>
        <w:rPr>
          <w:rFonts w:ascii="Arial" w:hAnsi="Arial" w:cs="Arial"/>
          <w:lang w:val="en-GB"/>
        </w:rPr>
      </w:pPr>
      <w:r>
        <w:rPr>
          <w:rFonts w:ascii="Arial" w:hAnsi="Arial" w:cs="Arial"/>
          <w:lang w:val="en-GB"/>
        </w:rPr>
        <w:t xml:space="preserve">The </w:t>
      </w:r>
      <w:proofErr w:type="spellStart"/>
      <w:r>
        <w:rPr>
          <w:rFonts w:ascii="Arial" w:hAnsi="Arial" w:cs="Arial"/>
          <w:lang w:val="en-GB"/>
        </w:rPr>
        <w:t>Pf</w:t>
      </w:r>
      <w:r w:rsidR="00711A03" w:rsidRPr="00BE4B00">
        <w:rPr>
          <w:rFonts w:ascii="Arial" w:hAnsi="Arial" w:cs="Arial"/>
          <w:lang w:val="en-GB"/>
        </w:rPr>
        <w:t>G</w:t>
      </w:r>
      <w:r>
        <w:rPr>
          <w:rFonts w:ascii="Arial" w:hAnsi="Arial" w:cs="Arial"/>
          <w:lang w:val="en-GB"/>
        </w:rPr>
        <w:t>'s</w:t>
      </w:r>
      <w:proofErr w:type="spellEnd"/>
      <w:r>
        <w:rPr>
          <w:rFonts w:ascii="Arial" w:hAnsi="Arial" w:cs="Arial"/>
          <w:lang w:val="en-GB"/>
        </w:rPr>
        <w:t xml:space="preserve"> s</w:t>
      </w:r>
      <w:r w:rsidR="00711A03" w:rsidRPr="00BE4B00">
        <w:rPr>
          <w:rFonts w:ascii="Arial" w:hAnsi="Arial" w:cs="Arial"/>
          <w:lang w:val="en-GB"/>
        </w:rPr>
        <w:t xml:space="preserve">urvey of higher education institutions </w:t>
      </w:r>
      <w:r w:rsidR="00711A03">
        <w:rPr>
          <w:rFonts w:ascii="Arial" w:hAnsi="Arial" w:cs="Arial"/>
          <w:lang w:val="en-GB"/>
        </w:rPr>
        <w:t xml:space="preserve">(HEIs) </w:t>
      </w:r>
      <w:r w:rsidR="00711A03" w:rsidRPr="00BE4B00">
        <w:rPr>
          <w:rFonts w:ascii="Arial" w:hAnsi="Arial" w:cs="Arial"/>
          <w:lang w:val="en-GB"/>
        </w:rPr>
        <w:t>on applications from Bachelor graduates from another EHEA country to a Master's programme was designed to foster a better understanding of the practices in the institutions regarding the assessment and recognition of foreign qualifications which may give access to Master’s</w:t>
      </w:r>
      <w:r w:rsidR="00602448">
        <w:rPr>
          <w:rFonts w:ascii="Arial" w:hAnsi="Arial" w:cs="Arial"/>
          <w:lang w:val="en-GB"/>
        </w:rPr>
        <w:t xml:space="preserve"> programme</w:t>
      </w:r>
      <w:r>
        <w:rPr>
          <w:rFonts w:ascii="Arial" w:hAnsi="Arial" w:cs="Arial"/>
          <w:lang w:val="en-GB"/>
        </w:rPr>
        <w:t>s</w:t>
      </w:r>
      <w:r w:rsidR="00711A03" w:rsidRPr="00BE4B00">
        <w:rPr>
          <w:rFonts w:ascii="Arial" w:hAnsi="Arial" w:cs="Arial"/>
          <w:lang w:val="en-GB"/>
        </w:rPr>
        <w:t xml:space="preserve">. The analysis of the survey results aims to identify good practices which may enable </w:t>
      </w:r>
      <w:r w:rsidR="00711A03">
        <w:rPr>
          <w:rFonts w:ascii="Arial" w:hAnsi="Arial" w:cs="Arial"/>
          <w:lang w:val="en-GB"/>
        </w:rPr>
        <w:t>HEIs</w:t>
      </w:r>
      <w:r w:rsidR="00711A03" w:rsidRPr="00BE4B00">
        <w:rPr>
          <w:rFonts w:ascii="Arial" w:hAnsi="Arial" w:cs="Arial"/>
          <w:lang w:val="en-GB"/>
        </w:rPr>
        <w:t xml:space="preserve"> to ensure that they are able to attract the best and most appropriate students from across Europe.</w:t>
      </w:r>
    </w:p>
    <w:p w:rsidR="00711A03" w:rsidRPr="00BE4B00" w:rsidRDefault="007946F6" w:rsidP="00E248F5">
      <w:pPr>
        <w:spacing w:before="100" w:beforeAutospacing="1" w:after="100" w:afterAutospacing="1" w:line="240" w:lineRule="auto"/>
        <w:jc w:val="both"/>
        <w:rPr>
          <w:rFonts w:ascii="Arial" w:hAnsi="Arial" w:cs="Arial"/>
          <w:lang w:val="en-GB"/>
        </w:rPr>
      </w:pPr>
      <w:r>
        <w:rPr>
          <w:rFonts w:ascii="Arial" w:hAnsi="Arial" w:cs="Arial"/>
          <w:lang w:val="en-GB"/>
        </w:rPr>
        <w:t>The s</w:t>
      </w:r>
      <w:r w:rsidR="00711A03" w:rsidRPr="00BE4B00">
        <w:rPr>
          <w:rFonts w:ascii="Arial" w:hAnsi="Arial" w:cs="Arial"/>
          <w:lang w:val="en-GB"/>
        </w:rPr>
        <w:t xml:space="preserve">urvey was intended to gather information which would help </w:t>
      </w:r>
      <w:r w:rsidR="00711A03">
        <w:rPr>
          <w:rFonts w:ascii="Arial" w:hAnsi="Arial" w:cs="Arial"/>
          <w:lang w:val="en-GB"/>
        </w:rPr>
        <w:t>HEIs</w:t>
      </w:r>
      <w:r w:rsidR="00711A03" w:rsidRPr="00BE4B00">
        <w:rPr>
          <w:rFonts w:ascii="Arial" w:hAnsi="Arial" w:cs="Arial"/>
          <w:lang w:val="en-GB"/>
        </w:rPr>
        <w:t xml:space="preserve"> in the implementation of their internationalisation strategies and in turn contribute to the Bologna Process goal that 20% of graduates should have had a mobility experience by 2020. Alongside credit mobility, the greatest area of growth in student mobility is in changing countries between Bachelor and Master </w:t>
      </w:r>
      <w:proofErr w:type="gramStart"/>
      <w:r w:rsidR="00711A03" w:rsidRPr="00BE4B00">
        <w:rPr>
          <w:rFonts w:ascii="Arial" w:hAnsi="Arial" w:cs="Arial"/>
          <w:lang w:val="en-GB"/>
        </w:rPr>
        <w:t>levels</w:t>
      </w:r>
      <w:proofErr w:type="gramEnd"/>
      <w:r w:rsidR="00711A03" w:rsidRPr="00BE4B00">
        <w:rPr>
          <w:rFonts w:ascii="Arial" w:hAnsi="Arial" w:cs="Arial"/>
          <w:lang w:val="en-GB"/>
        </w:rPr>
        <w:t xml:space="preserve">. </w:t>
      </w:r>
      <w:r>
        <w:rPr>
          <w:rFonts w:ascii="Arial" w:hAnsi="Arial" w:cs="Arial"/>
          <w:lang w:val="en-GB"/>
        </w:rPr>
        <w:t>HEIs</w:t>
      </w:r>
      <w:r w:rsidR="00711A03" w:rsidRPr="00BE4B00">
        <w:rPr>
          <w:rFonts w:ascii="Arial" w:hAnsi="Arial" w:cs="Arial"/>
          <w:lang w:val="en-GB"/>
        </w:rPr>
        <w:t xml:space="preserve"> are fully autonomous in implementing their admission or selection procedures. </w:t>
      </w:r>
    </w:p>
    <w:p w:rsidR="00711A03" w:rsidRPr="00BE4B00" w:rsidRDefault="00711A03" w:rsidP="00E248F5">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The Survey </w:t>
      </w:r>
      <w:r w:rsidR="007913B0">
        <w:rPr>
          <w:rFonts w:ascii="Arial" w:hAnsi="Arial" w:cs="Arial"/>
          <w:lang w:val="en-GB"/>
        </w:rPr>
        <w:t>was</w:t>
      </w:r>
      <w:r w:rsidRPr="00BE4B00">
        <w:rPr>
          <w:rFonts w:ascii="Arial" w:hAnsi="Arial" w:cs="Arial"/>
          <w:lang w:val="en-GB"/>
        </w:rPr>
        <w:t xml:space="preserve"> carried out among HEI</w:t>
      </w:r>
      <w:r>
        <w:rPr>
          <w:rFonts w:ascii="Arial" w:hAnsi="Arial" w:cs="Arial"/>
          <w:lang w:val="en-GB"/>
        </w:rPr>
        <w:t>s</w:t>
      </w:r>
      <w:r w:rsidRPr="00BE4B00">
        <w:rPr>
          <w:rFonts w:ascii="Arial" w:hAnsi="Arial" w:cs="Arial"/>
          <w:lang w:val="en-GB"/>
        </w:rPr>
        <w:t xml:space="preserve"> in </w:t>
      </w:r>
      <w:r>
        <w:rPr>
          <w:rFonts w:ascii="Arial" w:hAnsi="Arial" w:cs="Arial"/>
          <w:lang w:val="en-GB"/>
        </w:rPr>
        <w:t>nine</w:t>
      </w:r>
      <w:r w:rsidRPr="00BE4B00">
        <w:rPr>
          <w:rFonts w:ascii="Arial" w:hAnsi="Arial" w:cs="Arial"/>
          <w:lang w:val="en-GB"/>
        </w:rPr>
        <w:t xml:space="preserve"> countries participating i</w:t>
      </w:r>
      <w:r w:rsidR="007946F6">
        <w:rPr>
          <w:rFonts w:ascii="Arial" w:hAnsi="Arial" w:cs="Arial"/>
          <w:lang w:val="en-GB"/>
        </w:rPr>
        <w:t>n the PFG, namely Belgium (French Community and Flemish Community</w:t>
      </w:r>
      <w:r w:rsidRPr="00BE4B00">
        <w:rPr>
          <w:rFonts w:ascii="Arial" w:hAnsi="Arial" w:cs="Arial"/>
          <w:lang w:val="en-GB"/>
        </w:rPr>
        <w:t xml:space="preserve">), Denmark, Germany, Estonia, Croatia, </w:t>
      </w:r>
      <w:r w:rsidR="009502E2">
        <w:rPr>
          <w:rFonts w:ascii="Arial" w:hAnsi="Arial" w:cs="Arial"/>
          <w:lang w:val="en-GB"/>
        </w:rPr>
        <w:t xml:space="preserve">the </w:t>
      </w:r>
      <w:r w:rsidRPr="00BE4B00">
        <w:rPr>
          <w:rFonts w:ascii="Arial" w:hAnsi="Arial" w:cs="Arial"/>
          <w:lang w:val="en-GB"/>
        </w:rPr>
        <w:t>Netherlands, Sweden</w:t>
      </w:r>
      <w:r>
        <w:rPr>
          <w:rFonts w:ascii="Arial" w:hAnsi="Arial" w:cs="Arial"/>
          <w:lang w:val="en-GB"/>
        </w:rPr>
        <w:t>,</w:t>
      </w:r>
      <w:r w:rsidRPr="00BE4B00">
        <w:rPr>
          <w:rFonts w:ascii="Arial" w:hAnsi="Arial" w:cs="Arial"/>
          <w:lang w:val="en-GB"/>
        </w:rPr>
        <w:t xml:space="preserve"> Slovenia</w:t>
      </w:r>
      <w:r>
        <w:rPr>
          <w:rFonts w:ascii="Arial" w:hAnsi="Arial" w:cs="Arial"/>
          <w:lang w:val="en-GB"/>
        </w:rPr>
        <w:t xml:space="preserve">, </w:t>
      </w:r>
      <w:r w:rsidR="007946F6">
        <w:rPr>
          <w:rFonts w:ascii="Arial" w:hAnsi="Arial" w:cs="Arial"/>
          <w:lang w:val="en-GB"/>
        </w:rPr>
        <w:t>and Luxembourg</w:t>
      </w:r>
      <w:r w:rsidRPr="00BE4B00">
        <w:rPr>
          <w:rFonts w:ascii="Arial" w:hAnsi="Arial" w:cs="Arial"/>
          <w:lang w:val="en-GB"/>
        </w:rPr>
        <w:t>.</w:t>
      </w:r>
    </w:p>
    <w:p w:rsidR="00711A03" w:rsidRPr="002A43F4" w:rsidRDefault="00711A03" w:rsidP="00E248F5">
      <w:pPr>
        <w:spacing w:before="100" w:beforeAutospacing="1" w:after="100" w:afterAutospacing="1" w:line="240" w:lineRule="auto"/>
        <w:jc w:val="both"/>
        <w:rPr>
          <w:rFonts w:ascii="Arial" w:hAnsi="Arial" w:cs="Arial"/>
          <w:lang w:val="en-GB"/>
        </w:rPr>
      </w:pPr>
      <w:r w:rsidRPr="00BE4B00">
        <w:rPr>
          <w:rFonts w:ascii="Arial" w:hAnsi="Arial" w:cs="Arial"/>
          <w:lang w:val="en-GB"/>
        </w:rPr>
        <w:lastRenderedPageBreak/>
        <w:t>A total number of 87 H</w:t>
      </w:r>
      <w:r w:rsidR="00D0717B">
        <w:rPr>
          <w:rFonts w:ascii="Arial" w:hAnsi="Arial" w:cs="Arial"/>
          <w:lang w:val="en-GB"/>
        </w:rPr>
        <w:t>EIs initially responded to the s</w:t>
      </w:r>
      <w:r w:rsidRPr="00BE4B00">
        <w:rPr>
          <w:rFonts w:ascii="Arial" w:hAnsi="Arial" w:cs="Arial"/>
          <w:lang w:val="en-GB"/>
        </w:rPr>
        <w:t xml:space="preserve">urvey and their responses were taken into account for the statistical analysis of the results (42 from Germany, 17 from Croatia, 5 from Denmark, 4 from Sweden, 4 from </w:t>
      </w:r>
      <w:r w:rsidR="00D0717B">
        <w:rPr>
          <w:rFonts w:ascii="Arial" w:hAnsi="Arial" w:cs="Arial"/>
          <w:lang w:val="en-GB"/>
        </w:rPr>
        <w:t xml:space="preserve">Belgium </w:t>
      </w:r>
      <w:r w:rsidR="003A7DA5">
        <w:rPr>
          <w:rFonts w:ascii="Arial" w:hAnsi="Arial" w:cs="Arial"/>
          <w:lang w:val="en-GB"/>
        </w:rPr>
        <w:t>(</w:t>
      </w:r>
      <w:r w:rsidR="00D0717B">
        <w:rPr>
          <w:rFonts w:ascii="Arial" w:hAnsi="Arial" w:cs="Arial"/>
          <w:lang w:val="en-GB"/>
        </w:rPr>
        <w:t>Flemish Community</w:t>
      </w:r>
      <w:r w:rsidR="00794915">
        <w:rPr>
          <w:rFonts w:ascii="Arial" w:hAnsi="Arial" w:cs="Arial"/>
          <w:lang w:val="en-GB"/>
        </w:rPr>
        <w:t>)</w:t>
      </w:r>
      <w:r w:rsidR="00794915" w:rsidRPr="00BE4B00">
        <w:rPr>
          <w:rFonts w:ascii="Arial" w:hAnsi="Arial" w:cs="Arial"/>
          <w:lang w:val="en-GB"/>
        </w:rPr>
        <w:t>,</w:t>
      </w:r>
      <w:r w:rsidRPr="00BE4B00">
        <w:rPr>
          <w:rFonts w:ascii="Arial" w:hAnsi="Arial" w:cs="Arial"/>
          <w:lang w:val="en-GB"/>
        </w:rPr>
        <w:t xml:space="preserve"> 4 from Estonia, 3 from </w:t>
      </w:r>
      <w:r w:rsidR="009502E2">
        <w:rPr>
          <w:rFonts w:ascii="Arial" w:hAnsi="Arial" w:cs="Arial"/>
          <w:lang w:val="en-GB"/>
        </w:rPr>
        <w:t xml:space="preserve">the </w:t>
      </w:r>
      <w:r w:rsidRPr="00BE4B00">
        <w:rPr>
          <w:rFonts w:ascii="Arial" w:hAnsi="Arial" w:cs="Arial"/>
          <w:lang w:val="en-GB"/>
        </w:rPr>
        <w:t>Netherlands</w:t>
      </w:r>
      <w:r w:rsidR="003A7DA5">
        <w:rPr>
          <w:rFonts w:ascii="Arial" w:hAnsi="Arial" w:cs="Arial"/>
          <w:lang w:val="en-GB"/>
        </w:rPr>
        <w:t xml:space="preserve"> and</w:t>
      </w:r>
      <w:r w:rsidRPr="00BE4B00">
        <w:rPr>
          <w:rFonts w:ascii="Arial" w:hAnsi="Arial" w:cs="Arial"/>
          <w:lang w:val="en-GB"/>
        </w:rPr>
        <w:t xml:space="preserve"> 8 from Slovenia). However, after the survey was closed and the analysis already undertaken, </w:t>
      </w:r>
      <w:r w:rsidR="009502E2">
        <w:rPr>
          <w:rFonts w:ascii="Arial" w:hAnsi="Arial" w:cs="Arial"/>
          <w:lang w:val="en-GB"/>
        </w:rPr>
        <w:t xml:space="preserve">several further </w:t>
      </w:r>
      <w:r w:rsidRPr="00BE4B00">
        <w:rPr>
          <w:rFonts w:ascii="Arial" w:hAnsi="Arial" w:cs="Arial"/>
          <w:lang w:val="en-GB"/>
        </w:rPr>
        <w:t>replies were received from Luxemb</w:t>
      </w:r>
      <w:r>
        <w:rPr>
          <w:rFonts w:ascii="Arial" w:hAnsi="Arial" w:cs="Arial"/>
          <w:lang w:val="en-GB"/>
        </w:rPr>
        <w:t>o</w:t>
      </w:r>
      <w:r w:rsidRPr="00BE4B00">
        <w:rPr>
          <w:rFonts w:ascii="Arial" w:hAnsi="Arial" w:cs="Arial"/>
          <w:lang w:val="en-GB"/>
        </w:rPr>
        <w:t>urg</w:t>
      </w:r>
      <w:r>
        <w:rPr>
          <w:rFonts w:ascii="Arial" w:hAnsi="Arial" w:cs="Arial"/>
          <w:lang w:val="en-GB"/>
        </w:rPr>
        <w:t xml:space="preserve"> and</w:t>
      </w:r>
      <w:r w:rsidRPr="00BE4B00">
        <w:rPr>
          <w:rFonts w:ascii="Arial" w:hAnsi="Arial" w:cs="Arial"/>
          <w:lang w:val="en-GB"/>
        </w:rPr>
        <w:t xml:space="preserve"> Slovenia</w:t>
      </w:r>
      <w:r>
        <w:rPr>
          <w:rFonts w:ascii="Arial" w:hAnsi="Arial" w:cs="Arial"/>
          <w:lang w:val="en-GB"/>
        </w:rPr>
        <w:t xml:space="preserve">, as well as a compilation of replies from </w:t>
      </w:r>
      <w:r w:rsidR="003A7DA5" w:rsidRPr="003A7DA5">
        <w:rPr>
          <w:rFonts w:ascii="Arial" w:hAnsi="Arial" w:cs="Arial"/>
          <w:lang w:val="en-GB"/>
        </w:rPr>
        <w:t>B</w:t>
      </w:r>
      <w:r w:rsidR="00D0717B">
        <w:rPr>
          <w:rFonts w:ascii="Arial" w:hAnsi="Arial" w:cs="Arial"/>
          <w:lang w:val="en-GB"/>
        </w:rPr>
        <w:t xml:space="preserve">elgium </w:t>
      </w:r>
      <w:r w:rsidR="003A7DA5">
        <w:rPr>
          <w:rFonts w:ascii="Arial" w:hAnsi="Arial" w:cs="Arial"/>
          <w:lang w:val="en-GB"/>
        </w:rPr>
        <w:t>(</w:t>
      </w:r>
      <w:r w:rsidR="00D0717B">
        <w:rPr>
          <w:rFonts w:ascii="Arial" w:hAnsi="Arial" w:cs="Arial"/>
          <w:lang w:val="en-GB"/>
        </w:rPr>
        <w:t>French Community</w:t>
      </w:r>
      <w:r w:rsidR="003A7DA5">
        <w:rPr>
          <w:rFonts w:ascii="Arial" w:hAnsi="Arial" w:cs="Arial"/>
          <w:lang w:val="en-GB"/>
        </w:rPr>
        <w:t>)</w:t>
      </w:r>
      <w:r>
        <w:rPr>
          <w:rStyle w:val="FootnoteReference"/>
          <w:rFonts w:ascii="Arial" w:hAnsi="Arial" w:cs="Arial"/>
          <w:lang w:val="en-GB"/>
        </w:rPr>
        <w:footnoteReference w:id="3"/>
      </w:r>
      <w:r w:rsidRPr="00BE4B00">
        <w:rPr>
          <w:rFonts w:ascii="Arial" w:hAnsi="Arial" w:cs="Arial"/>
          <w:lang w:val="en-GB"/>
        </w:rPr>
        <w:t xml:space="preserve">. In order to make use of these replies as well, they were included in the analysis in qualitative terms. </w:t>
      </w:r>
    </w:p>
    <w:p w:rsidR="00F472F8" w:rsidRDefault="00711A03" w:rsidP="00E248F5">
      <w:pPr>
        <w:spacing w:before="100" w:beforeAutospacing="1" w:after="100" w:afterAutospacing="1" w:line="240" w:lineRule="auto"/>
        <w:jc w:val="both"/>
        <w:rPr>
          <w:rFonts w:ascii="Arial" w:hAnsi="Arial" w:cs="Arial"/>
          <w:lang w:val="en-GB"/>
        </w:rPr>
      </w:pPr>
      <w:r w:rsidRPr="00BE4B00">
        <w:rPr>
          <w:rFonts w:ascii="Arial" w:hAnsi="Arial" w:cs="Arial"/>
          <w:lang w:val="en-GB"/>
        </w:rPr>
        <w:t>This Report is structured in 3 parts</w:t>
      </w:r>
      <w:r w:rsidR="00F472F8">
        <w:rPr>
          <w:rFonts w:ascii="Arial" w:hAnsi="Arial" w:cs="Arial"/>
          <w:lang w:val="en-GB"/>
        </w:rPr>
        <w:t>:</w:t>
      </w:r>
    </w:p>
    <w:p w:rsidR="004D7B40" w:rsidRDefault="004D7B40" w:rsidP="004D7B40">
      <w:pPr>
        <w:pStyle w:val="ListParagraph"/>
        <w:numPr>
          <w:ilvl w:val="0"/>
          <w:numId w:val="11"/>
        </w:numPr>
        <w:spacing w:before="100" w:beforeAutospacing="1" w:after="100" w:afterAutospacing="1" w:line="240" w:lineRule="auto"/>
        <w:jc w:val="both"/>
        <w:rPr>
          <w:rFonts w:ascii="Arial" w:hAnsi="Arial" w:cs="Arial"/>
          <w:lang w:val="en-GB"/>
        </w:rPr>
      </w:pPr>
      <w:r w:rsidRPr="004D7B40">
        <w:rPr>
          <w:rFonts w:ascii="Arial" w:hAnsi="Arial" w:cs="Arial"/>
          <w:lang w:val="en-GB"/>
        </w:rPr>
        <w:t xml:space="preserve">Part 1 </w:t>
      </w:r>
      <w:r w:rsidR="00B71AE8">
        <w:rPr>
          <w:rFonts w:ascii="Arial" w:hAnsi="Arial" w:cs="Arial"/>
          <w:lang w:val="en-GB"/>
        </w:rPr>
        <w:t>provides an</w:t>
      </w:r>
      <w:r w:rsidRPr="004D7B40">
        <w:rPr>
          <w:rFonts w:ascii="Arial" w:hAnsi="Arial" w:cs="Arial"/>
          <w:lang w:val="en-GB"/>
        </w:rPr>
        <w:t xml:space="preserve"> analysis on procedures and responsibilities in the institution</w:t>
      </w:r>
      <w:r w:rsidR="00B71AE8">
        <w:rPr>
          <w:rFonts w:ascii="Arial" w:hAnsi="Arial" w:cs="Arial"/>
          <w:lang w:val="en-GB"/>
        </w:rPr>
        <w:t>s</w:t>
      </w:r>
      <w:r w:rsidRPr="004D7B40">
        <w:rPr>
          <w:rFonts w:ascii="Arial" w:hAnsi="Arial" w:cs="Arial"/>
          <w:lang w:val="en-GB"/>
        </w:rPr>
        <w:t>, more particularly on progress to a Master’s degree with a Bachelor from another EHEA country with a view on transparency, equality, management, efficiency and quality of the recognition procedure.</w:t>
      </w:r>
    </w:p>
    <w:p w:rsidR="004D7B40" w:rsidRDefault="00B71AE8" w:rsidP="004D7B40">
      <w:pPr>
        <w:pStyle w:val="ListParagraph"/>
        <w:numPr>
          <w:ilvl w:val="0"/>
          <w:numId w:val="11"/>
        </w:numPr>
        <w:spacing w:before="100" w:beforeAutospacing="1" w:after="100" w:afterAutospacing="1" w:line="240" w:lineRule="auto"/>
        <w:jc w:val="both"/>
        <w:rPr>
          <w:rFonts w:ascii="Arial" w:hAnsi="Arial" w:cs="Arial"/>
          <w:lang w:val="en-GB"/>
        </w:rPr>
      </w:pPr>
      <w:r>
        <w:rPr>
          <w:rFonts w:ascii="Arial" w:hAnsi="Arial" w:cs="Arial"/>
          <w:lang w:val="en-GB"/>
        </w:rPr>
        <w:t>Part 2 focuses</w:t>
      </w:r>
      <w:r w:rsidR="004D7B40" w:rsidRPr="00F472F8">
        <w:rPr>
          <w:rFonts w:ascii="Arial" w:hAnsi="Arial" w:cs="Arial"/>
          <w:lang w:val="en-GB"/>
        </w:rPr>
        <w:t xml:space="preserve"> on criteria and tools used in the recognition procedure.</w:t>
      </w:r>
    </w:p>
    <w:p w:rsidR="00711A03" w:rsidRPr="004D7B40" w:rsidRDefault="004D7B40" w:rsidP="00E248F5">
      <w:pPr>
        <w:pStyle w:val="ListParagraph"/>
        <w:numPr>
          <w:ilvl w:val="0"/>
          <w:numId w:val="11"/>
        </w:numPr>
        <w:spacing w:before="100" w:beforeAutospacing="1" w:after="100" w:afterAutospacing="1" w:line="240" w:lineRule="auto"/>
        <w:jc w:val="both"/>
        <w:rPr>
          <w:rFonts w:ascii="Arial" w:hAnsi="Arial" w:cs="Arial"/>
          <w:lang w:val="en-GB"/>
        </w:rPr>
      </w:pPr>
      <w:r w:rsidRPr="00F472F8">
        <w:rPr>
          <w:rFonts w:ascii="Arial" w:hAnsi="Arial" w:cs="Arial"/>
          <w:lang w:val="en-GB"/>
        </w:rPr>
        <w:t xml:space="preserve">Part 3 </w:t>
      </w:r>
      <w:r w:rsidR="00B71AE8">
        <w:rPr>
          <w:rFonts w:ascii="Arial" w:hAnsi="Arial" w:cs="Arial"/>
          <w:lang w:val="en-GB"/>
        </w:rPr>
        <w:t xml:space="preserve">is </w:t>
      </w:r>
      <w:r w:rsidRPr="00F472F8">
        <w:rPr>
          <w:rFonts w:ascii="Arial" w:hAnsi="Arial" w:cs="Arial"/>
          <w:lang w:val="en-GB"/>
        </w:rPr>
        <w:t>dedicated to appeals.</w:t>
      </w: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4D7B40" w:rsidRDefault="004D7B40" w:rsidP="00E248F5">
      <w:pPr>
        <w:spacing w:before="100" w:beforeAutospacing="1" w:after="100" w:afterAutospacing="1" w:line="240" w:lineRule="auto"/>
        <w:jc w:val="both"/>
        <w:rPr>
          <w:rFonts w:ascii="Arial" w:hAnsi="Arial" w:cs="Arial"/>
          <w:lang w:val="en-GB"/>
        </w:rPr>
      </w:pPr>
    </w:p>
    <w:p w:rsidR="004D7B40" w:rsidRDefault="004D7B40" w:rsidP="00E248F5">
      <w:pPr>
        <w:spacing w:before="100" w:beforeAutospacing="1" w:after="100" w:afterAutospacing="1" w:line="240" w:lineRule="auto"/>
        <w:jc w:val="both"/>
        <w:rPr>
          <w:rFonts w:ascii="Arial" w:hAnsi="Arial" w:cs="Arial"/>
          <w:lang w:val="en-GB"/>
        </w:rPr>
      </w:pPr>
    </w:p>
    <w:p w:rsidR="00913BF7" w:rsidRDefault="00913BF7"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Default="00711A03" w:rsidP="00E248F5">
      <w:pPr>
        <w:spacing w:before="100" w:beforeAutospacing="1" w:after="100" w:afterAutospacing="1" w:line="240" w:lineRule="auto"/>
        <w:jc w:val="both"/>
        <w:rPr>
          <w:rFonts w:ascii="Arial" w:hAnsi="Arial" w:cs="Arial"/>
          <w:lang w:val="en-GB"/>
        </w:rPr>
      </w:pPr>
    </w:p>
    <w:p w:rsidR="00711A03" w:rsidRPr="00BE4B00" w:rsidRDefault="00711A03" w:rsidP="00776F7E">
      <w:pPr>
        <w:pBdr>
          <w:bottom w:val="single" w:sz="4" w:space="1" w:color="auto"/>
        </w:pBdr>
        <w:spacing w:before="100" w:beforeAutospacing="1" w:after="100" w:afterAutospacing="1" w:line="240" w:lineRule="auto"/>
        <w:jc w:val="center"/>
        <w:rPr>
          <w:rFonts w:ascii="Arial" w:hAnsi="Arial" w:cs="Arial"/>
          <w:b/>
          <w:lang w:val="en-GB"/>
        </w:rPr>
      </w:pPr>
      <w:r w:rsidRPr="00BE4B00">
        <w:rPr>
          <w:rFonts w:ascii="Arial" w:hAnsi="Arial" w:cs="Arial"/>
          <w:b/>
          <w:lang w:val="en-GB"/>
        </w:rPr>
        <w:lastRenderedPageBreak/>
        <w:t>Executive Summary</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69% of HEIs surveyed claim to accept all Bachelor's degrees from the EHEA awarded after successfully following an academic or professionally oriented programme</w:t>
      </w:r>
      <w:r w:rsidR="009502E2">
        <w:rPr>
          <w:rFonts w:ascii="Arial" w:hAnsi="Arial" w:cs="Arial"/>
          <w:lang w:val="en-GB"/>
        </w:rPr>
        <w:t>;</w:t>
      </w:r>
      <w:r w:rsidRPr="00BE4B00">
        <w:rPr>
          <w:rFonts w:ascii="Arial" w:hAnsi="Arial" w:cs="Arial"/>
          <w:lang w:val="en-GB"/>
        </w:rPr>
        <w:t xml:space="preserve"> admission can be conditional in 83% of the cases</w:t>
      </w:r>
      <w:r w:rsidR="0013654F">
        <w:rPr>
          <w:rFonts w:ascii="Arial" w:hAnsi="Arial" w:cs="Arial"/>
          <w:lang w:val="en-GB"/>
        </w:rPr>
        <w:t>.</w:t>
      </w:r>
      <w:r w:rsidR="0013654F">
        <w:rPr>
          <w:rStyle w:val="FootnoteReference"/>
          <w:rFonts w:ascii="Arial" w:hAnsi="Arial"/>
          <w:lang w:val="en-GB"/>
        </w:rPr>
        <w:footnoteReference w:id="4"/>
      </w:r>
    </w:p>
    <w:p w:rsidR="00711A03" w:rsidRPr="00BE4B00" w:rsidRDefault="00711A03" w:rsidP="00776F7E">
      <w:pPr>
        <w:spacing w:before="100" w:beforeAutospacing="1" w:after="100" w:afterAutospacing="1" w:line="240" w:lineRule="auto"/>
        <w:jc w:val="both"/>
        <w:rPr>
          <w:rFonts w:ascii="Arial" w:hAnsi="Arial" w:cs="Arial"/>
          <w:color w:val="FF0000"/>
          <w:lang w:val="en-GB"/>
        </w:rPr>
      </w:pPr>
      <w:r w:rsidRPr="00BE4B00">
        <w:rPr>
          <w:rFonts w:ascii="Arial" w:hAnsi="Arial" w:cs="Arial"/>
          <w:lang w:val="en-GB"/>
        </w:rPr>
        <w:t>It was shown that most of the more relevant criteria/tools to assess a foreign higher education qualification are used, but the usage varies. National QF</w:t>
      </w:r>
      <w:r w:rsidR="005440E6">
        <w:rPr>
          <w:rFonts w:ascii="Arial" w:hAnsi="Arial" w:cs="Arial"/>
          <w:lang w:val="en-GB"/>
        </w:rPr>
        <w:t xml:space="preserve"> for LLL</w:t>
      </w:r>
      <w:r w:rsidRPr="00BE4B00">
        <w:rPr>
          <w:rFonts w:ascii="Arial" w:hAnsi="Arial" w:cs="Arial"/>
          <w:lang w:val="en-GB"/>
        </w:rPr>
        <w:t>/EHEA-QF</w:t>
      </w:r>
      <w:r w:rsidR="00E82AFB">
        <w:rPr>
          <w:rFonts w:ascii="Arial" w:hAnsi="Arial" w:cs="Arial"/>
          <w:lang w:val="en-GB"/>
        </w:rPr>
        <w:t>/EQF</w:t>
      </w:r>
      <w:r w:rsidRPr="00BE4B00">
        <w:rPr>
          <w:rFonts w:ascii="Arial" w:hAnsi="Arial" w:cs="Arial"/>
          <w:lang w:val="en-GB"/>
        </w:rPr>
        <w:t xml:space="preserve"> are used (always or often) in only 55% of the cases, while the content and structure of the foreign programme (84% always or often), the length of studies (83% always or often), the number of credits (93% always or often), study results (72% always or often) as well as the recognition/accreditation of the institution and qualification by competent authorities (86% always or often) form the basis of assessing a foreign degree more frequently. LOs are consulted often or always in 68% of the cases and a grading/conversion table in 73% of them. Neither the quality/reputation/ranking of foreign HEIs nor the professional/personal/relevant experience or the recognition of prior learning play</w:t>
      </w:r>
      <w:r w:rsidR="0069209D">
        <w:rPr>
          <w:rFonts w:ascii="Arial" w:hAnsi="Arial" w:cs="Arial"/>
          <w:lang w:val="en-GB"/>
        </w:rPr>
        <w:t>s</w:t>
      </w:r>
      <w:r w:rsidRPr="00BE4B00">
        <w:rPr>
          <w:rFonts w:ascii="Arial" w:hAnsi="Arial" w:cs="Arial"/>
          <w:lang w:val="en-GB"/>
        </w:rPr>
        <w:t xml:space="preserve"> a significant role in the recognition process. The result of the above is that there exists an overly strong fixation on formal and quantifiable criteria (length of studies</w:t>
      </w:r>
      <w:r w:rsidR="00EF1C36">
        <w:rPr>
          <w:rFonts w:ascii="Arial" w:hAnsi="Arial" w:cs="Arial"/>
          <w:lang w:val="en-GB"/>
        </w:rPr>
        <w:t>/</w:t>
      </w:r>
      <w:r w:rsidRPr="00BE4B00">
        <w:rPr>
          <w:rFonts w:ascii="Arial" w:hAnsi="Arial" w:cs="Arial"/>
          <w:lang w:val="en-GB"/>
        </w:rPr>
        <w:t xml:space="preserve">number of credits) in the recognition process, while more qualitative indicators such as QF, which certify in a more general way whether an applicant has the right knowledge, skills and competences to pursue </w:t>
      </w:r>
      <w:r w:rsidR="000E4A57">
        <w:rPr>
          <w:rFonts w:ascii="Arial" w:hAnsi="Arial" w:cs="Arial"/>
          <w:lang w:val="en-GB"/>
        </w:rPr>
        <w:t xml:space="preserve">further </w:t>
      </w:r>
      <w:r w:rsidRPr="00BE4B00">
        <w:rPr>
          <w:rFonts w:ascii="Arial" w:hAnsi="Arial" w:cs="Arial"/>
          <w:lang w:val="en-GB"/>
        </w:rPr>
        <w:t xml:space="preserve">studies, play a less important role. </w:t>
      </w:r>
      <w:r>
        <w:rPr>
          <w:rFonts w:ascii="Arial" w:hAnsi="Arial" w:cs="Arial"/>
          <w:lang w:val="en-GB"/>
        </w:rPr>
        <w:t>While a previous survey</w:t>
      </w:r>
      <w:r>
        <w:rPr>
          <w:rStyle w:val="FootnoteReference"/>
          <w:rFonts w:ascii="Arial" w:hAnsi="Arial" w:cs="Arial"/>
          <w:lang w:val="en-GB"/>
        </w:rPr>
        <w:footnoteReference w:id="5"/>
      </w:r>
      <w:r>
        <w:rPr>
          <w:rFonts w:ascii="Arial" w:hAnsi="Arial" w:cs="Arial"/>
          <w:lang w:val="en-GB"/>
        </w:rPr>
        <w:t xml:space="preserve"> showed that the relevant tools exist on system-level – QF and</w:t>
      </w:r>
      <w:r w:rsidR="000E4A57">
        <w:rPr>
          <w:rFonts w:ascii="Arial" w:hAnsi="Arial" w:cs="Arial"/>
          <w:lang w:val="en-GB"/>
        </w:rPr>
        <w:t xml:space="preserve"> the </w:t>
      </w:r>
      <w:r>
        <w:rPr>
          <w:rFonts w:ascii="Arial" w:hAnsi="Arial" w:cs="Arial"/>
          <w:lang w:val="en-GB"/>
        </w:rPr>
        <w:t>D</w:t>
      </w:r>
      <w:r w:rsidR="000E4A57">
        <w:rPr>
          <w:rFonts w:ascii="Arial" w:hAnsi="Arial" w:cs="Arial"/>
          <w:lang w:val="en-GB"/>
        </w:rPr>
        <w:t xml:space="preserve">iploma </w:t>
      </w:r>
      <w:r>
        <w:rPr>
          <w:rFonts w:ascii="Arial" w:hAnsi="Arial" w:cs="Arial"/>
          <w:lang w:val="en-GB"/>
        </w:rPr>
        <w:t>S</w:t>
      </w:r>
      <w:r w:rsidR="000E4A57">
        <w:rPr>
          <w:rFonts w:ascii="Arial" w:hAnsi="Arial" w:cs="Arial"/>
          <w:lang w:val="en-GB"/>
        </w:rPr>
        <w:t>upplement</w:t>
      </w:r>
      <w:r>
        <w:rPr>
          <w:rFonts w:ascii="Arial" w:hAnsi="Arial" w:cs="Arial"/>
          <w:lang w:val="en-GB"/>
        </w:rPr>
        <w:t xml:space="preserve"> </w:t>
      </w:r>
      <w:r w:rsidR="000E4A57">
        <w:rPr>
          <w:rFonts w:ascii="Arial" w:hAnsi="Arial" w:cs="Arial"/>
          <w:lang w:val="en-GB"/>
        </w:rPr>
        <w:t xml:space="preserve">(DS) </w:t>
      </w:r>
      <w:r>
        <w:rPr>
          <w:rFonts w:ascii="Arial" w:hAnsi="Arial" w:cs="Arial"/>
          <w:lang w:val="en-GB"/>
        </w:rPr>
        <w:t xml:space="preserve">are in place in all </w:t>
      </w:r>
      <w:proofErr w:type="spellStart"/>
      <w:r>
        <w:rPr>
          <w:rFonts w:ascii="Arial" w:hAnsi="Arial" w:cs="Arial"/>
          <w:lang w:val="en-GB"/>
        </w:rPr>
        <w:t>PfG</w:t>
      </w:r>
      <w:proofErr w:type="spellEnd"/>
      <w:r w:rsidR="000E4A57">
        <w:rPr>
          <w:rFonts w:ascii="Arial" w:hAnsi="Arial" w:cs="Arial"/>
          <w:lang w:val="en-GB"/>
        </w:rPr>
        <w:t xml:space="preserve"> </w:t>
      </w:r>
      <w:r>
        <w:rPr>
          <w:rFonts w:ascii="Arial" w:hAnsi="Arial" w:cs="Arial"/>
          <w:lang w:val="en-GB"/>
        </w:rPr>
        <w:t>countries –, these tools are not always (well) used in practice.</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The D</w:t>
      </w:r>
      <w:r w:rsidR="000E4A57">
        <w:rPr>
          <w:rFonts w:ascii="Arial" w:hAnsi="Arial" w:cs="Arial"/>
          <w:lang w:val="en-GB"/>
        </w:rPr>
        <w:t>S</w:t>
      </w:r>
      <w:r w:rsidRPr="00BE4B00">
        <w:rPr>
          <w:rFonts w:ascii="Arial" w:hAnsi="Arial" w:cs="Arial"/>
          <w:lang w:val="en-GB"/>
        </w:rPr>
        <w:t xml:space="preserve"> is sufficient on its own to permit the assessment of foreign qualifications in only one quarter of cases (with the highest acceptance rate – over 50% </w:t>
      </w:r>
      <w:r w:rsidR="00E82AFB" w:rsidRPr="00BE4B00">
        <w:rPr>
          <w:rFonts w:ascii="Arial" w:hAnsi="Arial" w:cs="Arial"/>
          <w:lang w:val="en-GB"/>
        </w:rPr>
        <w:t>–</w:t>
      </w:r>
      <w:r w:rsidRPr="00BE4B00">
        <w:rPr>
          <w:rFonts w:ascii="Arial" w:hAnsi="Arial" w:cs="Arial"/>
          <w:lang w:val="en-GB"/>
        </w:rPr>
        <w:t xml:space="preserve">  in Croatia), though considered useful in the large majority of cases. HEIs </w:t>
      </w:r>
      <w:r w:rsidR="0069209D">
        <w:rPr>
          <w:rFonts w:ascii="Arial" w:hAnsi="Arial" w:cs="Arial"/>
          <w:lang w:val="en-GB"/>
        </w:rPr>
        <w:t xml:space="preserve">were mostly of the view </w:t>
      </w:r>
      <w:r w:rsidRPr="00BE4B00">
        <w:rPr>
          <w:rFonts w:ascii="Arial" w:hAnsi="Arial" w:cs="Arial"/>
          <w:lang w:val="en-GB"/>
        </w:rPr>
        <w:t xml:space="preserve">that the DS would not provide sufficient 'evidence' for the actual completion of a degree, that it would not contain enough information and that the information it contained varied </w:t>
      </w:r>
      <w:r w:rsidR="00D66936">
        <w:rPr>
          <w:rFonts w:ascii="Arial" w:hAnsi="Arial" w:cs="Arial"/>
          <w:lang w:val="en-GB"/>
        </w:rPr>
        <w:t>across</w:t>
      </w:r>
      <w:r w:rsidRPr="00BE4B00">
        <w:rPr>
          <w:rFonts w:ascii="Arial" w:hAnsi="Arial" w:cs="Arial"/>
          <w:lang w:val="en-GB"/>
        </w:rPr>
        <w:t xml:space="preserve"> institutions and countries.</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The understanding and the use of the concept of 'substantial difference' in terms of the </w:t>
      </w:r>
      <w:r w:rsidR="000E4A57">
        <w:rPr>
          <w:rFonts w:ascii="Arial" w:hAnsi="Arial" w:cs="Arial"/>
          <w:lang w:val="en-GB"/>
        </w:rPr>
        <w:t>LRC</w:t>
      </w:r>
      <w:r w:rsidRPr="00BE4B00">
        <w:rPr>
          <w:rFonts w:ascii="Arial" w:hAnsi="Arial" w:cs="Arial"/>
          <w:lang w:val="en-GB"/>
        </w:rPr>
        <w:t xml:space="preserve"> varies somewhat between HEIs and countries and refers mostly to the length of studies, to the number of ECTS, to the content of studies, to the differences between a professional</w:t>
      </w:r>
      <w:r w:rsidR="009502E2">
        <w:rPr>
          <w:rFonts w:ascii="Arial" w:hAnsi="Arial" w:cs="Arial"/>
          <w:lang w:val="en-GB"/>
        </w:rPr>
        <w:t>ly</w:t>
      </w:r>
      <w:r w:rsidR="000D3DCD">
        <w:rPr>
          <w:rFonts w:ascii="Arial" w:hAnsi="Arial" w:cs="Arial"/>
          <w:lang w:val="en-GB"/>
        </w:rPr>
        <w:t xml:space="preserve"> oriented</w:t>
      </w:r>
      <w:r w:rsidRPr="00BE4B00">
        <w:rPr>
          <w:rFonts w:ascii="Arial" w:hAnsi="Arial" w:cs="Arial"/>
          <w:lang w:val="en-GB"/>
        </w:rPr>
        <w:t xml:space="preserve"> and a</w:t>
      </w:r>
      <w:r w:rsidR="009502E2">
        <w:rPr>
          <w:rFonts w:ascii="Arial" w:hAnsi="Arial" w:cs="Arial"/>
          <w:lang w:val="en-GB"/>
        </w:rPr>
        <w:t>n academically</w:t>
      </w:r>
      <w:r w:rsidRPr="00BE4B00">
        <w:rPr>
          <w:rFonts w:ascii="Arial" w:hAnsi="Arial" w:cs="Arial"/>
          <w:lang w:val="en-GB"/>
        </w:rPr>
        <w:t xml:space="preserve"> </w:t>
      </w:r>
      <w:r w:rsidR="000D3DCD">
        <w:rPr>
          <w:rFonts w:ascii="Arial" w:hAnsi="Arial" w:cs="Arial"/>
          <w:lang w:val="en-GB"/>
        </w:rPr>
        <w:t xml:space="preserve">oriented </w:t>
      </w:r>
      <w:r w:rsidRPr="00BE4B00">
        <w:rPr>
          <w:rFonts w:ascii="Arial" w:hAnsi="Arial" w:cs="Arial"/>
          <w:lang w:val="en-GB"/>
        </w:rPr>
        <w:t>degree as well as to different grading systems.</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The timeframe needed in order to assess applications is of concern as it varies broadly, from only </w:t>
      </w:r>
      <w:r w:rsidR="00FF1342">
        <w:rPr>
          <w:rFonts w:ascii="Arial" w:hAnsi="Arial" w:cs="Arial"/>
          <w:lang w:val="en-GB"/>
        </w:rPr>
        <w:t xml:space="preserve">a few </w:t>
      </w:r>
      <w:r w:rsidRPr="00BE4B00">
        <w:rPr>
          <w:rFonts w:ascii="Arial" w:hAnsi="Arial" w:cs="Arial"/>
          <w:lang w:val="en-GB"/>
        </w:rPr>
        <w:t>days up to 6 months.</w:t>
      </w:r>
      <w:r w:rsidRPr="00BE4B00">
        <w:rPr>
          <w:rStyle w:val="FootnoteReference"/>
          <w:rFonts w:ascii="Arial" w:hAnsi="Arial" w:cs="Arial"/>
          <w:lang w:val="en-GB"/>
        </w:rPr>
        <w:footnoteReference w:id="6"/>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In general, through the comparison of the numbers of domestic applications selected vs. those of EHEA</w:t>
      </w:r>
      <w:r w:rsidR="000E4A57">
        <w:rPr>
          <w:rFonts w:ascii="Arial" w:hAnsi="Arial" w:cs="Arial"/>
          <w:lang w:val="en-GB"/>
        </w:rPr>
        <w:t xml:space="preserve"> </w:t>
      </w:r>
      <w:r w:rsidRPr="00BE4B00">
        <w:rPr>
          <w:rFonts w:ascii="Arial" w:hAnsi="Arial" w:cs="Arial"/>
          <w:lang w:val="en-GB"/>
        </w:rPr>
        <w:t>applications selected, it is possible to see that domestic applications are at an advantage and are accepted more often: Around 52% of HEIs have a higher acceptance rate for domestic applications, while 19% of HEIs have a higher acceptance rate for EHEA</w:t>
      </w:r>
      <w:r w:rsidR="0070461A">
        <w:rPr>
          <w:rFonts w:ascii="Arial" w:hAnsi="Arial" w:cs="Arial"/>
          <w:lang w:val="en-GB"/>
        </w:rPr>
        <w:t xml:space="preserve"> </w:t>
      </w:r>
      <w:r w:rsidRPr="00BE4B00">
        <w:rPr>
          <w:rFonts w:ascii="Arial" w:hAnsi="Arial" w:cs="Arial"/>
          <w:lang w:val="en-GB"/>
        </w:rPr>
        <w:t>applications</w:t>
      </w:r>
      <w:r w:rsidRPr="00BE4B00">
        <w:rPr>
          <w:rStyle w:val="FootnoteReference"/>
          <w:rFonts w:ascii="Arial" w:hAnsi="Arial" w:cs="Arial"/>
          <w:lang w:val="en-GB"/>
        </w:rPr>
        <w:footnoteReference w:id="7"/>
      </w:r>
      <w:r w:rsidRPr="00BE4B00">
        <w:rPr>
          <w:rFonts w:ascii="Arial" w:hAnsi="Arial" w:cs="Arial"/>
          <w:lang w:val="en-GB"/>
        </w:rPr>
        <w:t>. In 29% of cases, the same acceptance rate applies.</w:t>
      </w:r>
      <w:r w:rsidRPr="00BE4B00">
        <w:rPr>
          <w:rStyle w:val="FootnoteReference"/>
          <w:rFonts w:ascii="Arial" w:hAnsi="Arial" w:cs="Arial"/>
          <w:lang w:val="en-GB"/>
        </w:rPr>
        <w:footnoteReference w:id="8"/>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lastRenderedPageBreak/>
        <w:t xml:space="preserve">While initial results pointed to the size of an institution (in this context determined by the numbers of applications </w:t>
      </w:r>
      <w:r w:rsidR="0070461A">
        <w:rPr>
          <w:rFonts w:ascii="Arial" w:hAnsi="Arial" w:cs="Arial"/>
          <w:lang w:val="en-GB"/>
        </w:rPr>
        <w:t>they receive</w:t>
      </w:r>
      <w:r w:rsidRPr="00BE4B00">
        <w:rPr>
          <w:rFonts w:ascii="Arial" w:hAnsi="Arial" w:cs="Arial"/>
          <w:lang w:val="en-GB"/>
        </w:rPr>
        <w:t xml:space="preserve">) playing a role as well, the final analysis rather points in the direction that size is less important than previously assumed. First results appeared to show that larger institutions tended to use more of the available criteria to assess applications (also </w:t>
      </w:r>
      <w:r w:rsidR="0070461A">
        <w:rPr>
          <w:rFonts w:ascii="Arial" w:hAnsi="Arial" w:cs="Arial"/>
          <w:lang w:val="en-GB"/>
        </w:rPr>
        <w:t xml:space="preserve">using </w:t>
      </w:r>
      <w:r w:rsidRPr="00BE4B00">
        <w:rPr>
          <w:rFonts w:ascii="Arial" w:hAnsi="Arial" w:cs="Arial"/>
          <w:lang w:val="en-GB"/>
        </w:rPr>
        <w:t>QFs, LOs, etc.), had QA in place more often, needed more time to assess an application (2-6 months), had an identified strategy publicly available, applied the same criteria throughout, and did not accept all applications by applicants with a B</w:t>
      </w:r>
      <w:r w:rsidR="00FF1342">
        <w:rPr>
          <w:rFonts w:ascii="Arial" w:hAnsi="Arial" w:cs="Arial"/>
          <w:lang w:val="en-GB"/>
        </w:rPr>
        <w:t xml:space="preserve">achelor </w:t>
      </w:r>
      <w:r w:rsidRPr="00BE4B00">
        <w:rPr>
          <w:rFonts w:ascii="Arial" w:hAnsi="Arial" w:cs="Arial"/>
          <w:lang w:val="en-GB"/>
        </w:rPr>
        <w:t>degree from another EHEA</w:t>
      </w:r>
      <w:r w:rsidR="000E4A57">
        <w:rPr>
          <w:rFonts w:ascii="Arial" w:hAnsi="Arial" w:cs="Arial"/>
          <w:lang w:val="en-GB"/>
        </w:rPr>
        <w:t xml:space="preserve"> </w:t>
      </w:r>
      <w:r w:rsidRPr="00BE4B00">
        <w:rPr>
          <w:rFonts w:ascii="Arial" w:hAnsi="Arial" w:cs="Arial"/>
          <w:lang w:val="en-GB"/>
        </w:rPr>
        <w:t>country, but the final results did not confirm these. It seems, therefore, that the size of institutions is generally not an important criterion for assessing applications. In addition, also other correlations tried (e.g. differences in recognition practices between EU-15/EU-13) did not prove to be significant.</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In conclusion, the most </w:t>
      </w:r>
      <w:r w:rsidR="0070461A">
        <w:rPr>
          <w:rFonts w:ascii="Arial" w:hAnsi="Arial" w:cs="Arial"/>
          <w:lang w:val="en-GB"/>
        </w:rPr>
        <w:t>significant</w:t>
      </w:r>
      <w:r w:rsidR="0070461A" w:rsidRPr="00BE4B00">
        <w:rPr>
          <w:rFonts w:ascii="Arial" w:hAnsi="Arial" w:cs="Arial"/>
          <w:lang w:val="en-GB"/>
        </w:rPr>
        <w:t xml:space="preserve"> </w:t>
      </w:r>
      <w:r w:rsidRPr="00BE4B00">
        <w:rPr>
          <w:rFonts w:ascii="Arial" w:hAnsi="Arial" w:cs="Arial"/>
          <w:lang w:val="en-GB"/>
        </w:rPr>
        <w:t>results of the survey are:</w:t>
      </w:r>
    </w:p>
    <w:p w:rsidR="00711A03" w:rsidRPr="00BE4B00" w:rsidRDefault="00711A03" w:rsidP="00776F7E">
      <w:pPr>
        <w:numPr>
          <w:ilvl w:val="0"/>
          <w:numId w:val="7"/>
        </w:numPr>
        <w:spacing w:before="100" w:beforeAutospacing="1" w:after="100" w:afterAutospacing="1" w:line="240" w:lineRule="auto"/>
        <w:jc w:val="both"/>
        <w:rPr>
          <w:rFonts w:ascii="Arial" w:hAnsi="Arial" w:cs="Arial"/>
          <w:lang w:val="en-GB"/>
        </w:rPr>
      </w:pPr>
      <w:r w:rsidRPr="00BE4B00">
        <w:rPr>
          <w:rFonts w:ascii="Arial" w:hAnsi="Arial" w:cs="Arial"/>
          <w:lang w:val="en-GB"/>
        </w:rPr>
        <w:t>H</w:t>
      </w:r>
      <w:r w:rsidR="00FF1342">
        <w:rPr>
          <w:rFonts w:ascii="Arial" w:hAnsi="Arial" w:cs="Arial"/>
          <w:lang w:val="en-GB"/>
        </w:rPr>
        <w:t>EIs</w:t>
      </w:r>
      <w:r w:rsidRPr="00BE4B00">
        <w:rPr>
          <w:rFonts w:ascii="Arial" w:hAnsi="Arial" w:cs="Arial"/>
          <w:lang w:val="en-GB"/>
        </w:rPr>
        <w:t xml:space="preserve"> in general try to be open towards applicants with EHEA</w:t>
      </w:r>
      <w:r w:rsidR="0070461A">
        <w:rPr>
          <w:rFonts w:ascii="Arial" w:hAnsi="Arial" w:cs="Arial"/>
          <w:lang w:val="en-GB"/>
        </w:rPr>
        <w:t xml:space="preserve"> </w:t>
      </w:r>
      <w:r w:rsidRPr="00BE4B00">
        <w:rPr>
          <w:rFonts w:ascii="Arial" w:hAnsi="Arial" w:cs="Arial"/>
          <w:lang w:val="en-GB"/>
        </w:rPr>
        <w:t>degrees, but do not necessarily apply the right criteria in the recognition procedure: formal and quantif</w:t>
      </w:r>
      <w:r w:rsidR="00F40A89">
        <w:rPr>
          <w:rFonts w:ascii="Arial" w:hAnsi="Arial" w:cs="Arial"/>
          <w:lang w:val="en-GB"/>
        </w:rPr>
        <w:t>iable criteria (number of credits/</w:t>
      </w:r>
      <w:r w:rsidRPr="00BE4B00">
        <w:rPr>
          <w:rFonts w:ascii="Arial" w:hAnsi="Arial" w:cs="Arial"/>
          <w:lang w:val="en-GB"/>
        </w:rPr>
        <w:t>length of studies) play the most important role, while more qualitative criteria – such as Qualification Frameworks or the achievement of Learning Outcomes – are used to a lesser extent when assessing degrees. As these criteria are, however, those which are most adapted to assessing if an applicant has the right knowledge, skills, and competences to pursue his/her studies in a given field, their use should be increased;</w:t>
      </w:r>
    </w:p>
    <w:p w:rsidR="00711A03" w:rsidRPr="00BE4B00" w:rsidRDefault="00711A03" w:rsidP="00776F7E">
      <w:pPr>
        <w:numPr>
          <w:ilvl w:val="0"/>
          <w:numId w:val="7"/>
        </w:num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Quality Assurance </w:t>
      </w:r>
      <w:r w:rsidR="00F40A89">
        <w:rPr>
          <w:rFonts w:ascii="Arial" w:hAnsi="Arial" w:cs="Arial"/>
          <w:lang w:val="en-GB"/>
        </w:rPr>
        <w:t xml:space="preserve">of recognition processes </w:t>
      </w:r>
      <w:r w:rsidRPr="00BE4B00">
        <w:rPr>
          <w:rFonts w:ascii="Arial" w:hAnsi="Arial" w:cs="Arial"/>
          <w:lang w:val="en-GB"/>
        </w:rPr>
        <w:t>is already in place in nearly three quarters of HEIs and its importance is rising;</w:t>
      </w:r>
    </w:p>
    <w:p w:rsidR="00711A03" w:rsidRPr="00BE4B00" w:rsidRDefault="00711A03" w:rsidP="00776F7E">
      <w:pPr>
        <w:numPr>
          <w:ilvl w:val="0"/>
          <w:numId w:val="7"/>
        </w:numPr>
        <w:spacing w:before="100" w:beforeAutospacing="1" w:after="100" w:afterAutospacing="1" w:line="240" w:lineRule="auto"/>
        <w:jc w:val="both"/>
        <w:rPr>
          <w:rFonts w:ascii="Arial" w:hAnsi="Arial" w:cs="Arial"/>
          <w:lang w:val="en-GB"/>
        </w:rPr>
      </w:pPr>
      <w:r w:rsidRPr="00BE4B00">
        <w:rPr>
          <w:rFonts w:ascii="Arial" w:hAnsi="Arial" w:cs="Arial"/>
          <w:lang w:val="en-GB"/>
        </w:rPr>
        <w:t>Appeals against negative recognition decisions are generally possible;</w:t>
      </w:r>
    </w:p>
    <w:p w:rsidR="00711A03" w:rsidRPr="00BE4B00" w:rsidRDefault="00711A03" w:rsidP="00776F7E">
      <w:pPr>
        <w:numPr>
          <w:ilvl w:val="0"/>
          <w:numId w:val="7"/>
        </w:numPr>
        <w:spacing w:before="100" w:beforeAutospacing="1" w:after="100" w:afterAutospacing="1" w:line="240" w:lineRule="auto"/>
        <w:jc w:val="both"/>
        <w:rPr>
          <w:rFonts w:ascii="Arial" w:hAnsi="Arial" w:cs="Arial"/>
          <w:lang w:val="en-GB"/>
        </w:rPr>
      </w:pPr>
      <w:r w:rsidRPr="00BE4B00">
        <w:rPr>
          <w:rFonts w:ascii="Arial" w:hAnsi="Arial" w:cs="Arial"/>
          <w:lang w:val="en-GB"/>
        </w:rPr>
        <w:t>The acceptance rate of domestic applications is generally higher than the acceptance rate of EHEA</w:t>
      </w:r>
      <w:r w:rsidR="0070461A">
        <w:rPr>
          <w:rFonts w:ascii="Arial" w:hAnsi="Arial" w:cs="Arial"/>
          <w:lang w:val="en-GB"/>
        </w:rPr>
        <w:t xml:space="preserve"> </w:t>
      </w:r>
      <w:r w:rsidRPr="00BE4B00">
        <w:rPr>
          <w:rFonts w:ascii="Arial" w:hAnsi="Arial" w:cs="Arial"/>
          <w:lang w:val="en-GB"/>
        </w:rPr>
        <w:t>applications. The long-term goal should be an equal acceptance rate for both domestic and EHEA</w:t>
      </w:r>
      <w:r w:rsidR="0070461A">
        <w:rPr>
          <w:rFonts w:ascii="Arial" w:hAnsi="Arial" w:cs="Arial"/>
          <w:lang w:val="en-GB"/>
        </w:rPr>
        <w:t xml:space="preserve"> </w:t>
      </w:r>
      <w:r w:rsidRPr="00BE4B00">
        <w:rPr>
          <w:rFonts w:ascii="Arial" w:hAnsi="Arial" w:cs="Arial"/>
          <w:lang w:val="en-GB"/>
        </w:rPr>
        <w:t>applications.</w:t>
      </w:r>
      <w:r w:rsidRPr="00BE4B00">
        <w:rPr>
          <w:rFonts w:ascii="Arial" w:hAnsi="Arial" w:cs="Arial"/>
          <w:lang w:val="en-GB" w:eastAsia="en-GB"/>
        </w:rPr>
        <w:t xml:space="preserve"> </w:t>
      </w:r>
    </w:p>
    <w:p w:rsidR="00711A03" w:rsidRPr="00BE4B00" w:rsidRDefault="00711A03" w:rsidP="00776F7E">
      <w:pPr>
        <w:spacing w:before="100" w:beforeAutospacing="1" w:after="100" w:afterAutospacing="1" w:line="240" w:lineRule="auto"/>
        <w:ind w:firstLine="360"/>
        <w:jc w:val="both"/>
        <w:rPr>
          <w:rFonts w:ascii="Arial" w:hAnsi="Arial" w:cs="Arial"/>
          <w:lang w:val="en-GB"/>
        </w:rPr>
      </w:pPr>
    </w:p>
    <w:p w:rsidR="00711A03" w:rsidRPr="00BE4B00" w:rsidRDefault="00711A03" w:rsidP="00776F7E">
      <w:pPr>
        <w:spacing w:before="100" w:beforeAutospacing="1" w:after="100" w:afterAutospacing="1" w:line="240" w:lineRule="auto"/>
        <w:ind w:firstLine="360"/>
        <w:jc w:val="both"/>
        <w:rPr>
          <w:rFonts w:ascii="Arial" w:hAnsi="Arial" w:cs="Arial"/>
          <w:lang w:val="en-GB"/>
        </w:rPr>
      </w:pPr>
    </w:p>
    <w:p w:rsidR="00711A03" w:rsidRPr="00BE4B00" w:rsidRDefault="00711A03" w:rsidP="00776F7E">
      <w:pPr>
        <w:spacing w:before="100" w:beforeAutospacing="1" w:after="100" w:afterAutospacing="1" w:line="240" w:lineRule="auto"/>
        <w:ind w:firstLine="360"/>
        <w:jc w:val="both"/>
        <w:rPr>
          <w:rFonts w:ascii="Arial" w:hAnsi="Arial" w:cs="Arial"/>
          <w:lang w:val="en-GB"/>
        </w:rPr>
      </w:pPr>
    </w:p>
    <w:p w:rsidR="00711A03" w:rsidRPr="00BE4B00" w:rsidRDefault="00711A03" w:rsidP="00776F7E">
      <w:pPr>
        <w:spacing w:before="100" w:beforeAutospacing="1" w:after="100" w:afterAutospacing="1" w:line="240" w:lineRule="auto"/>
        <w:ind w:firstLine="360"/>
        <w:jc w:val="both"/>
        <w:rPr>
          <w:rFonts w:ascii="Arial" w:hAnsi="Arial" w:cs="Arial"/>
          <w:lang w:val="en-GB"/>
        </w:rPr>
      </w:pPr>
    </w:p>
    <w:p w:rsidR="00711A03" w:rsidRPr="00BE4B00" w:rsidRDefault="00711A03" w:rsidP="00776F7E">
      <w:pPr>
        <w:spacing w:before="100" w:beforeAutospacing="1" w:after="100" w:afterAutospacing="1" w:line="240" w:lineRule="auto"/>
        <w:ind w:firstLine="360"/>
        <w:jc w:val="both"/>
        <w:rPr>
          <w:rFonts w:ascii="Arial" w:hAnsi="Arial" w:cs="Arial"/>
          <w:lang w:val="en-GB"/>
        </w:rPr>
      </w:pPr>
    </w:p>
    <w:p w:rsidR="00711A03" w:rsidRDefault="00711A03" w:rsidP="00776F7E">
      <w:pPr>
        <w:spacing w:before="100" w:beforeAutospacing="1" w:after="100" w:afterAutospacing="1" w:line="240" w:lineRule="auto"/>
        <w:ind w:firstLine="360"/>
        <w:jc w:val="both"/>
        <w:rPr>
          <w:rFonts w:ascii="Arial" w:hAnsi="Arial" w:cs="Arial"/>
          <w:lang w:val="en-GB"/>
        </w:rPr>
      </w:pPr>
    </w:p>
    <w:p w:rsidR="005F3A27" w:rsidRPr="00BE4B00" w:rsidRDefault="005F3A27" w:rsidP="00776F7E">
      <w:pPr>
        <w:spacing w:before="100" w:beforeAutospacing="1" w:after="100" w:afterAutospacing="1" w:line="240" w:lineRule="auto"/>
        <w:ind w:firstLine="360"/>
        <w:jc w:val="both"/>
        <w:rPr>
          <w:rFonts w:ascii="Arial" w:hAnsi="Arial" w:cs="Arial"/>
          <w:lang w:val="en-GB"/>
        </w:rPr>
      </w:pPr>
    </w:p>
    <w:p w:rsidR="00E82AFB" w:rsidRDefault="00E82AFB">
      <w:pPr>
        <w:spacing w:after="0" w:line="240" w:lineRule="auto"/>
        <w:rPr>
          <w:rFonts w:ascii="Arial" w:hAnsi="Arial" w:cs="Arial"/>
          <w:lang w:val="en-GB"/>
        </w:rPr>
      </w:pPr>
      <w:r>
        <w:rPr>
          <w:rFonts w:ascii="Arial" w:hAnsi="Arial" w:cs="Arial"/>
          <w:lang w:val="en-GB"/>
        </w:rPr>
        <w:br w:type="page"/>
      </w:r>
    </w:p>
    <w:p w:rsidR="005F3A27" w:rsidRDefault="005F3A27" w:rsidP="005555A5">
      <w:pPr>
        <w:spacing w:before="100" w:beforeAutospacing="1" w:after="100" w:afterAutospacing="1" w:line="240" w:lineRule="auto"/>
        <w:ind w:firstLine="360"/>
        <w:jc w:val="both"/>
        <w:rPr>
          <w:rFonts w:ascii="Arial" w:hAnsi="Arial" w:cs="Arial"/>
          <w:lang w:val="en-GB"/>
        </w:rPr>
      </w:pP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lang w:val="en-GB"/>
        </w:rPr>
      </w:pPr>
      <w:r w:rsidRPr="00BE4B00">
        <w:rPr>
          <w:rFonts w:ascii="Arial" w:hAnsi="Arial" w:cs="Arial"/>
          <w:b/>
          <w:bCs/>
          <w:color w:val="000000"/>
          <w:lang w:val="en-GB" w:eastAsia="en-GB"/>
        </w:rPr>
        <w:t>Part 1</w:t>
      </w:r>
      <w:r w:rsidRPr="00BE4B00">
        <w:rPr>
          <w:rFonts w:ascii="Arial" w:hAnsi="Arial" w:cs="Arial"/>
          <w:lang w:val="en-GB"/>
        </w:rPr>
        <w:t xml:space="preserve"> </w:t>
      </w: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b/>
          <w:bCs/>
          <w:color w:val="000000"/>
          <w:lang w:val="en-GB" w:eastAsia="en-GB"/>
        </w:rPr>
      </w:pPr>
      <w:r w:rsidRPr="00BE4B00">
        <w:rPr>
          <w:rFonts w:ascii="Arial" w:hAnsi="Arial" w:cs="Arial"/>
          <w:b/>
          <w:bCs/>
          <w:color w:val="000000"/>
          <w:lang w:val="en-GB" w:eastAsia="en-GB"/>
        </w:rPr>
        <w:t>Procedures and responsibilities in the institution</w:t>
      </w:r>
    </w:p>
    <w:p w:rsidR="00711A03" w:rsidRPr="00BE4B00" w:rsidRDefault="00711A03" w:rsidP="00776F7E">
      <w:pPr>
        <w:shd w:val="clear" w:color="auto" w:fill="FDE9D9"/>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1.1 Progress to a Master’s degree with a Bachelor</w:t>
      </w:r>
      <w:r w:rsidRPr="00BE4B00">
        <w:rPr>
          <w:rFonts w:ascii="Arial" w:hAnsi="Arial" w:cs="Arial"/>
          <w:b/>
          <w:lang w:val="en-GB"/>
        </w:rPr>
        <w:t xml:space="preserve"> </w:t>
      </w:r>
      <w:r w:rsidRPr="00BE4B00">
        <w:rPr>
          <w:rFonts w:ascii="Arial" w:hAnsi="Arial" w:cs="Arial"/>
          <w:b/>
          <w:bCs/>
          <w:color w:val="000000"/>
          <w:lang w:val="en-GB" w:eastAsia="en-GB"/>
        </w:rPr>
        <w:t>from another EHEA country</w:t>
      </w:r>
    </w:p>
    <w:p w:rsidR="00711A03" w:rsidRPr="00BE4B00" w:rsidRDefault="00711A03" w:rsidP="00776F7E">
      <w:pPr>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Q1. Does your institution accept all Bachelors’ degrees from the EHEA, awarded after successfully following an  academic or  professionally oriented programme, as providing access to Master’s programmes in your institution?</w:t>
      </w:r>
    </w:p>
    <w:p w:rsidR="00711A03" w:rsidRPr="00BE4B00" w:rsidRDefault="00D25B04" w:rsidP="00192FAB">
      <w:pPr>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52096" behindDoc="1" locked="0" layoutInCell="1" allowOverlap="1" wp14:anchorId="335A9D75" wp14:editId="36575145">
            <wp:simplePos x="0" y="0"/>
            <wp:positionH relativeFrom="column">
              <wp:posOffset>4318635</wp:posOffset>
            </wp:positionH>
            <wp:positionV relativeFrom="paragraph">
              <wp:posOffset>20320</wp:posOffset>
            </wp:positionV>
            <wp:extent cx="1931035" cy="1571625"/>
            <wp:effectExtent l="0" t="0" r="0" b="9525"/>
            <wp:wrapTight wrapText="bothSides">
              <wp:wrapPolygon edited="0">
                <wp:start x="213" y="0"/>
                <wp:lineTo x="0" y="785"/>
                <wp:lineTo x="0" y="20945"/>
                <wp:lineTo x="213" y="21469"/>
                <wp:lineTo x="21096" y="21469"/>
                <wp:lineTo x="21309" y="20945"/>
                <wp:lineTo x="21309" y="785"/>
                <wp:lineTo x="21096" y="0"/>
                <wp:lineTo x="213" y="0"/>
              </wp:wrapPolygon>
            </wp:wrapTight>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1035" cy="1571625"/>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A total number of 60 institutions, (69%) accept all Bachelors’ degrees from the EHEA, awarded after successfully following an academic or professionally oriented programme, as providing access to Master’s programmes</w:t>
      </w:r>
      <w:r w:rsidR="0070461A">
        <w:rPr>
          <w:rFonts w:ascii="Arial" w:hAnsi="Arial" w:cs="Arial"/>
          <w:bCs/>
          <w:color w:val="000000"/>
          <w:lang w:val="en-GB" w:eastAsia="en-GB"/>
        </w:rPr>
        <w:t>,</w:t>
      </w:r>
      <w:r w:rsidR="00711A03" w:rsidRPr="00BE4B00">
        <w:rPr>
          <w:rFonts w:ascii="Arial" w:hAnsi="Arial" w:cs="Arial"/>
          <w:bCs/>
          <w:color w:val="000000"/>
          <w:lang w:val="en-GB" w:eastAsia="en-GB"/>
        </w:rPr>
        <w:t xml:space="preserve"> while 27 institutions (31%) have additional requirements.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In some HEIs in some of the countries (</w:t>
      </w:r>
      <w:r w:rsidR="00167029">
        <w:rPr>
          <w:rFonts w:ascii="Arial" w:hAnsi="Arial" w:cs="Arial"/>
          <w:bCs/>
          <w:color w:val="000000"/>
          <w:lang w:val="en-GB" w:eastAsia="en-GB"/>
        </w:rPr>
        <w:t xml:space="preserve">e.g. </w:t>
      </w:r>
      <w:r w:rsidRPr="00667E4D">
        <w:rPr>
          <w:rFonts w:ascii="Arial" w:hAnsi="Arial" w:cs="Arial"/>
          <w:bCs/>
          <w:lang w:val="en-GB" w:eastAsia="en-GB"/>
        </w:rPr>
        <w:t>B</w:t>
      </w:r>
      <w:r w:rsidR="000E4A57">
        <w:rPr>
          <w:rFonts w:ascii="Arial" w:hAnsi="Arial" w:cs="Arial"/>
          <w:bCs/>
          <w:lang w:val="en-GB" w:eastAsia="en-GB"/>
        </w:rPr>
        <w:t>elgium (French Community)</w:t>
      </w:r>
      <w:r w:rsidRPr="00667E4D">
        <w:rPr>
          <w:rFonts w:ascii="Arial" w:hAnsi="Arial" w:cs="Arial"/>
          <w:bCs/>
          <w:lang w:val="en-GB" w:eastAsia="en-GB"/>
        </w:rPr>
        <w:t>, D</w:t>
      </w:r>
      <w:r w:rsidR="000E4A57">
        <w:rPr>
          <w:rFonts w:ascii="Arial" w:hAnsi="Arial" w:cs="Arial"/>
          <w:bCs/>
          <w:lang w:val="en-GB" w:eastAsia="en-GB"/>
        </w:rPr>
        <w:t>enmark</w:t>
      </w:r>
      <w:r w:rsidR="00B92713">
        <w:rPr>
          <w:rFonts w:ascii="Arial" w:hAnsi="Arial" w:cs="Arial"/>
          <w:bCs/>
          <w:color w:val="000000"/>
          <w:lang w:val="en-GB" w:eastAsia="en-GB"/>
        </w:rPr>
        <w:t>,</w:t>
      </w:r>
      <w:r w:rsidR="000E4A57">
        <w:rPr>
          <w:rFonts w:ascii="Arial" w:hAnsi="Arial" w:cs="Arial"/>
          <w:bCs/>
          <w:color w:val="000000"/>
          <w:lang w:val="en-GB" w:eastAsia="en-GB"/>
        </w:rPr>
        <w:t xml:space="preserve"> Germany</w:t>
      </w:r>
      <w:r w:rsidRPr="00BE4B00">
        <w:rPr>
          <w:rFonts w:ascii="Arial" w:hAnsi="Arial" w:cs="Arial"/>
          <w:bCs/>
          <w:color w:val="000000"/>
          <w:lang w:val="en-GB" w:eastAsia="en-GB"/>
        </w:rPr>
        <w:t>)</w:t>
      </w:r>
      <w:r w:rsidRPr="00BE4B00">
        <w:rPr>
          <w:rStyle w:val="FootnoteReference"/>
          <w:rFonts w:ascii="Arial" w:hAnsi="Arial" w:cs="Arial"/>
          <w:bCs/>
          <w:color w:val="000000"/>
          <w:lang w:val="en-GB" w:eastAsia="en-GB"/>
        </w:rPr>
        <w:footnoteReference w:id="9"/>
      </w:r>
      <w:r w:rsidRPr="00BE4B00">
        <w:rPr>
          <w:rFonts w:ascii="Arial" w:hAnsi="Arial" w:cs="Arial"/>
          <w:bCs/>
          <w:color w:val="000000"/>
          <w:lang w:val="en-GB" w:eastAsia="en-GB"/>
        </w:rPr>
        <w:t xml:space="preserve"> an explicit distinction between academic Bachelors and professionally oriented Bachelors is made. While academic Bachelors are automatically accepted to be considered for admission, professional Bachelors may have to follow a bridging programme before being allowed access to M</w:t>
      </w:r>
      <w:r w:rsidR="005555A5">
        <w:rPr>
          <w:rFonts w:ascii="Arial" w:hAnsi="Arial" w:cs="Arial"/>
          <w:bCs/>
          <w:color w:val="000000"/>
          <w:lang w:val="en-GB" w:eastAsia="en-GB"/>
        </w:rPr>
        <w:t>asters’ programmes</w:t>
      </w:r>
      <w:r w:rsidRPr="00BE4B00">
        <w:rPr>
          <w:rFonts w:ascii="Arial" w:hAnsi="Arial" w:cs="Arial"/>
          <w:bCs/>
          <w:color w:val="000000"/>
          <w:lang w:val="en-GB" w:eastAsia="en-GB"/>
        </w:rPr>
        <w:t xml:space="preserve">. </w:t>
      </w:r>
    </w:p>
    <w:p w:rsidR="00711A03" w:rsidRPr="00BE4B00" w:rsidRDefault="00711A03" w:rsidP="00192FAB">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Even when all academic Bachelors from the EHEA are accepted as such, because of various reasons, direct admission to a certain master degree programme is not possible: </w:t>
      </w:r>
      <w:r w:rsidR="000F3EE9">
        <w:rPr>
          <w:rFonts w:ascii="Arial" w:hAnsi="Arial" w:cs="Arial"/>
          <w:bCs/>
          <w:color w:val="000000"/>
          <w:lang w:val="en-GB" w:eastAsia="en-GB"/>
        </w:rPr>
        <w:t xml:space="preserve">a </w:t>
      </w:r>
      <w:r w:rsidRPr="00BE4B00">
        <w:rPr>
          <w:rFonts w:ascii="Arial" w:hAnsi="Arial" w:cs="Arial"/>
          <w:bCs/>
          <w:color w:val="000000"/>
          <w:lang w:val="en-GB" w:eastAsia="en-GB"/>
        </w:rPr>
        <w:t xml:space="preserve">difference in </w:t>
      </w:r>
      <w:r w:rsidR="000F3EE9">
        <w:rPr>
          <w:rFonts w:ascii="Arial" w:hAnsi="Arial" w:cs="Arial"/>
          <w:bCs/>
          <w:color w:val="000000"/>
          <w:lang w:val="en-GB" w:eastAsia="en-GB"/>
        </w:rPr>
        <w:t xml:space="preserve">the </w:t>
      </w:r>
      <w:r w:rsidRPr="00BE4B00">
        <w:rPr>
          <w:rFonts w:ascii="Arial" w:hAnsi="Arial" w:cs="Arial"/>
          <w:bCs/>
          <w:color w:val="000000"/>
          <w:lang w:val="en-GB" w:eastAsia="en-GB"/>
        </w:rPr>
        <w:t xml:space="preserve">curricula in comparison to </w:t>
      </w:r>
      <w:r w:rsidR="000F3EE9">
        <w:rPr>
          <w:rFonts w:ascii="Arial" w:hAnsi="Arial" w:cs="Arial"/>
          <w:bCs/>
          <w:color w:val="000000"/>
          <w:lang w:val="en-GB" w:eastAsia="en-GB"/>
        </w:rPr>
        <w:t xml:space="preserve">a </w:t>
      </w:r>
      <w:r w:rsidRPr="00BE4B00">
        <w:rPr>
          <w:rFonts w:ascii="Arial" w:hAnsi="Arial" w:cs="Arial"/>
          <w:bCs/>
          <w:color w:val="000000"/>
          <w:lang w:val="en-GB" w:eastAsia="en-GB"/>
        </w:rPr>
        <w:t>respective national degree (B</w:t>
      </w:r>
      <w:r w:rsidR="000E4A57">
        <w:rPr>
          <w:rFonts w:ascii="Arial" w:hAnsi="Arial" w:cs="Arial"/>
          <w:bCs/>
          <w:color w:val="000000"/>
          <w:lang w:val="en-GB" w:eastAsia="en-GB"/>
        </w:rPr>
        <w:t>elgium (Flemish Community)</w:t>
      </w:r>
      <w:r w:rsidRPr="00BE4B00">
        <w:rPr>
          <w:rFonts w:ascii="Arial" w:hAnsi="Arial" w:cs="Arial"/>
          <w:bCs/>
          <w:color w:val="000000"/>
          <w:lang w:val="en-GB" w:eastAsia="en-GB"/>
        </w:rPr>
        <w:t xml:space="preserve">, </w:t>
      </w:r>
      <w:r>
        <w:rPr>
          <w:rFonts w:ascii="Arial" w:hAnsi="Arial" w:cs="Arial"/>
          <w:bCs/>
          <w:color w:val="000000"/>
          <w:lang w:val="en-GB" w:eastAsia="en-GB"/>
        </w:rPr>
        <w:t>B</w:t>
      </w:r>
      <w:r w:rsidR="000E4A57">
        <w:rPr>
          <w:rFonts w:ascii="Arial" w:hAnsi="Arial" w:cs="Arial"/>
          <w:bCs/>
          <w:color w:val="000000"/>
          <w:lang w:val="en-GB" w:eastAsia="en-GB"/>
        </w:rPr>
        <w:t>elgium (French Community)</w:t>
      </w:r>
      <w:r>
        <w:rPr>
          <w:rFonts w:ascii="Arial" w:hAnsi="Arial" w:cs="Arial"/>
          <w:bCs/>
          <w:color w:val="000000"/>
          <w:lang w:val="en-GB" w:eastAsia="en-GB"/>
        </w:rPr>
        <w:t xml:space="preserve">, </w:t>
      </w:r>
      <w:r w:rsidRPr="00BE4B00">
        <w:rPr>
          <w:rFonts w:ascii="Arial" w:hAnsi="Arial" w:cs="Arial"/>
          <w:bCs/>
          <w:color w:val="000000"/>
          <w:lang w:val="en-GB" w:eastAsia="en-GB"/>
        </w:rPr>
        <w:t>D</w:t>
      </w:r>
      <w:r w:rsidR="000E4A57">
        <w:rPr>
          <w:rFonts w:ascii="Arial" w:hAnsi="Arial" w:cs="Arial"/>
          <w:bCs/>
          <w:color w:val="000000"/>
          <w:lang w:val="en-GB" w:eastAsia="en-GB"/>
        </w:rPr>
        <w:t>enmark</w:t>
      </w:r>
      <w:r w:rsidRPr="00BE4B00">
        <w:rPr>
          <w:rFonts w:ascii="Arial" w:hAnsi="Arial" w:cs="Arial"/>
          <w:bCs/>
          <w:color w:val="000000"/>
          <w:lang w:val="en-GB" w:eastAsia="en-GB"/>
        </w:rPr>
        <w:t xml:space="preserve">, </w:t>
      </w:r>
      <w:r w:rsidR="000E4A57">
        <w:rPr>
          <w:rFonts w:ascii="Arial" w:hAnsi="Arial" w:cs="Arial"/>
          <w:bCs/>
          <w:color w:val="000000"/>
          <w:lang w:val="en-GB" w:eastAsia="en-GB"/>
        </w:rPr>
        <w:t>Germany</w:t>
      </w:r>
      <w:r w:rsidRPr="00BE4B00">
        <w:rPr>
          <w:rFonts w:ascii="Arial" w:hAnsi="Arial" w:cs="Arial"/>
          <w:bCs/>
          <w:color w:val="000000"/>
          <w:lang w:val="en-GB" w:eastAsia="en-GB"/>
        </w:rPr>
        <w:t>), the length of study, level or ECTS (E</w:t>
      </w:r>
      <w:r w:rsidR="000E4A57">
        <w:rPr>
          <w:rFonts w:ascii="Arial" w:hAnsi="Arial" w:cs="Arial"/>
          <w:bCs/>
          <w:color w:val="000000"/>
          <w:lang w:val="en-GB" w:eastAsia="en-GB"/>
        </w:rPr>
        <w:t>stonia</w:t>
      </w:r>
      <w:r w:rsidRPr="00BE4B00">
        <w:rPr>
          <w:rFonts w:ascii="Arial" w:hAnsi="Arial" w:cs="Arial"/>
          <w:bCs/>
          <w:color w:val="000000"/>
          <w:lang w:val="en-GB" w:eastAsia="en-GB"/>
        </w:rPr>
        <w:t xml:space="preserve">, </w:t>
      </w:r>
      <w:r w:rsidR="000E4A57">
        <w:rPr>
          <w:rFonts w:ascii="Arial" w:hAnsi="Arial" w:cs="Arial"/>
          <w:bCs/>
          <w:color w:val="000000"/>
          <w:lang w:val="en-GB" w:eastAsia="en-GB"/>
        </w:rPr>
        <w:t>Germany</w:t>
      </w:r>
      <w:r w:rsidRPr="00BE4B00">
        <w:rPr>
          <w:rFonts w:ascii="Arial" w:hAnsi="Arial" w:cs="Arial"/>
          <w:bCs/>
          <w:color w:val="000000"/>
          <w:lang w:val="en-GB" w:eastAsia="en-GB"/>
        </w:rPr>
        <w:t>, S</w:t>
      </w:r>
      <w:r w:rsidR="000E4A57">
        <w:rPr>
          <w:rFonts w:ascii="Arial" w:hAnsi="Arial" w:cs="Arial"/>
          <w:bCs/>
          <w:color w:val="000000"/>
          <w:lang w:val="en-GB" w:eastAsia="en-GB"/>
        </w:rPr>
        <w:t>weden</w:t>
      </w:r>
      <w:r w:rsidRPr="00BE4B00">
        <w:rPr>
          <w:rFonts w:ascii="Arial" w:hAnsi="Arial" w:cs="Arial"/>
          <w:bCs/>
          <w:color w:val="000000"/>
          <w:lang w:val="en-GB" w:eastAsia="en-GB"/>
        </w:rPr>
        <w:t>), relevance of the field of science (</w:t>
      </w:r>
      <w:r w:rsidR="000E4A57">
        <w:rPr>
          <w:rFonts w:ascii="Arial" w:hAnsi="Arial" w:cs="Arial"/>
          <w:bCs/>
          <w:color w:val="000000"/>
          <w:lang w:val="en-GB" w:eastAsia="en-GB"/>
        </w:rPr>
        <w:t>the Netherlands</w:t>
      </w:r>
      <w:r w:rsidRPr="00BE4B00">
        <w:rPr>
          <w:rFonts w:ascii="Arial" w:hAnsi="Arial" w:cs="Arial"/>
          <w:bCs/>
          <w:color w:val="000000"/>
          <w:lang w:val="en-GB" w:eastAsia="en-GB"/>
        </w:rPr>
        <w:t xml:space="preserve">), or when </w:t>
      </w:r>
      <w:r w:rsidR="000F3EE9">
        <w:rPr>
          <w:rFonts w:ascii="Arial" w:hAnsi="Arial" w:cs="Arial"/>
          <w:bCs/>
          <w:color w:val="000000"/>
          <w:lang w:val="en-GB" w:eastAsia="en-GB"/>
        </w:rPr>
        <w:t xml:space="preserve">a </w:t>
      </w:r>
      <w:r w:rsidRPr="00BE4B00">
        <w:rPr>
          <w:rFonts w:ascii="Arial" w:hAnsi="Arial" w:cs="Arial"/>
          <w:bCs/>
          <w:color w:val="000000"/>
          <w:lang w:val="en-GB" w:eastAsia="en-GB"/>
        </w:rPr>
        <w:t>final grade is not good enough (</w:t>
      </w:r>
      <w:r w:rsidR="000E4A57">
        <w:rPr>
          <w:rFonts w:ascii="Arial" w:hAnsi="Arial" w:cs="Arial"/>
          <w:bCs/>
          <w:color w:val="000000"/>
          <w:lang w:val="en-GB" w:eastAsia="en-GB"/>
        </w:rPr>
        <w:t>Germany, the Netherlands</w:t>
      </w:r>
      <w:r w:rsidRPr="00BE4B00">
        <w:rPr>
          <w:rFonts w:ascii="Arial" w:hAnsi="Arial" w:cs="Arial"/>
          <w:bCs/>
          <w:color w:val="000000"/>
          <w:lang w:val="en-GB" w:eastAsia="en-GB"/>
        </w:rPr>
        <w:t>) or because of inadequacy of learning outcomes in relation to entry requirements of the institution (</w:t>
      </w:r>
      <w:r w:rsidR="000E4A57">
        <w:rPr>
          <w:rFonts w:ascii="Arial" w:hAnsi="Arial" w:cs="Arial"/>
          <w:bCs/>
          <w:color w:val="000000"/>
          <w:lang w:val="en-GB" w:eastAsia="en-GB"/>
        </w:rPr>
        <w:t>Croatia</w:t>
      </w:r>
      <w:r w:rsidRPr="00BE4B00">
        <w:rPr>
          <w:rFonts w:ascii="Arial" w:hAnsi="Arial" w:cs="Arial"/>
          <w:bCs/>
          <w:color w:val="000000"/>
          <w:lang w:val="en-GB" w:eastAsia="en-GB"/>
        </w:rPr>
        <w:t>), or when it does not give access to Master’s level in the country of origin (S</w:t>
      </w:r>
      <w:r w:rsidR="000E4A57">
        <w:rPr>
          <w:rFonts w:ascii="Arial" w:hAnsi="Arial" w:cs="Arial"/>
          <w:bCs/>
          <w:color w:val="000000"/>
          <w:lang w:val="en-GB" w:eastAsia="en-GB"/>
        </w:rPr>
        <w:t>weden</w:t>
      </w:r>
      <w:r w:rsidRPr="00BE4B00">
        <w:rPr>
          <w:rFonts w:ascii="Arial" w:hAnsi="Arial" w:cs="Arial"/>
          <w:bCs/>
          <w:color w:val="000000"/>
          <w:lang w:val="en-GB" w:eastAsia="en-GB"/>
        </w:rPr>
        <w:t>), where there is a substantial difference (</w:t>
      </w:r>
      <w:r w:rsidR="000E4A57">
        <w:rPr>
          <w:rFonts w:ascii="Arial" w:hAnsi="Arial" w:cs="Arial"/>
          <w:bCs/>
          <w:color w:val="000000"/>
          <w:lang w:val="en-GB" w:eastAsia="en-GB"/>
        </w:rPr>
        <w:t xml:space="preserve">the </w:t>
      </w:r>
      <w:r w:rsidRPr="00BE4B00">
        <w:rPr>
          <w:rFonts w:ascii="Arial" w:hAnsi="Arial" w:cs="Arial"/>
          <w:bCs/>
          <w:color w:val="000000"/>
          <w:lang w:val="en-GB" w:eastAsia="en-GB"/>
        </w:rPr>
        <w:t>N</w:t>
      </w:r>
      <w:r w:rsidR="000E4A57">
        <w:rPr>
          <w:rFonts w:ascii="Arial" w:hAnsi="Arial" w:cs="Arial"/>
          <w:bCs/>
          <w:color w:val="000000"/>
          <w:lang w:val="en-GB" w:eastAsia="en-GB"/>
        </w:rPr>
        <w:t>etherlands</w:t>
      </w:r>
      <w:r w:rsidRPr="00BE4B00">
        <w:rPr>
          <w:rFonts w:ascii="Arial" w:hAnsi="Arial" w:cs="Arial"/>
          <w:bCs/>
          <w:color w:val="000000"/>
          <w:lang w:val="en-GB" w:eastAsia="en-GB"/>
        </w:rPr>
        <w:t>), when the institution awarding foreign qualification is not recognised by the national authorities (</w:t>
      </w:r>
      <w:r w:rsidR="000E4A57">
        <w:rPr>
          <w:rFonts w:ascii="Arial" w:hAnsi="Arial" w:cs="Arial"/>
          <w:bCs/>
          <w:color w:val="000000"/>
          <w:lang w:val="en-GB" w:eastAsia="en-GB"/>
        </w:rPr>
        <w:t>Germany</w:t>
      </w:r>
      <w:r w:rsidRPr="00BE4B00">
        <w:rPr>
          <w:rFonts w:ascii="Arial" w:hAnsi="Arial" w:cs="Arial"/>
          <w:bCs/>
          <w:color w:val="000000"/>
          <w:lang w:val="en-GB" w:eastAsia="en-GB"/>
        </w:rPr>
        <w:t>) or is generally not accredited (N</w:t>
      </w:r>
      <w:r w:rsidR="000E4A57">
        <w:rPr>
          <w:rFonts w:ascii="Arial" w:hAnsi="Arial" w:cs="Arial"/>
          <w:bCs/>
          <w:color w:val="000000"/>
          <w:lang w:val="en-GB" w:eastAsia="en-GB"/>
        </w:rPr>
        <w:t>etherlands</w:t>
      </w:r>
      <w:r w:rsidRPr="00BE4B00">
        <w:rPr>
          <w:rFonts w:ascii="Arial" w:hAnsi="Arial" w:cs="Arial"/>
          <w:bCs/>
          <w:color w:val="000000"/>
          <w:lang w:val="en-GB" w:eastAsia="en-GB"/>
        </w:rPr>
        <w:t xml:space="preserve">). </w:t>
      </w:r>
    </w:p>
    <w:p w:rsidR="002A683C" w:rsidRDefault="002A683C"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E82AFB"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Pr>
          <w:noProof/>
          <w:lang w:val="en-GB" w:eastAsia="en-GB"/>
        </w:rPr>
        <w:drawing>
          <wp:anchor distT="0" distB="0" distL="114300" distR="114300" simplePos="0" relativeHeight="251653120" behindDoc="1" locked="0" layoutInCell="1" allowOverlap="1" wp14:anchorId="3E14097C" wp14:editId="21BCA26E">
            <wp:simplePos x="0" y="0"/>
            <wp:positionH relativeFrom="column">
              <wp:posOffset>4321175</wp:posOffset>
            </wp:positionH>
            <wp:positionV relativeFrom="paragraph">
              <wp:posOffset>249555</wp:posOffset>
            </wp:positionV>
            <wp:extent cx="1952625" cy="1678940"/>
            <wp:effectExtent l="0" t="0" r="9525" b="0"/>
            <wp:wrapTight wrapText="bothSides">
              <wp:wrapPolygon edited="0">
                <wp:start x="421" y="0"/>
                <wp:lineTo x="0" y="490"/>
                <wp:lineTo x="0" y="20832"/>
                <wp:lineTo x="421" y="21322"/>
                <wp:lineTo x="21073" y="21322"/>
                <wp:lineTo x="21495" y="20832"/>
                <wp:lineTo x="21495" y="490"/>
                <wp:lineTo x="21073" y="0"/>
                <wp:lineTo x="421" y="0"/>
              </wp:wrapPolygon>
            </wp:wrapTight>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2625" cy="167894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
          <w:bCs/>
          <w:color w:val="000000"/>
          <w:lang w:val="en-GB" w:eastAsia="en-GB"/>
        </w:rPr>
        <w:t>Q2. Can admission be conditional (part recognition of credits/supplementary courses required)?</w:t>
      </w:r>
    </w:p>
    <w:p w:rsidR="00711A03" w:rsidRDefault="00711A03" w:rsidP="00776F7E">
      <w:pPr>
        <w:shd w:val="clear" w:color="auto" w:fill="FFFFFF"/>
        <w:spacing w:before="100" w:beforeAutospacing="1" w:after="100" w:afterAutospacing="1" w:line="240" w:lineRule="auto"/>
        <w:jc w:val="both"/>
        <w:outlineLvl w:val="2"/>
        <w:rPr>
          <w:rFonts w:ascii="Arial" w:hAnsi="Arial" w:cs="Arial"/>
          <w:noProof/>
          <w:lang w:val="en-GB" w:eastAsia="en-GB"/>
        </w:rPr>
      </w:pPr>
      <w:r w:rsidRPr="00BE4B00">
        <w:rPr>
          <w:rFonts w:ascii="Arial" w:hAnsi="Arial" w:cs="Arial"/>
          <w:bCs/>
          <w:color w:val="000000"/>
          <w:lang w:val="en-GB" w:eastAsia="en-GB"/>
        </w:rPr>
        <w:t xml:space="preserve">A total number of 71 institutions (83%) foresee conditional admission (part recognition of credits/supplementary courses required) whereas only 15 institutions (17%) do not. Among those 15 which do not offer the possibility for conditional admission, 5 are German </w:t>
      </w:r>
      <w:proofErr w:type="spellStart"/>
      <w:r w:rsidRPr="00BE4B00">
        <w:rPr>
          <w:rFonts w:ascii="Arial" w:hAnsi="Arial" w:cs="Arial"/>
          <w:bCs/>
          <w:i/>
          <w:color w:val="000000"/>
          <w:lang w:val="en-GB" w:eastAsia="en-GB"/>
        </w:rPr>
        <w:t>Fachhochschule</w:t>
      </w:r>
      <w:proofErr w:type="spellEnd"/>
      <w:r w:rsidRPr="00BE4B00">
        <w:rPr>
          <w:rFonts w:ascii="Arial" w:hAnsi="Arial" w:cs="Arial"/>
          <w:bCs/>
          <w:color w:val="000000"/>
          <w:lang w:val="en-GB" w:eastAsia="en-GB"/>
        </w:rPr>
        <w:t xml:space="preserve"> or </w:t>
      </w:r>
      <w:proofErr w:type="spellStart"/>
      <w:r w:rsidRPr="00BE4B00">
        <w:rPr>
          <w:rFonts w:ascii="Arial" w:hAnsi="Arial" w:cs="Arial"/>
          <w:bCs/>
          <w:i/>
          <w:color w:val="000000"/>
          <w:lang w:val="en-GB" w:eastAsia="en-GB"/>
        </w:rPr>
        <w:t>Hochschule</w:t>
      </w:r>
      <w:proofErr w:type="spellEnd"/>
      <w:r w:rsidRPr="00BE4B00">
        <w:rPr>
          <w:rFonts w:ascii="Arial" w:hAnsi="Arial" w:cs="Arial"/>
          <w:bCs/>
          <w:color w:val="000000"/>
          <w:lang w:val="en-GB" w:eastAsia="en-GB"/>
        </w:rPr>
        <w:t xml:space="preserve"> and 3 of them are technical universities from various countries.</w:t>
      </w:r>
      <w:r w:rsidRPr="00BE4B00">
        <w:rPr>
          <w:rStyle w:val="FootnoteReference"/>
          <w:rFonts w:ascii="Arial" w:hAnsi="Arial" w:cs="Arial"/>
          <w:bCs/>
          <w:color w:val="000000"/>
          <w:lang w:val="en-GB" w:eastAsia="en-GB"/>
        </w:rPr>
        <w:footnoteReference w:id="10"/>
      </w:r>
      <w:r w:rsidRPr="00BE4B00">
        <w:rPr>
          <w:rFonts w:ascii="Arial" w:hAnsi="Arial" w:cs="Arial"/>
          <w:noProof/>
          <w:lang w:val="en-GB" w:eastAsia="en-GB"/>
        </w:rPr>
        <w:t xml:space="preserve"> </w:t>
      </w:r>
    </w:p>
    <w:p w:rsidR="007E28E1" w:rsidRDefault="007E28E1" w:rsidP="00776F7E">
      <w:pPr>
        <w:shd w:val="clear" w:color="auto" w:fill="FFFFFF"/>
        <w:spacing w:before="100" w:beforeAutospacing="1" w:after="100" w:afterAutospacing="1" w:line="240" w:lineRule="auto"/>
        <w:jc w:val="both"/>
        <w:outlineLvl w:val="2"/>
        <w:rPr>
          <w:rFonts w:ascii="Arial" w:hAnsi="Arial" w:cs="Arial"/>
          <w:noProof/>
          <w:lang w:val="en-GB" w:eastAsia="en-GB"/>
        </w:rPr>
      </w:pPr>
    </w:p>
    <w:p w:rsidR="00711A03" w:rsidRPr="00BE4B00" w:rsidRDefault="00711A03" w:rsidP="00776F7E">
      <w:pPr>
        <w:shd w:val="clear" w:color="auto" w:fill="FDE9D9"/>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
          <w:bCs/>
          <w:color w:val="000000"/>
          <w:lang w:val="en-GB" w:eastAsia="en-GB"/>
        </w:rPr>
        <w:t>1.2 Transparency, equality, management, efficiency and quality of the recognition procedure</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Q3. Does your institution have an identified (and publicly available) strategy for the assessment of foreign degrees?</w:t>
      </w:r>
    </w:p>
    <w:p w:rsidR="00711A03" w:rsidRPr="00BE4B00" w:rsidRDefault="00D25B04"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54144" behindDoc="1" locked="0" layoutInCell="1" allowOverlap="1" wp14:anchorId="4F8A0DC1" wp14:editId="7E3E9521">
            <wp:simplePos x="0" y="0"/>
            <wp:positionH relativeFrom="column">
              <wp:posOffset>4347210</wp:posOffset>
            </wp:positionH>
            <wp:positionV relativeFrom="paragraph">
              <wp:posOffset>43180</wp:posOffset>
            </wp:positionV>
            <wp:extent cx="1883410" cy="1731010"/>
            <wp:effectExtent l="0" t="0" r="2540" b="2540"/>
            <wp:wrapTight wrapText="bothSides">
              <wp:wrapPolygon edited="0">
                <wp:start x="218" y="0"/>
                <wp:lineTo x="0" y="713"/>
                <wp:lineTo x="0" y="20919"/>
                <wp:lineTo x="218" y="21394"/>
                <wp:lineTo x="21192" y="21394"/>
                <wp:lineTo x="21411" y="20919"/>
                <wp:lineTo x="21411" y="713"/>
                <wp:lineTo x="21192" y="0"/>
                <wp:lineTo x="218" y="0"/>
              </wp:wrapPolygon>
            </wp:wrapTight>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3410" cy="173101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A total number of 54 institutions (62%) have an identified and publicly available strategy for the assessment of foreign degrees while 33 HEIs (38%) do not have one.</w:t>
      </w:r>
    </w:p>
    <w:p w:rsidR="00711A03" w:rsidRPr="00BE4B00" w:rsidRDefault="00DB642C"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rFonts w:ascii="Arial" w:hAnsi="Arial" w:cs="Arial"/>
          <w:bCs/>
          <w:color w:val="000000"/>
          <w:lang w:val="en-GB" w:eastAsia="en-GB"/>
        </w:rPr>
        <w:t>M</w:t>
      </w:r>
      <w:r w:rsidR="00E344DA">
        <w:rPr>
          <w:rFonts w:ascii="Arial" w:hAnsi="Arial" w:cs="Arial"/>
          <w:bCs/>
          <w:color w:val="000000"/>
          <w:lang w:val="en-GB" w:eastAsia="en-GB"/>
        </w:rPr>
        <w:t xml:space="preserve">any </w:t>
      </w:r>
      <w:r>
        <w:rPr>
          <w:rFonts w:ascii="Arial" w:hAnsi="Arial" w:cs="Arial"/>
          <w:bCs/>
          <w:color w:val="000000"/>
          <w:lang w:val="en-GB" w:eastAsia="en-GB"/>
        </w:rPr>
        <w:t>of the</w:t>
      </w:r>
      <w:r w:rsidR="00E344DA">
        <w:rPr>
          <w:rFonts w:ascii="Arial" w:hAnsi="Arial" w:cs="Arial"/>
          <w:bCs/>
          <w:color w:val="000000"/>
          <w:lang w:val="en-GB" w:eastAsia="en-GB"/>
        </w:rPr>
        <w:t xml:space="preserve"> HEIs have clear operational procedures in place which are made available by email, online or during the application process</w:t>
      </w:r>
      <w:r>
        <w:rPr>
          <w:rFonts w:ascii="Arial" w:hAnsi="Arial" w:cs="Arial"/>
          <w:bCs/>
          <w:color w:val="000000"/>
          <w:lang w:val="en-GB" w:eastAsia="en-GB"/>
        </w:rPr>
        <w:t xml:space="preserve">, covering </w:t>
      </w:r>
      <w:r w:rsidR="00711A03" w:rsidRPr="00BE4B00">
        <w:rPr>
          <w:rFonts w:ascii="Arial" w:hAnsi="Arial" w:cs="Arial"/>
          <w:bCs/>
          <w:color w:val="000000"/>
          <w:lang w:val="en-GB" w:eastAsia="en-GB"/>
        </w:rPr>
        <w:t>internal admission and recognition procedures, adopted regulations, conditions and criteria for the assessment of foreign degrees. Some HEIs have fully automated (web services) procedure</w:t>
      </w:r>
      <w:r w:rsidR="0070461A">
        <w:rPr>
          <w:rFonts w:ascii="Arial" w:hAnsi="Arial" w:cs="Arial"/>
          <w:bCs/>
          <w:color w:val="000000"/>
          <w:lang w:val="en-GB" w:eastAsia="en-GB"/>
        </w:rPr>
        <w:t>s</w:t>
      </w:r>
      <w:r w:rsidR="00711A03" w:rsidRPr="00BE4B00">
        <w:rPr>
          <w:rFonts w:ascii="Arial" w:hAnsi="Arial" w:cs="Arial"/>
          <w:bCs/>
          <w:color w:val="000000"/>
          <w:lang w:val="en-GB" w:eastAsia="en-GB"/>
        </w:rPr>
        <w:t xml:space="preserve"> that lead the applicant through the different phases of the assessment.</w:t>
      </w:r>
    </w:p>
    <w:p w:rsidR="00711A03" w:rsidRPr="00BE4B00" w:rsidRDefault="00711A03" w:rsidP="00192FAB">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One particularly interesting reason for not having </w:t>
      </w:r>
      <w:r w:rsidR="0063746A">
        <w:rPr>
          <w:rFonts w:ascii="Arial" w:hAnsi="Arial" w:cs="Arial"/>
          <w:bCs/>
          <w:color w:val="000000"/>
          <w:lang w:val="en-GB" w:eastAsia="en-GB"/>
        </w:rPr>
        <w:t xml:space="preserve">a </w:t>
      </w:r>
      <w:r w:rsidRPr="00BE4B00">
        <w:rPr>
          <w:rFonts w:ascii="Arial" w:hAnsi="Arial" w:cs="Arial"/>
          <w:bCs/>
          <w:color w:val="000000"/>
          <w:lang w:val="en-GB" w:eastAsia="en-GB"/>
        </w:rPr>
        <w:t>publicly available strategy for the assessment of foreign degrees is that some institutions apply automatic recognition when declaring that “foreign degrees and national degrees are assessed according to the same procedures. All applicants, regardless of their educational background, must fulfil the same entry requirements” or when saying that “foreign degrees aren`t treated in a different way compared with national degrees”.</w:t>
      </w:r>
    </w:p>
    <w:p w:rsidR="00711A03" w:rsidRPr="00BE4B00" w:rsidRDefault="00711A03" w:rsidP="00192FAB">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Some institutions that do not have their own standards for recognition and assessment refer to existing national standards</w:t>
      </w:r>
      <w:r w:rsidRPr="00BE4B00">
        <w:rPr>
          <w:rStyle w:val="FootnoteReference"/>
          <w:rFonts w:ascii="Arial" w:hAnsi="Arial" w:cs="Arial"/>
          <w:bCs/>
          <w:color w:val="000000"/>
          <w:lang w:val="en-GB" w:eastAsia="en-GB"/>
        </w:rPr>
        <w:footnoteReference w:id="11"/>
      </w:r>
      <w:r w:rsidRPr="00BE4B00">
        <w:rPr>
          <w:rFonts w:ascii="Arial" w:hAnsi="Arial" w:cs="Arial"/>
          <w:bCs/>
          <w:color w:val="000000"/>
          <w:lang w:val="en-GB" w:eastAsia="en-GB"/>
        </w:rPr>
        <w:t xml:space="preserve"> either being developed by ENIC</w:t>
      </w:r>
      <w:r w:rsidR="000244C5">
        <w:rPr>
          <w:rFonts w:ascii="Arial" w:hAnsi="Arial" w:cs="Arial"/>
          <w:bCs/>
          <w:color w:val="000000"/>
          <w:lang w:val="en-GB" w:eastAsia="en-GB"/>
        </w:rPr>
        <w:t>-</w:t>
      </w:r>
      <w:r w:rsidRPr="00BE4B00">
        <w:rPr>
          <w:rFonts w:ascii="Arial" w:hAnsi="Arial" w:cs="Arial"/>
          <w:bCs/>
          <w:color w:val="000000"/>
          <w:lang w:val="en-GB" w:eastAsia="en-GB"/>
        </w:rPr>
        <w:t>NARIC (E</w:t>
      </w:r>
      <w:r w:rsidR="0017725A">
        <w:rPr>
          <w:rFonts w:ascii="Arial" w:hAnsi="Arial" w:cs="Arial"/>
          <w:bCs/>
          <w:color w:val="000000"/>
          <w:lang w:val="en-GB" w:eastAsia="en-GB"/>
        </w:rPr>
        <w:t>stonia</w:t>
      </w:r>
      <w:r w:rsidRPr="00BE4B00">
        <w:rPr>
          <w:rFonts w:ascii="Arial" w:hAnsi="Arial" w:cs="Arial"/>
          <w:bCs/>
          <w:color w:val="000000"/>
          <w:lang w:val="en-GB" w:eastAsia="en-GB"/>
        </w:rPr>
        <w:t>, S</w:t>
      </w:r>
      <w:r w:rsidR="0017725A">
        <w:rPr>
          <w:rFonts w:ascii="Arial" w:hAnsi="Arial" w:cs="Arial"/>
          <w:bCs/>
          <w:color w:val="000000"/>
          <w:lang w:val="en-GB" w:eastAsia="en-GB"/>
        </w:rPr>
        <w:t>weden</w:t>
      </w:r>
      <w:r w:rsidRPr="00BE4B00">
        <w:rPr>
          <w:rFonts w:ascii="Arial" w:hAnsi="Arial" w:cs="Arial"/>
          <w:bCs/>
          <w:color w:val="000000"/>
          <w:lang w:val="en-GB" w:eastAsia="en-GB"/>
        </w:rPr>
        <w:t>) or by National Rectors Conference or Conference of the Ministers of Education and Cultural Affairs (</w:t>
      </w:r>
      <w:r w:rsidR="0017725A">
        <w:rPr>
          <w:rFonts w:ascii="Arial" w:hAnsi="Arial" w:cs="Arial"/>
          <w:bCs/>
          <w:color w:val="000000"/>
          <w:lang w:val="en-GB" w:eastAsia="en-GB"/>
        </w:rPr>
        <w:t>Germany</w:t>
      </w:r>
      <w:r w:rsidRPr="00BE4B00">
        <w:rPr>
          <w:rFonts w:ascii="Arial" w:hAnsi="Arial" w:cs="Arial"/>
          <w:bCs/>
          <w:color w:val="000000"/>
          <w:lang w:val="en-GB" w:eastAsia="en-GB"/>
        </w:rPr>
        <w:t>)</w:t>
      </w:r>
      <w:r w:rsidRPr="00BE4B00">
        <w:rPr>
          <w:rStyle w:val="FootnoteReference"/>
          <w:rFonts w:ascii="Arial" w:hAnsi="Arial" w:cs="Arial"/>
          <w:bCs/>
          <w:color w:val="000000"/>
          <w:lang w:val="en-GB" w:eastAsia="en-GB"/>
        </w:rPr>
        <w:footnoteReference w:id="12"/>
      </w:r>
      <w:r w:rsidRPr="00BE4B00">
        <w:rPr>
          <w:rFonts w:ascii="Arial" w:hAnsi="Arial" w:cs="Arial"/>
          <w:bCs/>
          <w:color w:val="000000"/>
          <w:lang w:val="en-GB" w:eastAsia="en-GB"/>
        </w:rPr>
        <w:t xml:space="preserve"> or by simply referring to the (publicly available) L</w:t>
      </w:r>
      <w:r w:rsidR="0017725A">
        <w:rPr>
          <w:rFonts w:ascii="Arial" w:hAnsi="Arial" w:cs="Arial"/>
          <w:bCs/>
          <w:color w:val="000000"/>
          <w:lang w:val="en-GB" w:eastAsia="en-GB"/>
        </w:rPr>
        <w:t>RC</w:t>
      </w:r>
      <w:r w:rsidRPr="00BE4B00">
        <w:rPr>
          <w:rFonts w:ascii="Arial" w:hAnsi="Arial" w:cs="Arial"/>
          <w:bCs/>
          <w:color w:val="000000"/>
          <w:lang w:val="en-GB" w:eastAsia="en-GB"/>
        </w:rPr>
        <w:t xml:space="preserve"> (</w:t>
      </w:r>
      <w:r w:rsidR="0017725A">
        <w:rPr>
          <w:rFonts w:ascii="Arial" w:hAnsi="Arial" w:cs="Arial"/>
          <w:bCs/>
          <w:color w:val="000000"/>
          <w:lang w:val="en-GB" w:eastAsia="en-GB"/>
        </w:rPr>
        <w:t>the Netherlands</w:t>
      </w:r>
      <w:r w:rsidRPr="00BE4B00">
        <w:rPr>
          <w:rFonts w:ascii="Arial" w:hAnsi="Arial" w:cs="Arial"/>
          <w:bCs/>
          <w:color w:val="000000"/>
          <w:lang w:val="en-GB" w:eastAsia="en-GB"/>
        </w:rPr>
        <w:t xml:space="preserve">). </w:t>
      </w:r>
    </w:p>
    <w:p w:rsidR="00711A03" w:rsidRPr="00BE4B00" w:rsidRDefault="00711A03" w:rsidP="00776F7E">
      <w:pPr>
        <w:shd w:val="clear" w:color="auto" w:fill="FFFFFF"/>
        <w:spacing w:before="100" w:beforeAutospacing="1" w:after="100" w:afterAutospacing="1" w:line="240" w:lineRule="auto"/>
        <w:ind w:firstLine="708"/>
        <w:jc w:val="both"/>
        <w:outlineLvl w:val="2"/>
        <w:rPr>
          <w:rFonts w:ascii="Arial" w:hAnsi="Arial" w:cs="Arial"/>
          <w:bCs/>
          <w:color w:val="000000"/>
          <w:lang w:val="en-GB" w:eastAsia="en-GB"/>
        </w:rPr>
      </w:pPr>
    </w:p>
    <w:p w:rsidR="00711A03" w:rsidRPr="00BE4B00" w:rsidRDefault="00D25B04"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Pr>
          <w:noProof/>
          <w:lang w:val="en-GB" w:eastAsia="en-GB"/>
        </w:rPr>
        <w:drawing>
          <wp:anchor distT="0" distB="0" distL="114300" distR="114300" simplePos="0" relativeHeight="251657216" behindDoc="1" locked="0" layoutInCell="1" allowOverlap="1" wp14:anchorId="41EC0208" wp14:editId="1616CE17">
            <wp:simplePos x="0" y="0"/>
            <wp:positionH relativeFrom="column">
              <wp:posOffset>4223385</wp:posOffset>
            </wp:positionH>
            <wp:positionV relativeFrom="paragraph">
              <wp:posOffset>342265</wp:posOffset>
            </wp:positionV>
            <wp:extent cx="2152650" cy="1717040"/>
            <wp:effectExtent l="0" t="0" r="0" b="0"/>
            <wp:wrapTight wrapText="bothSides">
              <wp:wrapPolygon edited="0">
                <wp:start x="191" y="0"/>
                <wp:lineTo x="0" y="719"/>
                <wp:lineTo x="0" y="20849"/>
                <wp:lineTo x="191" y="21328"/>
                <wp:lineTo x="21218" y="21328"/>
                <wp:lineTo x="21409" y="20849"/>
                <wp:lineTo x="21409" y="719"/>
                <wp:lineTo x="21218" y="0"/>
                <wp:lineTo x="191" y="0"/>
              </wp:wrapPolygon>
            </wp:wrapTight>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2650" cy="171704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
          <w:bCs/>
          <w:color w:val="000000"/>
          <w:lang w:val="en-GB" w:eastAsia="en-GB"/>
        </w:rPr>
        <w:t>Q4. Are the same criteria applied across all faculties/departments/units of your institution?</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A total number </w:t>
      </w:r>
      <w:r w:rsidR="00B15C74">
        <w:rPr>
          <w:rFonts w:ascii="Arial" w:hAnsi="Arial" w:cs="Arial"/>
          <w:bCs/>
          <w:color w:val="000000"/>
          <w:lang w:val="en-GB" w:eastAsia="en-GB"/>
        </w:rPr>
        <w:t>of 71 institutions (82%) apply</w:t>
      </w:r>
      <w:r w:rsidRPr="00BE4B00">
        <w:rPr>
          <w:rFonts w:ascii="Arial" w:hAnsi="Arial" w:cs="Arial"/>
          <w:bCs/>
          <w:color w:val="000000"/>
          <w:lang w:val="en-GB" w:eastAsia="en-GB"/>
        </w:rPr>
        <w:t xml:space="preserve"> the same criteria across all faculties/departments/units while 16 HEIs (18%) may have different criteria applied by their constituent parts.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The same criteria are usually applied where there is a central administrative service (recognition office/admission office) at the institution. These centres run an administrative check (if documentation is complete, authentic) while the faculties/departments are consulted in terms of course</w:t>
      </w:r>
      <w:r w:rsidR="0070461A">
        <w:rPr>
          <w:rFonts w:ascii="Arial" w:hAnsi="Arial" w:cs="Arial"/>
          <w:bCs/>
          <w:color w:val="000000"/>
          <w:lang w:val="en-GB" w:eastAsia="en-GB"/>
        </w:rPr>
        <w:t>-</w:t>
      </w:r>
      <w:r w:rsidRPr="00BE4B00">
        <w:rPr>
          <w:rFonts w:ascii="Arial" w:hAnsi="Arial" w:cs="Arial"/>
          <w:bCs/>
          <w:color w:val="000000"/>
          <w:lang w:val="en-GB" w:eastAsia="en-GB"/>
        </w:rPr>
        <w:t xml:space="preserve">specific requirements and fulfilment of criteria.  There are, however differences in decision making responsibility. In some institutions </w:t>
      </w:r>
      <w:r w:rsidR="0070461A">
        <w:rPr>
          <w:rFonts w:ascii="Arial" w:hAnsi="Arial" w:cs="Arial"/>
          <w:bCs/>
          <w:color w:val="000000"/>
          <w:lang w:val="en-GB" w:eastAsia="en-GB"/>
        </w:rPr>
        <w:t xml:space="preserve">it </w:t>
      </w:r>
      <w:r w:rsidR="0070461A">
        <w:rPr>
          <w:rFonts w:ascii="Arial" w:hAnsi="Arial" w:cs="Arial"/>
          <w:bCs/>
          <w:color w:val="000000"/>
          <w:lang w:val="en-GB" w:eastAsia="en-GB"/>
        </w:rPr>
        <w:lastRenderedPageBreak/>
        <w:t xml:space="preserve">is the </w:t>
      </w:r>
      <w:r w:rsidRPr="00BE4B00">
        <w:rPr>
          <w:rFonts w:ascii="Arial" w:hAnsi="Arial" w:cs="Arial"/>
          <w:bCs/>
          <w:color w:val="000000"/>
          <w:lang w:val="en-GB" w:eastAsia="en-GB"/>
        </w:rPr>
        <w:t>facultie</w:t>
      </w:r>
      <w:r w:rsidR="00903860">
        <w:rPr>
          <w:rFonts w:ascii="Arial" w:hAnsi="Arial" w:cs="Arial"/>
          <w:bCs/>
          <w:color w:val="000000"/>
          <w:lang w:val="en-GB" w:eastAsia="en-GB"/>
        </w:rPr>
        <w:t xml:space="preserve">s/departments </w:t>
      </w:r>
      <w:r w:rsidR="0070461A">
        <w:rPr>
          <w:rFonts w:ascii="Arial" w:hAnsi="Arial" w:cs="Arial"/>
          <w:bCs/>
          <w:color w:val="000000"/>
          <w:lang w:val="en-GB" w:eastAsia="en-GB"/>
        </w:rPr>
        <w:t>which</w:t>
      </w:r>
      <w:r w:rsidR="00903860">
        <w:rPr>
          <w:rFonts w:ascii="Arial" w:hAnsi="Arial" w:cs="Arial"/>
          <w:bCs/>
          <w:color w:val="000000"/>
          <w:lang w:val="en-GB" w:eastAsia="en-GB"/>
        </w:rPr>
        <w:t xml:space="preserve"> take</w:t>
      </w:r>
      <w:r w:rsidRPr="00BE4B00">
        <w:rPr>
          <w:rFonts w:ascii="Arial" w:hAnsi="Arial" w:cs="Arial"/>
          <w:bCs/>
          <w:color w:val="000000"/>
          <w:lang w:val="en-GB" w:eastAsia="en-GB"/>
        </w:rPr>
        <w:t xml:space="preserve"> decisions</w:t>
      </w:r>
      <w:r w:rsidRPr="00BE4B00">
        <w:rPr>
          <w:rStyle w:val="FootnoteReference"/>
          <w:rFonts w:ascii="Arial" w:hAnsi="Arial" w:cs="Arial"/>
          <w:bCs/>
          <w:color w:val="000000"/>
          <w:lang w:val="en-GB" w:eastAsia="en-GB"/>
        </w:rPr>
        <w:footnoteReference w:id="13"/>
      </w:r>
      <w:r w:rsidRPr="00BE4B00">
        <w:rPr>
          <w:rFonts w:ascii="Arial" w:hAnsi="Arial" w:cs="Arial"/>
          <w:bCs/>
          <w:color w:val="000000"/>
          <w:lang w:val="en-GB" w:eastAsia="en-GB"/>
        </w:rPr>
        <w:t xml:space="preserve"> and in other</w:t>
      </w:r>
      <w:r w:rsidR="00903860">
        <w:rPr>
          <w:rFonts w:ascii="Arial" w:hAnsi="Arial" w:cs="Arial"/>
          <w:bCs/>
          <w:color w:val="000000"/>
          <w:lang w:val="en-GB" w:eastAsia="en-GB"/>
        </w:rPr>
        <w:t>s</w:t>
      </w:r>
      <w:r w:rsidRPr="00BE4B00">
        <w:rPr>
          <w:rFonts w:ascii="Arial" w:hAnsi="Arial" w:cs="Arial"/>
          <w:bCs/>
          <w:color w:val="000000"/>
          <w:lang w:val="en-GB" w:eastAsia="en-GB"/>
        </w:rPr>
        <w:t>, central offices</w:t>
      </w:r>
      <w:r w:rsidR="00903860">
        <w:rPr>
          <w:rFonts w:ascii="Arial" w:hAnsi="Arial" w:cs="Arial"/>
          <w:bCs/>
          <w:color w:val="000000"/>
          <w:lang w:val="en-GB" w:eastAsia="en-GB"/>
        </w:rPr>
        <w:t xml:space="preserve"> </w:t>
      </w:r>
      <w:r w:rsidR="00903860" w:rsidRPr="00BE4B00">
        <w:rPr>
          <w:rFonts w:ascii="Arial" w:hAnsi="Arial" w:cs="Arial"/>
          <w:bCs/>
          <w:color w:val="000000"/>
          <w:lang w:val="en-GB" w:eastAsia="en-GB"/>
        </w:rPr>
        <w:t>are the ones that decide</w:t>
      </w:r>
      <w:r w:rsidRPr="00BE4B00">
        <w:rPr>
          <w:rFonts w:ascii="Arial" w:hAnsi="Arial" w:cs="Arial"/>
          <w:bCs/>
          <w:color w:val="000000"/>
          <w:lang w:val="en-GB" w:eastAsia="en-GB"/>
        </w:rPr>
        <w:t xml:space="preserve">, although taking into account </w:t>
      </w:r>
      <w:r w:rsidR="00903860">
        <w:rPr>
          <w:rFonts w:ascii="Arial" w:hAnsi="Arial" w:cs="Arial"/>
          <w:bCs/>
          <w:color w:val="000000"/>
          <w:lang w:val="en-GB" w:eastAsia="en-GB"/>
        </w:rPr>
        <w:t xml:space="preserve">the </w:t>
      </w:r>
      <w:r w:rsidRPr="00BE4B00">
        <w:rPr>
          <w:rFonts w:ascii="Arial" w:hAnsi="Arial" w:cs="Arial"/>
          <w:bCs/>
          <w:color w:val="000000"/>
          <w:lang w:val="en-GB" w:eastAsia="en-GB"/>
        </w:rPr>
        <w:t>opini</w:t>
      </w:r>
      <w:r w:rsidR="00903860">
        <w:rPr>
          <w:rFonts w:ascii="Arial" w:hAnsi="Arial" w:cs="Arial"/>
          <w:bCs/>
          <w:color w:val="000000"/>
          <w:lang w:val="en-GB" w:eastAsia="en-GB"/>
        </w:rPr>
        <w:t>on of the faculties/departments</w:t>
      </w:r>
      <w:r w:rsidRPr="00BE4B00">
        <w:rPr>
          <w:rFonts w:ascii="Arial" w:hAnsi="Arial" w:cs="Arial"/>
          <w:bCs/>
          <w:color w:val="000000"/>
          <w:lang w:val="en-GB" w:eastAsia="en-GB"/>
        </w:rPr>
        <w:t xml:space="preserve">. </w:t>
      </w:r>
    </w:p>
    <w:p w:rsidR="00711A03" w:rsidRPr="00BE4B00" w:rsidRDefault="00711A03" w:rsidP="00192FAB">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In conclusion, </w:t>
      </w:r>
      <w:r w:rsidR="00903860">
        <w:rPr>
          <w:rFonts w:ascii="Arial" w:hAnsi="Arial" w:cs="Arial"/>
          <w:bCs/>
          <w:color w:val="000000"/>
          <w:lang w:val="en-GB" w:eastAsia="en-GB"/>
        </w:rPr>
        <w:t xml:space="preserve">the </w:t>
      </w:r>
      <w:r w:rsidRPr="00BE4B00">
        <w:rPr>
          <w:rFonts w:ascii="Arial" w:hAnsi="Arial" w:cs="Arial"/>
          <w:bCs/>
          <w:color w:val="000000"/>
          <w:lang w:val="en-GB" w:eastAsia="en-GB"/>
        </w:rPr>
        <w:t xml:space="preserve">majority of respondents </w:t>
      </w:r>
      <w:r w:rsidR="0070461A">
        <w:rPr>
          <w:rFonts w:ascii="Arial" w:hAnsi="Arial" w:cs="Arial"/>
          <w:bCs/>
          <w:color w:val="000000"/>
          <w:lang w:val="en-GB" w:eastAsia="en-GB"/>
        </w:rPr>
        <w:t>which</w:t>
      </w:r>
      <w:r w:rsidR="0070461A" w:rsidRPr="00BE4B00">
        <w:rPr>
          <w:rFonts w:ascii="Arial" w:hAnsi="Arial" w:cs="Arial"/>
          <w:bCs/>
          <w:color w:val="000000"/>
          <w:lang w:val="en-GB" w:eastAsia="en-GB"/>
        </w:rPr>
        <w:t xml:space="preserve"> </w:t>
      </w:r>
      <w:r w:rsidRPr="00BE4B00">
        <w:rPr>
          <w:rFonts w:ascii="Arial" w:hAnsi="Arial" w:cs="Arial"/>
          <w:bCs/>
          <w:color w:val="000000"/>
          <w:lang w:val="en-GB" w:eastAsia="en-GB"/>
        </w:rPr>
        <w:t>provided an additiona</w:t>
      </w:r>
      <w:r w:rsidR="00221C18">
        <w:rPr>
          <w:rFonts w:ascii="Arial" w:hAnsi="Arial" w:cs="Arial"/>
          <w:bCs/>
          <w:color w:val="000000"/>
          <w:lang w:val="en-GB" w:eastAsia="en-GB"/>
        </w:rPr>
        <w:t>l explanation of their replies (</w:t>
      </w:r>
      <w:r w:rsidRPr="00BE4B00">
        <w:rPr>
          <w:rFonts w:ascii="Arial" w:hAnsi="Arial" w:cs="Arial"/>
          <w:bCs/>
          <w:color w:val="000000"/>
          <w:lang w:val="en-GB" w:eastAsia="en-GB"/>
        </w:rPr>
        <w:t>no matter whether they replied positively or negatively</w:t>
      </w:r>
      <w:r w:rsidRPr="00BE4B00">
        <w:rPr>
          <w:rStyle w:val="FootnoteReference"/>
          <w:rFonts w:ascii="Arial" w:hAnsi="Arial" w:cs="Arial"/>
          <w:bCs/>
          <w:color w:val="000000"/>
          <w:lang w:val="en-GB" w:eastAsia="en-GB"/>
        </w:rPr>
        <w:footnoteReference w:id="14"/>
      </w:r>
      <w:r w:rsidR="00221C18">
        <w:rPr>
          <w:rFonts w:ascii="Arial" w:hAnsi="Arial" w:cs="Arial"/>
          <w:bCs/>
          <w:color w:val="000000"/>
          <w:lang w:val="en-GB" w:eastAsia="en-GB"/>
        </w:rPr>
        <w:t>)</w:t>
      </w:r>
      <w:r w:rsidRPr="00BE4B00">
        <w:rPr>
          <w:rFonts w:ascii="Arial" w:hAnsi="Arial" w:cs="Arial"/>
          <w:bCs/>
          <w:color w:val="000000"/>
          <w:lang w:val="en-GB" w:eastAsia="en-GB"/>
        </w:rPr>
        <w:t xml:space="preserve"> when answering the question on having the same criteria across all units, replied that it was up to the faculty to decide on specific entry requirements for each of the programmes. Some respondents referred to language requirements that may be different depending on the study programme</w:t>
      </w:r>
      <w:r w:rsidR="00B15C74">
        <w:rPr>
          <w:rFonts w:ascii="Arial" w:hAnsi="Arial" w:cs="Arial"/>
          <w:bCs/>
          <w:color w:val="000000"/>
          <w:lang w:val="en-GB" w:eastAsia="en-GB"/>
        </w:rPr>
        <w:t>.</w:t>
      </w:r>
    </w:p>
    <w:p w:rsidR="00711A03" w:rsidRPr="00BE4B00" w:rsidRDefault="00711A03" w:rsidP="00776F7E">
      <w:pPr>
        <w:tabs>
          <w:tab w:val="left" w:pos="1200"/>
        </w:tabs>
        <w:spacing w:before="100" w:beforeAutospacing="1" w:after="100" w:afterAutospacing="1" w:line="240" w:lineRule="auto"/>
        <w:jc w:val="both"/>
        <w:rPr>
          <w:rFonts w:ascii="Arial" w:hAnsi="Arial" w:cs="Arial"/>
          <w:lang w:val="en-GB" w:eastAsia="en-GB"/>
        </w:rPr>
      </w:pPr>
      <w:r w:rsidRPr="00BE4B00">
        <w:rPr>
          <w:rFonts w:ascii="Arial" w:hAnsi="Arial" w:cs="Arial"/>
          <w:lang w:val="en-GB" w:eastAsia="en-GB"/>
        </w:rPr>
        <w:tab/>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Q5. Are the criteria different for domestic degrees?</w:t>
      </w:r>
    </w:p>
    <w:p w:rsidR="00711A03" w:rsidRPr="00BE4B00" w:rsidRDefault="00D25B04" w:rsidP="00776F7E">
      <w:pPr>
        <w:shd w:val="clear" w:color="auto" w:fill="FFFFFF"/>
        <w:spacing w:before="100" w:beforeAutospacing="1" w:after="100" w:afterAutospacing="1" w:line="240" w:lineRule="auto"/>
        <w:jc w:val="both"/>
        <w:outlineLvl w:val="2"/>
        <w:rPr>
          <w:rFonts w:ascii="Arial" w:hAnsi="Arial" w:cs="Arial"/>
          <w:color w:val="000000"/>
          <w:lang w:val="en-GB" w:eastAsia="en-GB"/>
        </w:rPr>
      </w:pPr>
      <w:r>
        <w:rPr>
          <w:noProof/>
          <w:lang w:val="en-GB" w:eastAsia="en-GB"/>
        </w:rPr>
        <w:drawing>
          <wp:anchor distT="0" distB="0" distL="114300" distR="114300" simplePos="0" relativeHeight="251658240" behindDoc="1" locked="0" layoutInCell="1" allowOverlap="1" wp14:anchorId="03ED1263" wp14:editId="38E72520">
            <wp:simplePos x="0" y="0"/>
            <wp:positionH relativeFrom="column">
              <wp:posOffset>4569460</wp:posOffset>
            </wp:positionH>
            <wp:positionV relativeFrom="paragraph">
              <wp:posOffset>29210</wp:posOffset>
            </wp:positionV>
            <wp:extent cx="1810385" cy="1584960"/>
            <wp:effectExtent l="0" t="0" r="0" b="0"/>
            <wp:wrapTight wrapText="bothSides">
              <wp:wrapPolygon edited="0">
                <wp:start x="227" y="0"/>
                <wp:lineTo x="0" y="779"/>
                <wp:lineTo x="0" y="20769"/>
                <wp:lineTo x="227" y="21288"/>
                <wp:lineTo x="21138" y="21288"/>
                <wp:lineTo x="21365" y="20769"/>
                <wp:lineTo x="21365" y="779"/>
                <wp:lineTo x="21138" y="0"/>
                <wp:lineTo x="227" y="0"/>
              </wp:wrapPolygon>
            </wp:wrapTight>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0385" cy="158496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A total number of 72 institutions (83%) apply the same criteria for domestic degrees, while 15 HEIs (17%) may have different criteria applied to domestic degrees.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Cs/>
          <w:color w:val="000000"/>
          <w:lang w:val="en-GB" w:eastAsia="en-GB"/>
        </w:rPr>
        <w:t xml:space="preserve">Those respondents who explained the difference in criteria applied to international qualifications in comparison to domestic degrees referred sometimes to procedural differences, not only to differences in criteria. For example, fraud check is not applied for domestic degrees </w:t>
      </w:r>
      <w:r w:rsidR="00A84C62">
        <w:rPr>
          <w:rFonts w:ascii="Arial" w:hAnsi="Arial" w:cs="Arial"/>
          <w:bCs/>
          <w:color w:val="000000"/>
          <w:lang w:val="en-GB" w:eastAsia="en-GB"/>
        </w:rPr>
        <w:t>at a university in</w:t>
      </w:r>
      <w:r w:rsidRPr="00BE4B00">
        <w:rPr>
          <w:rFonts w:ascii="Arial" w:hAnsi="Arial" w:cs="Arial"/>
          <w:bCs/>
          <w:color w:val="000000"/>
          <w:lang w:val="en-GB" w:eastAsia="en-GB"/>
        </w:rPr>
        <w:t xml:space="preserve"> B</w:t>
      </w:r>
      <w:r w:rsidR="0017725A">
        <w:rPr>
          <w:rFonts w:ascii="Arial" w:hAnsi="Arial" w:cs="Arial"/>
          <w:bCs/>
          <w:color w:val="000000"/>
          <w:lang w:val="en-GB" w:eastAsia="en-GB"/>
        </w:rPr>
        <w:t>elgium (Flemish Community)</w:t>
      </w:r>
      <w:r w:rsidRPr="00BE4B00">
        <w:rPr>
          <w:rFonts w:ascii="Arial" w:hAnsi="Arial" w:cs="Arial"/>
          <w:bCs/>
          <w:color w:val="000000"/>
          <w:lang w:val="en-GB" w:eastAsia="en-GB"/>
        </w:rPr>
        <w:t xml:space="preserve">; </w:t>
      </w:r>
      <w:r w:rsidR="00585281">
        <w:rPr>
          <w:rFonts w:ascii="Arial" w:hAnsi="Arial" w:cs="Arial"/>
          <w:bCs/>
          <w:color w:val="000000"/>
          <w:lang w:val="en-GB" w:eastAsia="en-GB"/>
        </w:rPr>
        <w:t xml:space="preserve">an </w:t>
      </w:r>
      <w:r w:rsidRPr="00BE4B00">
        <w:rPr>
          <w:rFonts w:ascii="Arial" w:hAnsi="Arial" w:cs="Arial"/>
          <w:bCs/>
          <w:color w:val="000000"/>
          <w:lang w:val="en-GB" w:eastAsia="en-GB"/>
        </w:rPr>
        <w:t xml:space="preserve">admission procedure is not necessary for domestic degrees since it is known in advance which degrees are acceptable for which </w:t>
      </w:r>
      <w:r w:rsidR="007B3190">
        <w:rPr>
          <w:rFonts w:ascii="Arial" w:hAnsi="Arial" w:cs="Arial"/>
          <w:bCs/>
          <w:color w:val="000000"/>
          <w:lang w:val="en-GB" w:eastAsia="en-GB"/>
        </w:rPr>
        <w:t>M</w:t>
      </w:r>
      <w:r w:rsidRPr="00BE4B00">
        <w:rPr>
          <w:rFonts w:ascii="Arial" w:hAnsi="Arial" w:cs="Arial"/>
          <w:bCs/>
          <w:color w:val="000000"/>
          <w:lang w:val="en-GB" w:eastAsia="en-GB"/>
        </w:rPr>
        <w:t>aster course (B</w:t>
      </w:r>
      <w:r w:rsidR="0017725A">
        <w:rPr>
          <w:rFonts w:ascii="Arial" w:hAnsi="Arial" w:cs="Arial"/>
          <w:bCs/>
          <w:color w:val="000000"/>
          <w:lang w:val="en-GB" w:eastAsia="en-GB"/>
        </w:rPr>
        <w:t>elgium (Flemish Community) and Belgium (French Community)</w:t>
      </w:r>
      <w:r w:rsidRPr="00BE4B00">
        <w:rPr>
          <w:rFonts w:ascii="Arial" w:hAnsi="Arial" w:cs="Arial"/>
          <w:bCs/>
          <w:color w:val="000000"/>
          <w:lang w:val="en-GB" w:eastAsia="en-GB"/>
        </w:rPr>
        <w:t xml:space="preserve">; </w:t>
      </w:r>
      <w:r w:rsidR="00585281">
        <w:rPr>
          <w:rFonts w:ascii="Arial" w:hAnsi="Arial" w:cs="Arial"/>
          <w:bCs/>
          <w:color w:val="000000"/>
          <w:lang w:val="en-GB" w:eastAsia="en-GB"/>
        </w:rPr>
        <w:t xml:space="preserve">a </w:t>
      </w:r>
      <w:r w:rsidRPr="00BE4B00">
        <w:rPr>
          <w:rFonts w:ascii="Arial" w:hAnsi="Arial" w:cs="Arial"/>
          <w:bCs/>
          <w:color w:val="000000"/>
          <w:lang w:val="en-GB" w:eastAsia="en-GB"/>
        </w:rPr>
        <w:t xml:space="preserve">formal recognition procedure </w:t>
      </w:r>
      <w:r w:rsidR="007B3190">
        <w:rPr>
          <w:rFonts w:ascii="Arial" w:hAnsi="Arial" w:cs="Arial"/>
          <w:bCs/>
          <w:color w:val="000000"/>
          <w:lang w:val="en-GB" w:eastAsia="en-GB"/>
        </w:rPr>
        <w:t>is</w:t>
      </w:r>
      <w:r w:rsidRPr="00BE4B00">
        <w:rPr>
          <w:rFonts w:ascii="Arial" w:hAnsi="Arial" w:cs="Arial"/>
          <w:bCs/>
          <w:color w:val="000000"/>
          <w:lang w:val="en-GB" w:eastAsia="en-GB"/>
        </w:rPr>
        <w:t xml:space="preserve"> not needed for domestic qualifications (</w:t>
      </w:r>
      <w:r w:rsidR="0017725A">
        <w:rPr>
          <w:rFonts w:ascii="Arial" w:hAnsi="Arial" w:cs="Arial"/>
          <w:bCs/>
          <w:color w:val="000000"/>
          <w:lang w:val="en-GB" w:eastAsia="en-GB"/>
        </w:rPr>
        <w:t>Croatia</w:t>
      </w:r>
      <w:r w:rsidRPr="00BE4B00">
        <w:rPr>
          <w:rFonts w:ascii="Arial" w:hAnsi="Arial" w:cs="Arial"/>
          <w:bCs/>
          <w:color w:val="000000"/>
          <w:lang w:val="en-GB" w:eastAsia="en-GB"/>
        </w:rPr>
        <w:t xml:space="preserve">, </w:t>
      </w:r>
      <w:r w:rsidR="0017725A">
        <w:rPr>
          <w:rFonts w:ascii="Arial" w:hAnsi="Arial" w:cs="Arial"/>
          <w:bCs/>
          <w:color w:val="000000"/>
          <w:lang w:val="en-GB" w:eastAsia="en-GB"/>
        </w:rPr>
        <w:t>Estonia</w:t>
      </w:r>
      <w:r w:rsidRPr="00BE4B00">
        <w:rPr>
          <w:rFonts w:ascii="Arial" w:hAnsi="Arial" w:cs="Arial"/>
          <w:bCs/>
          <w:color w:val="000000"/>
          <w:lang w:val="en-GB" w:eastAsia="en-GB"/>
        </w:rPr>
        <w:t xml:space="preserve">) </w:t>
      </w:r>
      <w:r w:rsidR="00585281">
        <w:rPr>
          <w:rFonts w:ascii="Arial" w:hAnsi="Arial" w:cs="Arial"/>
          <w:bCs/>
          <w:color w:val="000000"/>
          <w:lang w:val="en-GB" w:eastAsia="en-GB"/>
        </w:rPr>
        <w:t>nor is</w:t>
      </w:r>
      <w:r w:rsidRPr="00BE4B00">
        <w:rPr>
          <w:rFonts w:ascii="Arial" w:hAnsi="Arial" w:cs="Arial"/>
          <w:bCs/>
          <w:color w:val="000000"/>
          <w:lang w:val="en-GB" w:eastAsia="en-GB"/>
        </w:rPr>
        <w:t xml:space="preserve"> translation of documents in the national language (</w:t>
      </w:r>
      <w:r w:rsidR="0017725A">
        <w:rPr>
          <w:rFonts w:ascii="Arial" w:hAnsi="Arial" w:cs="Arial"/>
          <w:bCs/>
          <w:color w:val="000000"/>
          <w:lang w:val="en-GB" w:eastAsia="en-GB"/>
        </w:rPr>
        <w:t>Croatia</w:t>
      </w:r>
      <w:r w:rsidRPr="00BE4B00">
        <w:rPr>
          <w:rFonts w:ascii="Arial" w:hAnsi="Arial" w:cs="Arial"/>
          <w:bCs/>
          <w:color w:val="000000"/>
          <w:lang w:val="en-GB" w:eastAsia="en-GB"/>
        </w:rPr>
        <w:t>); national language requirements are not put before those with domestic qualifications (</w:t>
      </w:r>
      <w:r w:rsidR="0017725A">
        <w:rPr>
          <w:rFonts w:ascii="Arial" w:hAnsi="Arial" w:cs="Arial"/>
          <w:bCs/>
          <w:color w:val="000000"/>
          <w:lang w:val="en-GB" w:eastAsia="en-GB"/>
        </w:rPr>
        <w:t>Germany</w:t>
      </w:r>
      <w:r w:rsidRPr="00BE4B00">
        <w:rPr>
          <w:rFonts w:ascii="Arial" w:hAnsi="Arial" w:cs="Arial"/>
          <w:bCs/>
          <w:color w:val="000000"/>
          <w:lang w:val="en-GB" w:eastAsia="en-GB"/>
        </w:rPr>
        <w:t>)</w:t>
      </w:r>
      <w:r>
        <w:rPr>
          <w:rFonts w:ascii="Arial" w:hAnsi="Arial" w:cs="Arial"/>
          <w:bCs/>
          <w:color w:val="000000"/>
          <w:lang w:val="en-GB" w:eastAsia="en-GB"/>
        </w:rPr>
        <w:t>,</w:t>
      </w:r>
      <w:r w:rsidRPr="00BE4B00">
        <w:rPr>
          <w:rFonts w:ascii="Arial" w:hAnsi="Arial" w:cs="Arial"/>
          <w:bCs/>
          <w:color w:val="000000"/>
          <w:lang w:val="en-GB" w:eastAsia="en-GB"/>
        </w:rPr>
        <w:t xml:space="preserve"> and </w:t>
      </w:r>
      <w:r w:rsidR="00585281">
        <w:rPr>
          <w:rFonts w:ascii="Arial" w:hAnsi="Arial" w:cs="Arial"/>
          <w:bCs/>
          <w:color w:val="000000"/>
          <w:lang w:val="en-GB" w:eastAsia="en-GB"/>
        </w:rPr>
        <w:t xml:space="preserve">an </w:t>
      </w:r>
      <w:r w:rsidRPr="00BE4B00">
        <w:rPr>
          <w:rFonts w:ascii="Arial" w:hAnsi="Arial" w:cs="Arial"/>
          <w:bCs/>
          <w:color w:val="000000"/>
          <w:lang w:val="en-GB" w:eastAsia="en-GB"/>
        </w:rPr>
        <w:t>English proficiency test is not applicable</w:t>
      </w:r>
      <w:r w:rsidRPr="00BE4B00">
        <w:rPr>
          <w:rFonts w:ascii="Arial" w:hAnsi="Arial" w:cs="Arial"/>
          <w:lang w:val="en-GB"/>
        </w:rPr>
        <w:t xml:space="preserve"> </w:t>
      </w:r>
      <w:r w:rsidRPr="00BE4B00">
        <w:rPr>
          <w:rFonts w:ascii="Arial" w:hAnsi="Arial" w:cs="Arial"/>
          <w:bCs/>
          <w:color w:val="000000"/>
          <w:lang w:val="en-GB" w:eastAsia="en-GB"/>
        </w:rPr>
        <w:t>to nationals (D</w:t>
      </w:r>
      <w:r w:rsidR="0017725A">
        <w:rPr>
          <w:rFonts w:ascii="Arial" w:hAnsi="Arial" w:cs="Arial"/>
          <w:bCs/>
          <w:color w:val="000000"/>
          <w:lang w:val="en-GB" w:eastAsia="en-GB"/>
        </w:rPr>
        <w:t>enmark</w:t>
      </w:r>
      <w:r w:rsidRPr="00BE4B00">
        <w:rPr>
          <w:rFonts w:ascii="Arial" w:hAnsi="Arial" w:cs="Arial"/>
          <w:bCs/>
          <w:color w:val="000000"/>
          <w:lang w:val="en-GB" w:eastAsia="en-GB"/>
        </w:rPr>
        <w:t xml:space="preserve">).   </w:t>
      </w:r>
    </w:p>
    <w:p w:rsidR="00711A03"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D25B04"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Pr>
          <w:noProof/>
          <w:lang w:val="en-GB" w:eastAsia="en-GB"/>
        </w:rPr>
        <w:drawing>
          <wp:anchor distT="0" distB="0" distL="114300" distR="114300" simplePos="0" relativeHeight="251655168" behindDoc="1" locked="0" layoutInCell="1" allowOverlap="1" wp14:anchorId="16880934" wp14:editId="7BD5DBCA">
            <wp:simplePos x="0" y="0"/>
            <wp:positionH relativeFrom="column">
              <wp:posOffset>4206875</wp:posOffset>
            </wp:positionH>
            <wp:positionV relativeFrom="paragraph">
              <wp:posOffset>476885</wp:posOffset>
            </wp:positionV>
            <wp:extent cx="1941830" cy="1601470"/>
            <wp:effectExtent l="0" t="0" r="1270" b="0"/>
            <wp:wrapTight wrapText="bothSides">
              <wp:wrapPolygon edited="0">
                <wp:start x="212" y="0"/>
                <wp:lineTo x="0" y="771"/>
                <wp:lineTo x="0" y="20812"/>
                <wp:lineTo x="212" y="21326"/>
                <wp:lineTo x="21190" y="21326"/>
                <wp:lineTo x="21402" y="20812"/>
                <wp:lineTo x="21402" y="771"/>
                <wp:lineTo x="21190" y="0"/>
                <wp:lineTo x="212" y="0"/>
              </wp:wrapPolygon>
            </wp:wrapTight>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1830" cy="160147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
          <w:bCs/>
          <w:color w:val="000000"/>
          <w:lang w:val="en-GB" w:eastAsia="en-GB"/>
        </w:rPr>
        <w:t>Q6. Is the access and admission process centralised (to a single recognition officer or recognition office) or are individual academics/departments responsible for admission to their courses?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A total of 25 institutions (2</w:t>
      </w:r>
      <w:r w:rsidR="00A84C62">
        <w:rPr>
          <w:rFonts w:ascii="Arial" w:hAnsi="Arial" w:cs="Arial"/>
          <w:bCs/>
          <w:color w:val="000000"/>
          <w:lang w:val="en-GB" w:eastAsia="en-GB"/>
        </w:rPr>
        <w:t>9</w:t>
      </w:r>
      <w:r w:rsidRPr="00BE4B00">
        <w:rPr>
          <w:rFonts w:ascii="Arial" w:hAnsi="Arial" w:cs="Arial"/>
          <w:bCs/>
          <w:color w:val="000000"/>
          <w:lang w:val="en-GB" w:eastAsia="en-GB"/>
        </w:rPr>
        <w:t xml:space="preserve">%) have </w:t>
      </w:r>
      <w:r w:rsidR="0009507D">
        <w:rPr>
          <w:rFonts w:ascii="Arial" w:hAnsi="Arial" w:cs="Arial"/>
          <w:bCs/>
          <w:color w:val="000000"/>
          <w:lang w:val="en-GB" w:eastAsia="en-GB"/>
        </w:rPr>
        <w:t xml:space="preserve">a </w:t>
      </w:r>
      <w:r w:rsidRPr="00BE4B00">
        <w:rPr>
          <w:rFonts w:ascii="Arial" w:hAnsi="Arial" w:cs="Arial"/>
          <w:bCs/>
          <w:color w:val="000000"/>
          <w:lang w:val="en-GB" w:eastAsia="en-GB"/>
        </w:rPr>
        <w:t>decentralised</w:t>
      </w:r>
      <w:r w:rsidR="00585281">
        <w:rPr>
          <w:rFonts w:ascii="Arial" w:hAnsi="Arial" w:cs="Arial"/>
          <w:bCs/>
          <w:color w:val="000000"/>
          <w:lang w:val="en-GB" w:eastAsia="en-GB"/>
        </w:rPr>
        <w:t xml:space="preserve"> process</w:t>
      </w:r>
      <w:r w:rsidRPr="00BE4B00">
        <w:rPr>
          <w:rFonts w:ascii="Arial" w:hAnsi="Arial" w:cs="Arial"/>
          <w:bCs/>
          <w:color w:val="000000"/>
          <w:lang w:val="en-GB" w:eastAsia="en-GB"/>
        </w:rPr>
        <w:t xml:space="preserve">, while 62 HEIs (71%) have </w:t>
      </w:r>
      <w:r w:rsidR="0009507D">
        <w:rPr>
          <w:rFonts w:ascii="Arial" w:hAnsi="Arial" w:cs="Arial"/>
          <w:bCs/>
          <w:color w:val="000000"/>
          <w:lang w:val="en-GB" w:eastAsia="en-GB"/>
        </w:rPr>
        <w:t xml:space="preserve">a </w:t>
      </w:r>
      <w:r w:rsidRPr="00BE4B00">
        <w:rPr>
          <w:rFonts w:ascii="Arial" w:hAnsi="Arial" w:cs="Arial"/>
          <w:bCs/>
          <w:color w:val="000000"/>
          <w:lang w:val="en-GB" w:eastAsia="en-GB"/>
        </w:rPr>
        <w:t>centralised admission process.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In general, in those institutions where there is a separate recognition (access) and admission procedure</w:t>
      </w:r>
      <w:r w:rsidRPr="00BE4B00">
        <w:rPr>
          <w:rStyle w:val="FootnoteReference"/>
          <w:rFonts w:ascii="Arial" w:hAnsi="Arial" w:cs="Arial"/>
          <w:bCs/>
          <w:color w:val="000000"/>
          <w:lang w:val="en-GB" w:eastAsia="en-GB"/>
        </w:rPr>
        <w:footnoteReference w:id="15"/>
      </w:r>
      <w:r w:rsidRPr="00BE4B00">
        <w:rPr>
          <w:rFonts w:ascii="Arial" w:hAnsi="Arial" w:cs="Arial"/>
          <w:bCs/>
          <w:color w:val="000000"/>
          <w:lang w:val="en-GB" w:eastAsia="en-GB"/>
        </w:rPr>
        <w:t>, central student administrative services are responsible for the administrative aspects of the recognition procedure</w:t>
      </w:r>
      <w:r w:rsidR="00585281">
        <w:rPr>
          <w:rFonts w:ascii="Arial" w:hAnsi="Arial" w:cs="Arial"/>
          <w:bCs/>
          <w:color w:val="000000"/>
          <w:lang w:val="en-GB" w:eastAsia="en-GB"/>
        </w:rPr>
        <w:t>,</w:t>
      </w:r>
      <w:r w:rsidRPr="00BE4B00">
        <w:rPr>
          <w:rFonts w:ascii="Arial" w:hAnsi="Arial" w:cs="Arial"/>
          <w:bCs/>
          <w:color w:val="000000"/>
          <w:lang w:val="en-GB" w:eastAsia="en-GB"/>
        </w:rPr>
        <w:t xml:space="preserve"> and faculties/departments are responsible for admittance</w:t>
      </w:r>
      <w:r>
        <w:rPr>
          <w:rFonts w:ascii="Arial" w:hAnsi="Arial" w:cs="Arial"/>
          <w:bCs/>
          <w:color w:val="000000"/>
          <w:lang w:val="en-GB" w:eastAsia="en-GB"/>
        </w:rPr>
        <w:t xml:space="preserve">/admission </w:t>
      </w:r>
      <w:r w:rsidRPr="00BE4B00">
        <w:rPr>
          <w:rFonts w:ascii="Arial" w:hAnsi="Arial" w:cs="Arial"/>
          <w:bCs/>
          <w:color w:val="000000"/>
          <w:lang w:val="en-GB" w:eastAsia="en-GB"/>
        </w:rPr>
        <w:t>decision (</w:t>
      </w:r>
      <w:r w:rsidR="0017725A">
        <w:rPr>
          <w:rFonts w:ascii="Arial" w:hAnsi="Arial" w:cs="Arial"/>
          <w:bCs/>
          <w:color w:val="000000"/>
          <w:lang w:val="en-GB" w:eastAsia="en-GB"/>
        </w:rPr>
        <w:t>Croatia, Estonia, the Netherlands, Sweden</w:t>
      </w:r>
      <w:r w:rsidRPr="00BE4B00">
        <w:rPr>
          <w:rFonts w:ascii="Arial" w:hAnsi="Arial" w:cs="Arial"/>
          <w:bCs/>
          <w:color w:val="000000"/>
          <w:lang w:val="en-GB" w:eastAsia="en-GB"/>
        </w:rPr>
        <w:t xml:space="preserve">). In the institutions where there is no difference between </w:t>
      </w:r>
      <w:r w:rsidR="0009507D">
        <w:rPr>
          <w:rFonts w:ascii="Arial" w:hAnsi="Arial" w:cs="Arial"/>
          <w:bCs/>
          <w:color w:val="000000"/>
          <w:lang w:val="en-GB" w:eastAsia="en-GB"/>
        </w:rPr>
        <w:t xml:space="preserve">a </w:t>
      </w:r>
      <w:r w:rsidRPr="00BE4B00">
        <w:rPr>
          <w:rFonts w:ascii="Arial" w:hAnsi="Arial" w:cs="Arial"/>
          <w:bCs/>
          <w:color w:val="000000"/>
          <w:lang w:val="en-GB" w:eastAsia="en-GB"/>
        </w:rPr>
        <w:t>recognition (access) and</w:t>
      </w:r>
      <w:r w:rsidR="0009507D">
        <w:rPr>
          <w:rFonts w:ascii="Arial" w:hAnsi="Arial" w:cs="Arial"/>
          <w:bCs/>
          <w:color w:val="000000"/>
          <w:lang w:val="en-GB" w:eastAsia="en-GB"/>
        </w:rPr>
        <w:t xml:space="preserve"> an</w:t>
      </w:r>
      <w:r w:rsidRPr="00BE4B00">
        <w:rPr>
          <w:rFonts w:ascii="Arial" w:hAnsi="Arial" w:cs="Arial"/>
          <w:bCs/>
          <w:color w:val="000000"/>
          <w:lang w:val="en-GB" w:eastAsia="en-GB"/>
        </w:rPr>
        <w:t xml:space="preserve"> admission administrative procedure</w:t>
      </w:r>
      <w:r w:rsidR="0009507D">
        <w:rPr>
          <w:rFonts w:ascii="Arial" w:hAnsi="Arial" w:cs="Arial"/>
          <w:bCs/>
          <w:color w:val="000000"/>
          <w:lang w:val="en-GB" w:eastAsia="en-GB"/>
        </w:rPr>
        <w:t xml:space="preserve">, the </w:t>
      </w:r>
      <w:r w:rsidR="0009507D">
        <w:rPr>
          <w:rFonts w:ascii="Arial" w:hAnsi="Arial" w:cs="Arial"/>
          <w:bCs/>
          <w:color w:val="000000"/>
          <w:lang w:val="en-GB" w:eastAsia="en-GB"/>
        </w:rPr>
        <w:lastRenderedPageBreak/>
        <w:t>process</w:t>
      </w:r>
      <w:r w:rsidRPr="00BE4B00">
        <w:rPr>
          <w:rFonts w:ascii="Arial" w:hAnsi="Arial" w:cs="Arial"/>
          <w:bCs/>
          <w:color w:val="000000"/>
          <w:lang w:val="en-GB" w:eastAsia="en-GB"/>
        </w:rPr>
        <w:t xml:space="preserve"> is done centrally while the faculties need to give their consent (B</w:t>
      </w:r>
      <w:r w:rsidR="0017725A">
        <w:rPr>
          <w:rFonts w:ascii="Arial" w:hAnsi="Arial" w:cs="Arial"/>
          <w:bCs/>
          <w:color w:val="000000"/>
          <w:lang w:val="en-GB" w:eastAsia="en-GB"/>
        </w:rPr>
        <w:t>elgium (Flemish Community)</w:t>
      </w:r>
      <w:r>
        <w:rPr>
          <w:rFonts w:ascii="Arial" w:hAnsi="Arial" w:cs="Arial"/>
          <w:bCs/>
          <w:color w:val="000000"/>
          <w:lang w:val="en-GB" w:eastAsia="en-GB"/>
        </w:rPr>
        <w:t xml:space="preserve">, generally the case for </w:t>
      </w:r>
      <w:r w:rsidR="0017725A">
        <w:rPr>
          <w:rFonts w:ascii="Arial" w:hAnsi="Arial" w:cs="Arial"/>
          <w:bCs/>
          <w:color w:val="000000"/>
          <w:lang w:val="en-GB" w:eastAsia="en-GB"/>
        </w:rPr>
        <w:t>Belgium (</w:t>
      </w:r>
      <w:proofErr w:type="spellStart"/>
      <w:r w:rsidR="0017725A">
        <w:rPr>
          <w:rFonts w:ascii="Arial" w:hAnsi="Arial" w:cs="Arial"/>
          <w:bCs/>
          <w:color w:val="000000"/>
          <w:lang w:val="en-GB" w:eastAsia="en-GB"/>
        </w:rPr>
        <w:t>Frenhc</w:t>
      </w:r>
      <w:proofErr w:type="spellEnd"/>
      <w:r w:rsidR="0017725A">
        <w:rPr>
          <w:rFonts w:ascii="Arial" w:hAnsi="Arial" w:cs="Arial"/>
          <w:bCs/>
          <w:color w:val="000000"/>
          <w:lang w:val="en-GB" w:eastAsia="en-GB"/>
        </w:rPr>
        <w:t xml:space="preserve"> Community)</w:t>
      </w:r>
      <w:r>
        <w:rPr>
          <w:rFonts w:ascii="Arial" w:hAnsi="Arial" w:cs="Arial"/>
          <w:bCs/>
          <w:color w:val="000000"/>
          <w:lang w:val="en-GB" w:eastAsia="en-GB"/>
        </w:rPr>
        <w:t xml:space="preserve"> too</w:t>
      </w:r>
      <w:r w:rsidR="0009507D">
        <w:rPr>
          <w:rFonts w:ascii="Arial" w:hAnsi="Arial" w:cs="Arial"/>
          <w:bCs/>
          <w:color w:val="000000"/>
          <w:lang w:val="en-GB" w:eastAsia="en-GB"/>
        </w:rPr>
        <w:t>) or opinion (</w:t>
      </w:r>
      <w:r w:rsidR="0017725A">
        <w:rPr>
          <w:rFonts w:ascii="Arial" w:hAnsi="Arial" w:cs="Arial"/>
          <w:bCs/>
          <w:color w:val="000000"/>
          <w:lang w:val="en-GB" w:eastAsia="en-GB"/>
        </w:rPr>
        <w:t>Germany</w:t>
      </w:r>
      <w:r w:rsidR="0009507D">
        <w:rPr>
          <w:rFonts w:ascii="Arial" w:hAnsi="Arial" w:cs="Arial"/>
          <w:bCs/>
          <w:color w:val="000000"/>
          <w:lang w:val="en-GB" w:eastAsia="en-GB"/>
        </w:rPr>
        <w:t>) to admission</w:t>
      </w:r>
      <w:r w:rsidRPr="00BE4B00">
        <w:rPr>
          <w:rFonts w:ascii="Arial" w:hAnsi="Arial" w:cs="Arial"/>
          <w:bCs/>
          <w:color w:val="000000"/>
          <w:lang w:val="en-GB" w:eastAsia="en-GB"/>
        </w:rPr>
        <w:t xml:space="preserve"> or examination boards</w:t>
      </w:r>
      <w:r w:rsidR="0009507D">
        <w:rPr>
          <w:rFonts w:ascii="Arial" w:hAnsi="Arial" w:cs="Arial"/>
          <w:bCs/>
          <w:color w:val="000000"/>
          <w:lang w:val="en-GB" w:eastAsia="en-GB"/>
        </w:rPr>
        <w:t>, who</w:t>
      </w:r>
      <w:r w:rsidRPr="00BE4B00">
        <w:rPr>
          <w:rFonts w:ascii="Arial" w:hAnsi="Arial" w:cs="Arial"/>
          <w:bCs/>
          <w:color w:val="000000"/>
          <w:lang w:val="en-GB" w:eastAsia="en-GB"/>
        </w:rPr>
        <w:t xml:space="preserve"> are the ones who </w:t>
      </w:r>
      <w:r w:rsidR="0009507D">
        <w:rPr>
          <w:rFonts w:ascii="Arial" w:hAnsi="Arial" w:cs="Arial"/>
          <w:bCs/>
          <w:color w:val="000000"/>
          <w:lang w:val="en-GB" w:eastAsia="en-GB"/>
        </w:rPr>
        <w:t>take a</w:t>
      </w:r>
      <w:r w:rsidRPr="00BE4B00">
        <w:rPr>
          <w:rFonts w:ascii="Arial" w:hAnsi="Arial" w:cs="Arial"/>
          <w:bCs/>
          <w:color w:val="000000"/>
          <w:lang w:val="en-GB" w:eastAsia="en-GB"/>
        </w:rPr>
        <w:t xml:space="preserve"> final decision on admission (</w:t>
      </w:r>
      <w:r w:rsidR="0017725A">
        <w:rPr>
          <w:rFonts w:ascii="Arial" w:hAnsi="Arial" w:cs="Arial"/>
          <w:bCs/>
          <w:color w:val="000000"/>
          <w:lang w:val="en-GB" w:eastAsia="en-GB"/>
        </w:rPr>
        <w:t>Germany</w:t>
      </w:r>
      <w:r w:rsidRPr="00BE4B00">
        <w:rPr>
          <w:rFonts w:ascii="Arial" w:hAnsi="Arial" w:cs="Arial"/>
          <w:bCs/>
          <w:color w:val="000000"/>
          <w:lang w:val="en-GB" w:eastAsia="en-GB"/>
        </w:rPr>
        <w:t>). In some institutions both access and admission are decentralised (D</w:t>
      </w:r>
      <w:r w:rsidR="0017725A">
        <w:rPr>
          <w:rFonts w:ascii="Arial" w:hAnsi="Arial" w:cs="Arial"/>
          <w:bCs/>
          <w:color w:val="000000"/>
          <w:lang w:val="en-GB" w:eastAsia="en-GB"/>
        </w:rPr>
        <w:t>enmark</w:t>
      </w:r>
      <w:r w:rsidRPr="00BE4B00">
        <w:rPr>
          <w:rFonts w:ascii="Arial" w:hAnsi="Arial" w:cs="Arial"/>
          <w:bCs/>
          <w:color w:val="000000"/>
          <w:lang w:val="en-GB" w:eastAsia="en-GB"/>
        </w:rPr>
        <w:t>), in other</w:t>
      </w:r>
      <w:r w:rsidR="0009507D">
        <w:rPr>
          <w:rFonts w:ascii="Arial" w:hAnsi="Arial" w:cs="Arial"/>
          <w:bCs/>
          <w:color w:val="000000"/>
          <w:lang w:val="en-GB" w:eastAsia="en-GB"/>
        </w:rPr>
        <w:t>s</w:t>
      </w:r>
      <w:r w:rsidRPr="00BE4B00">
        <w:rPr>
          <w:rFonts w:ascii="Arial" w:hAnsi="Arial" w:cs="Arial"/>
          <w:bCs/>
          <w:color w:val="000000"/>
          <w:lang w:val="en-GB" w:eastAsia="en-GB"/>
        </w:rPr>
        <w:t xml:space="preserve"> it depends on </w:t>
      </w:r>
      <w:r w:rsidR="00585281">
        <w:rPr>
          <w:rFonts w:ascii="Arial" w:hAnsi="Arial" w:cs="Arial"/>
          <w:bCs/>
          <w:color w:val="000000"/>
          <w:lang w:val="en-GB" w:eastAsia="en-GB"/>
        </w:rPr>
        <w:t xml:space="preserve">the </w:t>
      </w:r>
      <w:r w:rsidRPr="00BE4B00">
        <w:rPr>
          <w:rFonts w:ascii="Arial" w:hAnsi="Arial" w:cs="Arial"/>
          <w:bCs/>
          <w:color w:val="000000"/>
          <w:lang w:val="en-GB" w:eastAsia="en-GB"/>
        </w:rPr>
        <w:t>programme (</w:t>
      </w:r>
      <w:r w:rsidR="0017725A">
        <w:rPr>
          <w:rFonts w:ascii="Arial" w:hAnsi="Arial" w:cs="Arial"/>
          <w:bCs/>
          <w:color w:val="000000"/>
          <w:lang w:val="en-GB" w:eastAsia="en-GB"/>
        </w:rPr>
        <w:t>Germany</w:t>
      </w:r>
      <w:r w:rsidRPr="00BE4B00">
        <w:rPr>
          <w:rFonts w:ascii="Arial" w:hAnsi="Arial" w:cs="Arial"/>
          <w:bCs/>
          <w:color w:val="000000"/>
          <w:lang w:val="en-GB" w:eastAsia="en-GB"/>
        </w:rPr>
        <w:t>).</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Q7. Are you (or your department/service/unit) directly in charge of assessing applications and deciding on admission to Masters </w:t>
      </w:r>
      <w:proofErr w:type="gramStart"/>
      <w:r w:rsidRPr="00BE4B00">
        <w:rPr>
          <w:rFonts w:ascii="Arial" w:hAnsi="Arial" w:cs="Arial"/>
          <w:b/>
          <w:bCs/>
          <w:color w:val="000000"/>
          <w:lang w:val="en-GB" w:eastAsia="en-GB"/>
        </w:rPr>
        <w:t>programmes</w:t>
      </w:r>
      <w:proofErr w:type="gramEnd"/>
      <w:r w:rsidRPr="00BE4B00">
        <w:rPr>
          <w:rFonts w:ascii="Arial" w:hAnsi="Arial" w:cs="Arial"/>
          <w:b/>
          <w:bCs/>
          <w:color w:val="000000"/>
          <w:lang w:val="en-GB" w:eastAsia="en-GB"/>
        </w:rPr>
        <w:t xml:space="preserve"> from graduates holding a higher education degree from another EHEA country?</w:t>
      </w:r>
    </w:p>
    <w:p w:rsidR="00711A03" w:rsidRPr="00BE4B00" w:rsidRDefault="00D25B04" w:rsidP="00192FAB">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56192" behindDoc="1" locked="0" layoutInCell="1" allowOverlap="1" wp14:anchorId="0EEA1AA1" wp14:editId="460C5819">
            <wp:simplePos x="0" y="0"/>
            <wp:positionH relativeFrom="column">
              <wp:posOffset>4318635</wp:posOffset>
            </wp:positionH>
            <wp:positionV relativeFrom="paragraph">
              <wp:posOffset>29845</wp:posOffset>
            </wp:positionV>
            <wp:extent cx="1883410" cy="1236980"/>
            <wp:effectExtent l="0" t="0" r="2540" b="1270"/>
            <wp:wrapTight wrapText="bothSides">
              <wp:wrapPolygon edited="0">
                <wp:start x="218" y="0"/>
                <wp:lineTo x="0" y="998"/>
                <wp:lineTo x="0" y="20624"/>
                <wp:lineTo x="218" y="21290"/>
                <wp:lineTo x="21192" y="21290"/>
                <wp:lineTo x="21411" y="20624"/>
                <wp:lineTo x="21411" y="998"/>
                <wp:lineTo x="21192" y="0"/>
                <wp:lineTo x="218" y="0"/>
              </wp:wrapPolygon>
            </wp:wrapTight>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83410" cy="123698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 xml:space="preserve"> 49 respondents (56%) </w:t>
      </w:r>
      <w:r w:rsidR="00DB642C">
        <w:rPr>
          <w:rFonts w:ascii="Arial" w:hAnsi="Arial" w:cs="Arial"/>
          <w:bCs/>
          <w:color w:val="000000"/>
          <w:lang w:val="en-GB" w:eastAsia="en-GB"/>
        </w:rPr>
        <w:t xml:space="preserve">identified themselves as </w:t>
      </w:r>
      <w:r w:rsidR="00711A03" w:rsidRPr="00BE4B00">
        <w:rPr>
          <w:rFonts w:ascii="Arial" w:hAnsi="Arial" w:cs="Arial"/>
          <w:bCs/>
          <w:color w:val="000000"/>
          <w:lang w:val="en-GB" w:eastAsia="en-GB"/>
        </w:rPr>
        <w:t>directly in charge of assessing applications</w:t>
      </w:r>
      <w:r w:rsidR="00DB642C">
        <w:rPr>
          <w:rFonts w:ascii="Arial" w:hAnsi="Arial" w:cs="Arial"/>
          <w:bCs/>
          <w:color w:val="000000"/>
          <w:lang w:val="en-GB" w:eastAsia="en-GB"/>
        </w:rPr>
        <w:t>.</w:t>
      </w:r>
      <w:r w:rsidR="00711A03" w:rsidRPr="00BE4B00">
        <w:rPr>
          <w:rFonts w:ascii="Arial" w:hAnsi="Arial" w:cs="Arial"/>
          <w:bCs/>
          <w:color w:val="000000"/>
          <w:lang w:val="en-GB" w:eastAsia="en-GB"/>
        </w:rPr>
        <w:t xml:space="preserve"> 38 respondents (44%) </w:t>
      </w:r>
      <w:r w:rsidR="00DB642C">
        <w:rPr>
          <w:rFonts w:ascii="Arial" w:hAnsi="Arial" w:cs="Arial"/>
          <w:bCs/>
          <w:color w:val="000000"/>
          <w:lang w:val="en-GB" w:eastAsia="en-GB"/>
        </w:rPr>
        <w:t>identified themselves as not being directly in charge</w:t>
      </w:r>
      <w:r w:rsidR="00711A03" w:rsidRPr="00BE4B00">
        <w:rPr>
          <w:rFonts w:ascii="Arial" w:hAnsi="Arial" w:cs="Arial"/>
          <w:bCs/>
          <w:color w:val="000000"/>
          <w:lang w:val="en-GB" w:eastAsia="en-GB"/>
        </w:rPr>
        <w:t>.</w:t>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Q8. Are your access and admission procedures assessed as part of internal and/or external quality assurance?</w:t>
      </w:r>
    </w:p>
    <w:p w:rsidR="00711A03" w:rsidRPr="00BE4B00" w:rsidRDefault="00D25B04" w:rsidP="00192FAB">
      <w:pPr>
        <w:shd w:val="clear" w:color="auto" w:fill="FFFFFF"/>
        <w:spacing w:before="100" w:beforeAutospacing="1" w:after="100" w:afterAutospacing="1" w:line="240" w:lineRule="auto"/>
        <w:jc w:val="both"/>
        <w:rPr>
          <w:rFonts w:ascii="Arial" w:hAnsi="Arial" w:cs="Arial"/>
          <w:bCs/>
          <w:color w:val="000000"/>
          <w:lang w:val="en-GB" w:eastAsia="en-GB"/>
        </w:rPr>
      </w:pPr>
      <w:r>
        <w:rPr>
          <w:noProof/>
          <w:lang w:val="en-GB" w:eastAsia="en-GB"/>
        </w:rPr>
        <w:drawing>
          <wp:anchor distT="0" distB="0" distL="114300" distR="114300" simplePos="0" relativeHeight="251659264" behindDoc="1" locked="0" layoutInCell="1" allowOverlap="1" wp14:anchorId="1A7E47B7" wp14:editId="7991F239">
            <wp:simplePos x="0" y="0"/>
            <wp:positionH relativeFrom="column">
              <wp:posOffset>4423410</wp:posOffset>
            </wp:positionH>
            <wp:positionV relativeFrom="paragraph">
              <wp:posOffset>71755</wp:posOffset>
            </wp:positionV>
            <wp:extent cx="1864995" cy="1304290"/>
            <wp:effectExtent l="0" t="0" r="1905" b="0"/>
            <wp:wrapTight wrapText="bothSides">
              <wp:wrapPolygon edited="0">
                <wp:start x="221" y="0"/>
                <wp:lineTo x="0" y="946"/>
                <wp:lineTo x="0" y="20506"/>
                <wp:lineTo x="221" y="21137"/>
                <wp:lineTo x="21181" y="21137"/>
                <wp:lineTo x="21401" y="20506"/>
                <wp:lineTo x="21401" y="946"/>
                <wp:lineTo x="21181" y="0"/>
                <wp:lineTo x="221" y="0"/>
              </wp:wrapPolygon>
            </wp:wrapTight>
            <wp:docPr id="1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4995" cy="130429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 xml:space="preserve">Among </w:t>
      </w:r>
      <w:r w:rsidR="00456F68">
        <w:rPr>
          <w:rFonts w:ascii="Arial" w:hAnsi="Arial" w:cs="Arial"/>
          <w:bCs/>
          <w:color w:val="000000"/>
          <w:lang w:val="en-GB" w:eastAsia="en-GB"/>
        </w:rPr>
        <w:t xml:space="preserve">a </w:t>
      </w:r>
      <w:r w:rsidR="00711A03" w:rsidRPr="00BE4B00">
        <w:rPr>
          <w:rFonts w:ascii="Arial" w:hAnsi="Arial" w:cs="Arial"/>
          <w:bCs/>
          <w:color w:val="000000"/>
          <w:lang w:val="en-GB" w:eastAsia="en-GB"/>
        </w:rPr>
        <w:t xml:space="preserve">total number of 62 (71%) respondents that replied positively </w:t>
      </w:r>
      <w:r w:rsidR="00966036">
        <w:rPr>
          <w:rFonts w:ascii="Arial" w:hAnsi="Arial" w:cs="Arial"/>
          <w:bCs/>
          <w:color w:val="000000"/>
          <w:lang w:val="en-GB" w:eastAsia="en-GB"/>
        </w:rPr>
        <w:t>to</w:t>
      </w:r>
      <w:r w:rsidR="00711A03" w:rsidRPr="00BE4B00">
        <w:rPr>
          <w:rFonts w:ascii="Arial" w:hAnsi="Arial" w:cs="Arial"/>
          <w:bCs/>
          <w:color w:val="000000"/>
          <w:lang w:val="en-GB" w:eastAsia="en-GB"/>
        </w:rPr>
        <w:t xml:space="preserve"> this question, some declared that the access and admission procedures are assessed as part of their </w:t>
      </w:r>
      <w:r w:rsidR="00711A03" w:rsidRPr="00BE4B00">
        <w:rPr>
          <w:rFonts w:ascii="Arial" w:hAnsi="Arial" w:cs="Arial"/>
          <w:bCs/>
          <w:color w:val="000000"/>
          <w:u w:val="single"/>
          <w:lang w:val="en-GB" w:eastAsia="en-GB"/>
        </w:rPr>
        <w:t>internal</w:t>
      </w:r>
      <w:r w:rsidR="00711A03" w:rsidRPr="00BE4B00">
        <w:rPr>
          <w:rFonts w:ascii="Arial" w:hAnsi="Arial" w:cs="Arial"/>
          <w:bCs/>
          <w:color w:val="000000"/>
          <w:lang w:val="en-GB" w:eastAsia="en-GB"/>
        </w:rPr>
        <w:t xml:space="preserve"> quality assurance system (B</w:t>
      </w:r>
      <w:r w:rsidR="0017725A">
        <w:rPr>
          <w:rFonts w:ascii="Arial" w:hAnsi="Arial" w:cs="Arial"/>
          <w:bCs/>
          <w:color w:val="000000"/>
          <w:lang w:val="en-GB" w:eastAsia="en-GB"/>
        </w:rPr>
        <w:t>elgium (Flemish Community)</w:t>
      </w:r>
      <w:r w:rsidR="00711A03" w:rsidRPr="00BE4B00">
        <w:rPr>
          <w:rFonts w:ascii="Arial" w:hAnsi="Arial" w:cs="Arial"/>
          <w:bCs/>
          <w:color w:val="000000"/>
          <w:lang w:val="en-GB" w:eastAsia="en-GB"/>
        </w:rPr>
        <w:t xml:space="preserve">, </w:t>
      </w:r>
      <w:r w:rsidR="0017725A">
        <w:rPr>
          <w:rFonts w:ascii="Arial" w:hAnsi="Arial" w:cs="Arial"/>
          <w:bCs/>
          <w:color w:val="000000"/>
          <w:lang w:val="en-GB" w:eastAsia="en-GB"/>
        </w:rPr>
        <w:t>Croatia</w:t>
      </w:r>
      <w:r w:rsidR="00711A03" w:rsidRPr="00BE4B00">
        <w:rPr>
          <w:rFonts w:ascii="Arial" w:hAnsi="Arial" w:cs="Arial"/>
          <w:bCs/>
          <w:color w:val="000000"/>
          <w:lang w:val="en-GB" w:eastAsia="en-GB"/>
        </w:rPr>
        <w:t>, E</w:t>
      </w:r>
      <w:r w:rsidR="0017725A">
        <w:rPr>
          <w:rFonts w:ascii="Arial" w:hAnsi="Arial" w:cs="Arial"/>
          <w:bCs/>
          <w:color w:val="000000"/>
          <w:lang w:val="en-GB" w:eastAsia="en-GB"/>
        </w:rPr>
        <w:t>stonia</w:t>
      </w:r>
      <w:r w:rsidR="00E82AFB">
        <w:rPr>
          <w:rFonts w:ascii="Arial" w:hAnsi="Arial" w:cs="Arial"/>
          <w:bCs/>
          <w:color w:val="000000"/>
          <w:lang w:val="en-GB" w:eastAsia="en-GB"/>
        </w:rPr>
        <w:t>,</w:t>
      </w:r>
      <w:r w:rsidR="00711A03" w:rsidRPr="00BE4B00">
        <w:rPr>
          <w:rFonts w:ascii="Arial" w:hAnsi="Arial" w:cs="Arial"/>
          <w:bCs/>
          <w:color w:val="000000"/>
          <w:lang w:val="en-GB" w:eastAsia="en-GB"/>
        </w:rPr>
        <w:t xml:space="preserve"> </w:t>
      </w:r>
      <w:r w:rsidR="0017725A">
        <w:rPr>
          <w:rFonts w:ascii="Arial" w:hAnsi="Arial" w:cs="Arial"/>
          <w:bCs/>
          <w:color w:val="000000"/>
          <w:lang w:val="en-GB" w:eastAsia="en-GB"/>
        </w:rPr>
        <w:t>Germany</w:t>
      </w:r>
      <w:r w:rsidR="00711A03" w:rsidRPr="00BE4B00">
        <w:rPr>
          <w:rFonts w:ascii="Arial" w:hAnsi="Arial" w:cs="Arial"/>
          <w:bCs/>
          <w:color w:val="000000"/>
          <w:lang w:val="en-GB" w:eastAsia="en-GB"/>
        </w:rPr>
        <w:t xml:space="preserve">), while others explained that there is no clear QA process, but that there is </w:t>
      </w:r>
      <w:r w:rsidR="00232CC2">
        <w:rPr>
          <w:rFonts w:ascii="Arial" w:hAnsi="Arial" w:cs="Arial"/>
          <w:bCs/>
          <w:color w:val="000000"/>
          <w:lang w:val="en-GB" w:eastAsia="en-GB"/>
        </w:rPr>
        <w:t>an</w:t>
      </w:r>
      <w:r w:rsidR="00711A03" w:rsidRPr="00BE4B00">
        <w:rPr>
          <w:rFonts w:ascii="Arial" w:hAnsi="Arial" w:cs="Arial"/>
          <w:bCs/>
          <w:color w:val="000000"/>
          <w:lang w:val="en-GB" w:eastAsia="en-GB"/>
        </w:rPr>
        <w:t xml:space="preserve"> external evaluation of the institution</w:t>
      </w:r>
      <w:r w:rsidR="00106A4D">
        <w:rPr>
          <w:rFonts w:ascii="Arial" w:hAnsi="Arial" w:cs="Arial"/>
          <w:bCs/>
          <w:color w:val="000000"/>
          <w:lang w:val="en-GB" w:eastAsia="en-GB"/>
        </w:rPr>
        <w:t>al</w:t>
      </w:r>
      <w:r w:rsidR="00711A03" w:rsidRPr="00BE4B00">
        <w:rPr>
          <w:rFonts w:ascii="Arial" w:hAnsi="Arial" w:cs="Arial"/>
          <w:bCs/>
          <w:color w:val="000000"/>
          <w:lang w:val="en-GB" w:eastAsia="en-GB"/>
        </w:rPr>
        <w:t xml:space="preserve"> admission procedure (D</w:t>
      </w:r>
      <w:r w:rsidR="0017725A">
        <w:rPr>
          <w:rFonts w:ascii="Arial" w:hAnsi="Arial" w:cs="Arial"/>
          <w:bCs/>
          <w:color w:val="000000"/>
          <w:lang w:val="en-GB" w:eastAsia="en-GB"/>
        </w:rPr>
        <w:t>enmark</w:t>
      </w:r>
      <w:r w:rsidR="00711A03" w:rsidRPr="00BE4B00">
        <w:rPr>
          <w:rFonts w:ascii="Arial" w:hAnsi="Arial" w:cs="Arial"/>
          <w:bCs/>
          <w:color w:val="000000"/>
          <w:lang w:val="en-GB" w:eastAsia="en-GB"/>
        </w:rPr>
        <w:t xml:space="preserve">, </w:t>
      </w:r>
      <w:r w:rsidR="0017725A">
        <w:rPr>
          <w:rFonts w:ascii="Arial" w:hAnsi="Arial" w:cs="Arial"/>
          <w:bCs/>
          <w:color w:val="000000"/>
          <w:lang w:val="en-GB" w:eastAsia="en-GB"/>
        </w:rPr>
        <w:t>Germany</w:t>
      </w:r>
      <w:r w:rsidR="00711A03" w:rsidRPr="00BE4B00">
        <w:rPr>
          <w:rFonts w:ascii="Arial" w:hAnsi="Arial" w:cs="Arial"/>
          <w:bCs/>
          <w:color w:val="000000"/>
          <w:lang w:val="en-GB" w:eastAsia="en-GB"/>
        </w:rPr>
        <w:t>). Some respondents answered that the assessment of admission procedure</w:t>
      </w:r>
      <w:r w:rsidR="00106A4D">
        <w:rPr>
          <w:rFonts w:ascii="Arial" w:hAnsi="Arial" w:cs="Arial"/>
          <w:bCs/>
          <w:color w:val="000000"/>
          <w:lang w:val="en-GB" w:eastAsia="en-GB"/>
        </w:rPr>
        <w:t>s</w:t>
      </w:r>
      <w:r w:rsidR="00711A03" w:rsidRPr="00BE4B00">
        <w:rPr>
          <w:rFonts w:ascii="Arial" w:hAnsi="Arial" w:cs="Arial"/>
          <w:bCs/>
          <w:color w:val="000000"/>
          <w:lang w:val="en-GB" w:eastAsia="en-GB"/>
        </w:rPr>
        <w:t xml:space="preserve"> </w:t>
      </w:r>
      <w:r w:rsidR="00232CC2">
        <w:rPr>
          <w:rFonts w:ascii="Arial" w:hAnsi="Arial" w:cs="Arial"/>
          <w:bCs/>
          <w:color w:val="000000"/>
          <w:lang w:val="en-GB" w:eastAsia="en-GB"/>
        </w:rPr>
        <w:t>was</w:t>
      </w:r>
      <w:r w:rsidR="00711A03" w:rsidRPr="00BE4B00">
        <w:rPr>
          <w:rFonts w:ascii="Arial" w:hAnsi="Arial" w:cs="Arial"/>
          <w:bCs/>
          <w:color w:val="000000"/>
          <w:lang w:val="en-GB" w:eastAsia="en-GB"/>
        </w:rPr>
        <w:t xml:space="preserve"> done within the accreditation procedure (</w:t>
      </w:r>
      <w:r w:rsidR="0017725A">
        <w:rPr>
          <w:rFonts w:ascii="Arial" w:hAnsi="Arial" w:cs="Arial"/>
          <w:bCs/>
          <w:color w:val="000000"/>
          <w:lang w:val="en-GB" w:eastAsia="en-GB"/>
        </w:rPr>
        <w:t>Germany</w:t>
      </w:r>
      <w:r w:rsidR="00711A03" w:rsidRPr="00BE4B00">
        <w:rPr>
          <w:rFonts w:ascii="Arial" w:hAnsi="Arial" w:cs="Arial"/>
          <w:bCs/>
          <w:color w:val="000000"/>
          <w:lang w:val="en-GB" w:eastAsia="en-GB"/>
        </w:rPr>
        <w:t xml:space="preserve">). </w:t>
      </w:r>
      <w:r w:rsidR="00106A4D">
        <w:rPr>
          <w:rFonts w:ascii="Arial" w:hAnsi="Arial" w:cs="Arial"/>
          <w:bCs/>
          <w:color w:val="000000"/>
          <w:lang w:val="en-GB" w:eastAsia="en-GB"/>
        </w:rPr>
        <w:t>A t</w:t>
      </w:r>
      <w:r w:rsidR="00711A03" w:rsidRPr="00BE4B00">
        <w:rPr>
          <w:rFonts w:ascii="Arial" w:hAnsi="Arial" w:cs="Arial"/>
          <w:bCs/>
          <w:color w:val="000000"/>
          <w:lang w:val="en-GB" w:eastAsia="en-GB"/>
        </w:rPr>
        <w:t>otal number of 25 (29%) replied negativ</w:t>
      </w:r>
      <w:r w:rsidR="00106A4D">
        <w:rPr>
          <w:rFonts w:ascii="Arial" w:hAnsi="Arial" w:cs="Arial"/>
          <w:bCs/>
          <w:color w:val="000000"/>
          <w:lang w:val="en-GB" w:eastAsia="en-GB"/>
        </w:rPr>
        <w:t>ely but some announced that it was</w:t>
      </w:r>
      <w:r w:rsidR="00711A03" w:rsidRPr="00BE4B00">
        <w:rPr>
          <w:rFonts w:ascii="Arial" w:hAnsi="Arial" w:cs="Arial"/>
          <w:bCs/>
          <w:color w:val="000000"/>
          <w:lang w:val="en-GB" w:eastAsia="en-GB"/>
        </w:rPr>
        <w:t xml:space="preserve"> in preparation (</w:t>
      </w:r>
      <w:r w:rsidR="0017725A">
        <w:rPr>
          <w:rFonts w:ascii="Arial" w:hAnsi="Arial" w:cs="Arial"/>
          <w:bCs/>
          <w:color w:val="000000"/>
          <w:lang w:val="en-GB" w:eastAsia="en-GB"/>
        </w:rPr>
        <w:t>Germany</w:t>
      </w:r>
      <w:r w:rsidR="00711A03" w:rsidRPr="00BE4B00">
        <w:rPr>
          <w:rFonts w:ascii="Arial" w:hAnsi="Arial" w:cs="Arial"/>
          <w:bCs/>
          <w:color w:val="000000"/>
          <w:lang w:val="en-GB" w:eastAsia="en-GB"/>
        </w:rPr>
        <w:t>).</w:t>
      </w:r>
    </w:p>
    <w:p w:rsidR="00711A03" w:rsidRPr="00BE4B00" w:rsidRDefault="00711A03" w:rsidP="00776F7E">
      <w:pPr>
        <w:spacing w:before="100" w:beforeAutospacing="1" w:after="100" w:afterAutospacing="1" w:line="240" w:lineRule="auto"/>
        <w:jc w:val="both"/>
        <w:rPr>
          <w:rFonts w:ascii="Arial" w:hAnsi="Arial" w:cs="Arial"/>
          <w:b/>
          <w:bCs/>
          <w:color w:val="000000"/>
          <w:lang w:val="en-GB" w:eastAsia="en-GB"/>
        </w:rPr>
      </w:pPr>
    </w:p>
    <w:p w:rsidR="00711A03" w:rsidRPr="00BE4B00" w:rsidRDefault="00711A03" w:rsidP="00776F7E">
      <w:pPr>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Q11. What is the average time for processing an access/admission decision?</w:t>
      </w:r>
      <w:r>
        <w:rPr>
          <w:rStyle w:val="FootnoteReference"/>
          <w:rFonts w:ascii="Arial" w:hAnsi="Arial" w:cs="Arial"/>
          <w:b/>
          <w:bCs/>
          <w:color w:val="000000"/>
          <w:lang w:val="en-GB" w:eastAsia="en-GB"/>
        </w:rPr>
        <w:footnoteReference w:id="16"/>
      </w:r>
    </w:p>
    <w:p w:rsidR="00711A03" w:rsidRDefault="00711A03" w:rsidP="005A2FCE">
      <w:pPr>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The time for</w:t>
      </w:r>
      <w:r w:rsidRPr="00BE4B00">
        <w:rPr>
          <w:rFonts w:ascii="Arial" w:hAnsi="Arial" w:cs="Arial"/>
          <w:lang w:val="en-GB"/>
        </w:rPr>
        <w:t xml:space="preserve"> </w:t>
      </w:r>
      <w:r w:rsidRPr="00BE4B00">
        <w:rPr>
          <w:rFonts w:ascii="Arial" w:hAnsi="Arial" w:cs="Arial"/>
          <w:bCs/>
          <w:color w:val="000000"/>
          <w:lang w:val="en-GB" w:eastAsia="en-GB"/>
        </w:rPr>
        <w:t xml:space="preserve">processing an access/admission decision varies from the shortest procedure expressed in minutes, as declared by 10 institutions, to the longest procedure lasting up to 6 months. </w:t>
      </w:r>
      <w:r w:rsidR="001150F0">
        <w:rPr>
          <w:rFonts w:ascii="Arial" w:hAnsi="Arial" w:cs="Arial"/>
          <w:bCs/>
          <w:color w:val="000000"/>
          <w:lang w:val="en-GB" w:eastAsia="en-GB"/>
        </w:rPr>
        <w:t>A t</w:t>
      </w:r>
      <w:r w:rsidRPr="00BE4B00">
        <w:rPr>
          <w:rFonts w:ascii="Arial" w:hAnsi="Arial" w:cs="Arial"/>
          <w:bCs/>
          <w:color w:val="000000"/>
          <w:lang w:val="en-GB" w:eastAsia="en-GB"/>
        </w:rPr>
        <w:t xml:space="preserve">otal number of 35 institutions, however, express </w:t>
      </w:r>
      <w:r w:rsidR="001150F0">
        <w:rPr>
          <w:rFonts w:ascii="Arial" w:hAnsi="Arial" w:cs="Arial"/>
          <w:bCs/>
          <w:color w:val="000000"/>
          <w:lang w:val="en-GB" w:eastAsia="en-GB"/>
        </w:rPr>
        <w:t xml:space="preserve">the </w:t>
      </w:r>
      <w:r w:rsidRPr="00BE4B00">
        <w:rPr>
          <w:rFonts w:ascii="Arial" w:hAnsi="Arial" w:cs="Arial"/>
          <w:bCs/>
          <w:color w:val="000000"/>
          <w:lang w:val="en-GB" w:eastAsia="en-GB"/>
        </w:rPr>
        <w:t xml:space="preserve">duration of the procedures in weeks (1-4 weeks) and for 36 of them the procedure lasts for more than a month. Two </w:t>
      </w:r>
      <w:r w:rsidR="0017725A">
        <w:rPr>
          <w:rFonts w:ascii="Arial" w:hAnsi="Arial" w:cs="Arial"/>
          <w:bCs/>
          <w:color w:val="000000"/>
          <w:lang w:val="en-GB" w:eastAsia="en-GB"/>
        </w:rPr>
        <w:t>German</w:t>
      </w:r>
      <w:r w:rsidRPr="00BE4B00">
        <w:rPr>
          <w:rFonts w:ascii="Arial" w:hAnsi="Arial" w:cs="Arial"/>
          <w:bCs/>
          <w:color w:val="000000"/>
          <w:lang w:val="en-GB" w:eastAsia="en-GB"/>
        </w:rPr>
        <w:t xml:space="preserve"> institutions state that </w:t>
      </w:r>
      <w:r w:rsidR="001150F0">
        <w:rPr>
          <w:rFonts w:ascii="Arial" w:hAnsi="Arial" w:cs="Arial"/>
          <w:bCs/>
          <w:color w:val="000000"/>
          <w:lang w:val="en-GB" w:eastAsia="en-GB"/>
        </w:rPr>
        <w:t xml:space="preserve">the </w:t>
      </w:r>
      <w:r w:rsidRPr="00BE4B00">
        <w:rPr>
          <w:rFonts w:ascii="Arial" w:hAnsi="Arial" w:cs="Arial"/>
          <w:bCs/>
          <w:color w:val="000000"/>
          <w:lang w:val="en-GB" w:eastAsia="en-GB"/>
        </w:rPr>
        <w:t xml:space="preserve">duration depends on the programme/faculty. As it </w:t>
      </w:r>
      <w:r w:rsidR="001150F0">
        <w:rPr>
          <w:rFonts w:ascii="Arial" w:hAnsi="Arial" w:cs="Arial"/>
          <w:bCs/>
          <w:color w:val="000000"/>
          <w:lang w:val="en-GB" w:eastAsia="en-GB"/>
        </w:rPr>
        <w:t>appears fr</w:t>
      </w:r>
      <w:r w:rsidRPr="00BE4B00">
        <w:rPr>
          <w:rFonts w:ascii="Arial" w:hAnsi="Arial" w:cs="Arial"/>
          <w:bCs/>
          <w:color w:val="000000"/>
          <w:lang w:val="en-GB" w:eastAsia="en-GB"/>
        </w:rPr>
        <w:t xml:space="preserve">om the analysis, it seems that </w:t>
      </w:r>
      <w:r w:rsidR="001150F0">
        <w:rPr>
          <w:rFonts w:ascii="Arial" w:hAnsi="Arial" w:cs="Arial"/>
          <w:bCs/>
          <w:color w:val="000000"/>
          <w:lang w:val="en-GB" w:eastAsia="en-GB"/>
        </w:rPr>
        <w:t xml:space="preserve">overall </w:t>
      </w:r>
      <w:r w:rsidRPr="00BE4B00">
        <w:rPr>
          <w:rFonts w:ascii="Arial" w:hAnsi="Arial" w:cs="Arial"/>
          <w:bCs/>
          <w:color w:val="000000"/>
          <w:lang w:val="en-GB" w:eastAsia="en-GB"/>
        </w:rPr>
        <w:t xml:space="preserve">institutions in Germany, Denmark and Sweden have the most efficient procedure. </w:t>
      </w:r>
    </w:p>
    <w:p w:rsidR="00042261" w:rsidRPr="00BE4B00" w:rsidRDefault="00042261" w:rsidP="005A2FCE">
      <w:pPr>
        <w:spacing w:before="100" w:beforeAutospacing="1" w:after="100" w:afterAutospacing="1" w:line="240" w:lineRule="auto"/>
        <w:jc w:val="both"/>
        <w:rPr>
          <w:rFonts w:ascii="Arial" w:hAnsi="Arial" w:cs="Arial"/>
          <w:bCs/>
          <w:color w:val="000000"/>
          <w:lang w:val="en-GB" w:eastAsia="en-GB"/>
        </w:rPr>
      </w:pPr>
    </w:p>
    <w:p w:rsidR="00E82AFB" w:rsidRDefault="00E82AFB" w:rsidP="00776F7E">
      <w:pPr>
        <w:spacing w:before="100" w:beforeAutospacing="1" w:after="100" w:afterAutospacing="1" w:line="240" w:lineRule="auto"/>
        <w:jc w:val="both"/>
        <w:rPr>
          <w:rFonts w:ascii="Arial" w:hAnsi="Arial" w:cs="Arial"/>
          <w:b/>
          <w:bCs/>
          <w:color w:val="000000"/>
          <w:lang w:val="en-GB" w:eastAsia="en-GB"/>
        </w:rPr>
      </w:pPr>
    </w:p>
    <w:p w:rsidR="00E82AFB" w:rsidRDefault="00E82AFB" w:rsidP="00776F7E">
      <w:pPr>
        <w:spacing w:before="100" w:beforeAutospacing="1" w:after="100" w:afterAutospacing="1" w:line="240" w:lineRule="auto"/>
        <w:jc w:val="both"/>
        <w:rPr>
          <w:rFonts w:ascii="Arial" w:hAnsi="Arial" w:cs="Arial"/>
          <w:b/>
          <w:bCs/>
          <w:color w:val="000000"/>
          <w:lang w:val="en-GB" w:eastAsia="en-GB"/>
        </w:rPr>
      </w:pPr>
    </w:p>
    <w:p w:rsidR="00711A03" w:rsidRPr="00BE4B00" w:rsidRDefault="00711A03" w:rsidP="00776F7E">
      <w:pPr>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Q12. What is the average cost in euro of an access/admission decision to the applicant?</w:t>
      </w:r>
    </w:p>
    <w:p w:rsidR="00711A03" w:rsidRDefault="00711A03" w:rsidP="00BF6ADC">
      <w:pPr>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lastRenderedPageBreak/>
        <w:t xml:space="preserve">50 institutions out of </w:t>
      </w:r>
      <w:r w:rsidR="00232CC2">
        <w:rPr>
          <w:rFonts w:ascii="Arial" w:hAnsi="Arial" w:cs="Arial"/>
          <w:bCs/>
          <w:color w:val="000000"/>
          <w:lang w:val="en-GB" w:eastAsia="en-GB"/>
        </w:rPr>
        <w:t xml:space="preserve">the </w:t>
      </w:r>
      <w:r w:rsidRPr="00BE4B00">
        <w:rPr>
          <w:rFonts w:ascii="Arial" w:hAnsi="Arial" w:cs="Arial"/>
          <w:bCs/>
          <w:color w:val="000000"/>
          <w:lang w:val="en-GB" w:eastAsia="en-GB"/>
        </w:rPr>
        <w:t>total of 87 institutions do not charge any fees for the access/admission to the institution, while 37 institutions charge fees in the scale from 25 € to 300 €. The average cost of access/admission is 73 €.</w:t>
      </w:r>
      <w:r>
        <w:rPr>
          <w:rStyle w:val="FootnoteReference"/>
          <w:rFonts w:ascii="Arial" w:hAnsi="Arial" w:cs="Arial"/>
          <w:bCs/>
          <w:color w:val="000000"/>
          <w:lang w:val="en-GB" w:eastAsia="en-GB"/>
        </w:rPr>
        <w:footnoteReference w:id="17"/>
      </w:r>
    </w:p>
    <w:p w:rsidR="006A7DC6" w:rsidRPr="00BE4B00" w:rsidRDefault="006A7DC6" w:rsidP="00BF6ADC">
      <w:pPr>
        <w:spacing w:before="100" w:beforeAutospacing="1" w:after="100" w:afterAutospacing="1" w:line="240" w:lineRule="auto"/>
        <w:jc w:val="both"/>
        <w:rPr>
          <w:rFonts w:ascii="Arial" w:hAnsi="Arial" w:cs="Arial"/>
          <w:bCs/>
          <w:color w:val="000000"/>
          <w:lang w:val="en-GB" w:eastAsia="en-GB"/>
        </w:rPr>
      </w:pPr>
    </w:p>
    <w:p w:rsidR="005B0384" w:rsidRDefault="005B0384" w:rsidP="005B0384">
      <w:pPr>
        <w:spacing w:before="100" w:beforeAutospacing="1" w:after="100" w:afterAutospacing="1" w:line="240" w:lineRule="auto"/>
        <w:jc w:val="both"/>
        <w:rPr>
          <w:rFonts w:ascii="Arial" w:hAnsi="Arial" w:cs="Arial"/>
          <w:b/>
          <w:bCs/>
          <w:color w:val="000000"/>
          <w:lang w:val="en-GB" w:eastAsia="en-GB"/>
        </w:rPr>
      </w:pPr>
      <w:r>
        <w:rPr>
          <w:rFonts w:ascii="Arial" w:hAnsi="Arial" w:cs="Arial"/>
          <w:b/>
          <w:bCs/>
          <w:color w:val="000000"/>
          <w:lang w:val="en-GB" w:eastAsia="en-GB"/>
        </w:rPr>
        <w:br w:type="page"/>
      </w: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b/>
          <w:bCs/>
          <w:color w:val="000000"/>
          <w:lang w:val="en-GB" w:eastAsia="en-GB"/>
        </w:rPr>
      </w:pPr>
      <w:r w:rsidRPr="00BE4B00">
        <w:rPr>
          <w:rFonts w:ascii="Arial" w:hAnsi="Arial" w:cs="Arial"/>
          <w:b/>
          <w:bCs/>
          <w:color w:val="000000"/>
          <w:lang w:val="en-GB" w:eastAsia="en-GB"/>
        </w:rPr>
        <w:lastRenderedPageBreak/>
        <w:t>Part 2</w:t>
      </w: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b/>
          <w:bCs/>
          <w:color w:val="000000"/>
          <w:lang w:val="en-GB" w:eastAsia="en-GB"/>
        </w:rPr>
      </w:pPr>
      <w:r w:rsidRPr="00BE4B00">
        <w:rPr>
          <w:rFonts w:ascii="Arial" w:hAnsi="Arial" w:cs="Arial"/>
          <w:b/>
          <w:bCs/>
          <w:color w:val="000000"/>
          <w:lang w:val="en-GB" w:eastAsia="en-GB"/>
        </w:rPr>
        <w:t>Criteria and tools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Q13. Which of the criteria or tools below do you use to assess a foreign higher education qualification? </w:t>
      </w:r>
    </w:p>
    <w:p w:rsidR="00711A03" w:rsidRPr="00BE4B00" w:rsidRDefault="00711A03" w:rsidP="00885501">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The tool that is almost always used is the number of ECTS. The tools that are used very often are: accreditation of the institution by competent authorities, content and structure of the programme, length of study, study results. </w:t>
      </w:r>
      <w:r>
        <w:rPr>
          <w:rFonts w:ascii="Arial" w:hAnsi="Arial" w:cs="Arial"/>
          <w:bCs/>
          <w:color w:val="000000"/>
          <w:lang w:val="en-GB" w:eastAsia="en-GB"/>
        </w:rPr>
        <w:t>Q</w:t>
      </w:r>
      <w:r w:rsidR="0017725A">
        <w:rPr>
          <w:rFonts w:ascii="Arial" w:hAnsi="Arial" w:cs="Arial"/>
          <w:bCs/>
          <w:color w:val="000000"/>
          <w:lang w:val="en-GB" w:eastAsia="en-GB"/>
        </w:rPr>
        <w:t>Fs</w:t>
      </w:r>
      <w:r>
        <w:rPr>
          <w:rFonts w:ascii="Arial" w:hAnsi="Arial" w:cs="Arial"/>
          <w:bCs/>
          <w:color w:val="000000"/>
          <w:lang w:val="en-GB" w:eastAsia="en-GB"/>
        </w:rPr>
        <w:t xml:space="preserve"> are used often/always in a </w:t>
      </w:r>
      <w:r w:rsidR="00232CC2">
        <w:rPr>
          <w:rFonts w:ascii="Arial" w:hAnsi="Arial" w:cs="Arial"/>
          <w:bCs/>
          <w:color w:val="000000"/>
          <w:lang w:val="en-GB" w:eastAsia="en-GB"/>
        </w:rPr>
        <w:t xml:space="preserve">little </w:t>
      </w:r>
      <w:r>
        <w:rPr>
          <w:rFonts w:ascii="Arial" w:hAnsi="Arial" w:cs="Arial"/>
          <w:bCs/>
          <w:color w:val="000000"/>
          <w:lang w:val="en-GB" w:eastAsia="en-GB"/>
        </w:rPr>
        <w:t xml:space="preserve">over half of cases, while learning outcomes and grading tables are </w:t>
      </w:r>
      <w:r w:rsidR="00C66BB8">
        <w:rPr>
          <w:rFonts w:ascii="Arial" w:hAnsi="Arial" w:cs="Arial"/>
          <w:bCs/>
          <w:color w:val="000000"/>
          <w:lang w:val="en-GB" w:eastAsia="en-GB"/>
        </w:rPr>
        <w:t>often</w:t>
      </w:r>
      <w:r w:rsidRPr="00BE4B00">
        <w:rPr>
          <w:rFonts w:ascii="Arial" w:hAnsi="Arial" w:cs="Arial"/>
          <w:bCs/>
          <w:color w:val="000000"/>
          <w:lang w:val="en-GB" w:eastAsia="en-GB"/>
        </w:rPr>
        <w:t xml:space="preserve"> </w:t>
      </w:r>
      <w:r>
        <w:rPr>
          <w:rFonts w:ascii="Arial" w:hAnsi="Arial" w:cs="Arial"/>
          <w:bCs/>
          <w:color w:val="000000"/>
          <w:lang w:val="en-GB" w:eastAsia="en-GB"/>
        </w:rPr>
        <w:t>used</w:t>
      </w:r>
      <w:r w:rsidR="00232CC2">
        <w:rPr>
          <w:rFonts w:ascii="Arial" w:hAnsi="Arial" w:cs="Arial"/>
          <w:bCs/>
          <w:color w:val="000000"/>
          <w:lang w:val="en-GB" w:eastAsia="en-GB"/>
        </w:rPr>
        <w:t>, though less frequently than formal criteria</w:t>
      </w:r>
      <w:r>
        <w:rPr>
          <w:rFonts w:ascii="Arial" w:hAnsi="Arial" w:cs="Arial"/>
          <w:bCs/>
          <w:color w:val="000000"/>
          <w:lang w:val="en-GB" w:eastAsia="en-GB"/>
        </w:rPr>
        <w:t>. The</w:t>
      </w:r>
      <w:r w:rsidRPr="00BE4B00">
        <w:rPr>
          <w:rFonts w:ascii="Arial" w:hAnsi="Arial" w:cs="Arial"/>
          <w:bCs/>
          <w:color w:val="000000"/>
          <w:lang w:val="en-GB" w:eastAsia="en-GB"/>
        </w:rPr>
        <w:t xml:space="preserve"> quality/reputation/ranking of the institution, as well as personal/professional experience and </w:t>
      </w:r>
      <w:r w:rsidR="00E51622">
        <w:rPr>
          <w:rFonts w:ascii="Arial" w:hAnsi="Arial" w:cs="Arial"/>
          <w:bCs/>
          <w:color w:val="000000"/>
          <w:lang w:val="en-GB" w:eastAsia="en-GB"/>
        </w:rPr>
        <w:t>recognition of prior learning (</w:t>
      </w:r>
      <w:r w:rsidRPr="00BE4B00">
        <w:rPr>
          <w:rFonts w:ascii="Arial" w:hAnsi="Arial" w:cs="Arial"/>
          <w:bCs/>
          <w:color w:val="000000"/>
          <w:lang w:val="en-GB" w:eastAsia="en-GB"/>
        </w:rPr>
        <w:t>RPL</w:t>
      </w:r>
      <w:r w:rsidR="00E51622">
        <w:rPr>
          <w:rFonts w:ascii="Arial" w:hAnsi="Arial" w:cs="Arial"/>
          <w:bCs/>
          <w:color w:val="000000"/>
          <w:lang w:val="en-GB" w:eastAsia="en-GB"/>
        </w:rPr>
        <w:t>)</w:t>
      </w:r>
      <w:r w:rsidRPr="00BE4B00">
        <w:rPr>
          <w:rFonts w:ascii="Arial" w:hAnsi="Arial" w:cs="Arial"/>
          <w:bCs/>
          <w:color w:val="000000"/>
          <w:lang w:val="en-GB" w:eastAsia="en-GB"/>
        </w:rPr>
        <w:t xml:space="preserve"> are not often used.</w:t>
      </w:r>
    </w:p>
    <w:p w:rsidR="00711A03" w:rsidRPr="00BE4B00" w:rsidRDefault="00711A03" w:rsidP="00885501">
      <w:pPr>
        <w:shd w:val="clear" w:color="auto" w:fill="FFFFFF"/>
        <w:spacing w:before="100" w:beforeAutospacing="1" w:after="100" w:afterAutospacing="1" w:line="240" w:lineRule="auto"/>
        <w:jc w:val="both"/>
        <w:outlineLvl w:val="2"/>
        <w:rPr>
          <w:rFonts w:ascii="Arial" w:hAnsi="Arial" w:cs="Arial"/>
          <w:bCs/>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National qualifications frameworks, European Qualification</w:t>
      </w:r>
      <w:r w:rsidR="00F04C1A">
        <w:rPr>
          <w:rFonts w:ascii="Arial" w:hAnsi="Arial" w:cs="Arial"/>
          <w:b/>
          <w:bCs/>
          <w:color w:val="000000"/>
          <w:lang w:val="en-GB" w:eastAsia="en-GB"/>
        </w:rPr>
        <w:t>s</w:t>
      </w:r>
      <w:r w:rsidRPr="00BE4B00">
        <w:rPr>
          <w:rFonts w:ascii="Arial" w:hAnsi="Arial" w:cs="Arial"/>
          <w:b/>
          <w:bCs/>
          <w:color w:val="000000"/>
          <w:lang w:val="en-GB" w:eastAsia="en-GB"/>
        </w:rPr>
        <w:t xml:space="preserve"> Framework for Lifelong Learning and </w:t>
      </w:r>
      <w:r w:rsidR="00F04C1A">
        <w:rPr>
          <w:rFonts w:ascii="Arial" w:hAnsi="Arial" w:cs="Arial"/>
          <w:b/>
          <w:bCs/>
          <w:color w:val="000000"/>
          <w:lang w:val="en-GB" w:eastAsia="en-GB"/>
        </w:rPr>
        <w:t>the F</w:t>
      </w:r>
      <w:r w:rsidR="00F04C1A" w:rsidRPr="00BE4B00">
        <w:rPr>
          <w:rFonts w:ascii="Arial" w:hAnsi="Arial" w:cs="Arial"/>
          <w:b/>
          <w:bCs/>
          <w:color w:val="000000"/>
          <w:lang w:val="en-GB" w:eastAsia="en-GB"/>
        </w:rPr>
        <w:t xml:space="preserve">ramework </w:t>
      </w:r>
      <w:r w:rsidR="00F04C1A">
        <w:rPr>
          <w:rFonts w:ascii="Arial" w:hAnsi="Arial" w:cs="Arial"/>
          <w:b/>
          <w:bCs/>
          <w:color w:val="000000"/>
          <w:lang w:val="en-GB" w:eastAsia="en-GB"/>
        </w:rPr>
        <w:t xml:space="preserve">for </w:t>
      </w:r>
      <w:r w:rsidRPr="00BE4B00">
        <w:rPr>
          <w:rFonts w:ascii="Arial" w:hAnsi="Arial" w:cs="Arial"/>
          <w:b/>
          <w:bCs/>
          <w:color w:val="000000"/>
          <w:lang w:val="en-GB" w:eastAsia="en-GB"/>
        </w:rPr>
        <w:t xml:space="preserve">Qualifications </w:t>
      </w:r>
      <w:r w:rsidR="00E51622">
        <w:rPr>
          <w:rFonts w:ascii="Arial" w:hAnsi="Arial" w:cs="Arial"/>
          <w:b/>
          <w:bCs/>
          <w:color w:val="000000"/>
          <w:lang w:val="en-GB" w:eastAsia="en-GB"/>
        </w:rPr>
        <w:t xml:space="preserve">of </w:t>
      </w:r>
      <w:r w:rsidRPr="00BE4B00">
        <w:rPr>
          <w:rFonts w:ascii="Arial" w:hAnsi="Arial" w:cs="Arial"/>
          <w:b/>
          <w:bCs/>
          <w:color w:val="000000"/>
          <w:lang w:val="en-GB" w:eastAsia="en-GB"/>
        </w:rPr>
        <w:t xml:space="preserve"> the EHEA</w:t>
      </w:r>
    </w:p>
    <w:p w:rsidR="00711A03" w:rsidRPr="00BE4B00" w:rsidRDefault="00711A03" w:rsidP="00A70952">
      <w:pPr>
        <w:shd w:val="clear" w:color="auto" w:fill="FFFFFF"/>
        <w:spacing w:before="100" w:beforeAutospacing="1" w:after="100" w:afterAutospacing="1" w:line="240" w:lineRule="auto"/>
        <w:jc w:val="both"/>
        <w:rPr>
          <w:rFonts w:ascii="Arial" w:hAnsi="Arial" w:cs="Arial"/>
          <w:color w:val="000000"/>
          <w:lang w:val="en-GB" w:eastAsia="en-GB"/>
        </w:rPr>
      </w:pPr>
      <w:r w:rsidRPr="00BE4B00">
        <w:rPr>
          <w:rFonts w:ascii="Arial" w:hAnsi="Arial" w:cs="Arial"/>
          <w:color w:val="000000"/>
          <w:lang w:val="en-GB" w:eastAsia="en-GB"/>
        </w:rPr>
        <w:t xml:space="preserve">National qualifications frameworks, </w:t>
      </w:r>
      <w:r w:rsidR="00F04C1A">
        <w:rPr>
          <w:rFonts w:ascii="Arial" w:hAnsi="Arial" w:cs="Arial"/>
          <w:color w:val="000000"/>
          <w:lang w:val="en-GB" w:eastAsia="en-GB"/>
        </w:rPr>
        <w:t>EQF</w:t>
      </w:r>
      <w:r w:rsidRPr="00BE4B00">
        <w:rPr>
          <w:rFonts w:ascii="Arial" w:hAnsi="Arial" w:cs="Arial"/>
          <w:color w:val="000000"/>
          <w:lang w:val="en-GB" w:eastAsia="en-GB"/>
        </w:rPr>
        <w:t xml:space="preserve"> and Q</w:t>
      </w:r>
      <w:r w:rsidR="0017725A">
        <w:rPr>
          <w:rFonts w:ascii="Arial" w:hAnsi="Arial" w:cs="Arial"/>
          <w:color w:val="000000"/>
          <w:lang w:val="en-GB" w:eastAsia="en-GB"/>
        </w:rPr>
        <w:t>F</w:t>
      </w:r>
      <w:r w:rsidR="00F04C1A">
        <w:rPr>
          <w:rFonts w:ascii="Arial" w:hAnsi="Arial" w:cs="Arial"/>
          <w:color w:val="000000"/>
          <w:lang w:val="en-GB" w:eastAsia="en-GB"/>
        </w:rPr>
        <w:t>-</w:t>
      </w:r>
      <w:r w:rsidRPr="00A565EF">
        <w:rPr>
          <w:rFonts w:ascii="Arial" w:hAnsi="Arial" w:cs="Arial"/>
          <w:color w:val="000000"/>
          <w:lang w:val="en-GB" w:eastAsia="en-GB"/>
        </w:rPr>
        <w:t>EHEA are often/always used in assess</w:t>
      </w:r>
      <w:r w:rsidRPr="00BE4B00">
        <w:rPr>
          <w:rFonts w:ascii="Arial" w:hAnsi="Arial" w:cs="Arial"/>
          <w:color w:val="000000"/>
          <w:lang w:val="en-GB" w:eastAsia="en-GB"/>
        </w:rPr>
        <w:t>ing foreign qualifications</w:t>
      </w:r>
      <w:r>
        <w:rPr>
          <w:rFonts w:ascii="Arial" w:hAnsi="Arial" w:cs="Arial"/>
          <w:color w:val="000000"/>
          <w:lang w:val="en-GB" w:eastAsia="en-GB"/>
        </w:rPr>
        <w:t xml:space="preserve"> in a </w:t>
      </w:r>
      <w:r w:rsidR="00232CC2">
        <w:rPr>
          <w:rFonts w:ascii="Arial" w:hAnsi="Arial" w:cs="Arial"/>
          <w:color w:val="000000"/>
          <w:lang w:val="en-GB" w:eastAsia="en-GB"/>
        </w:rPr>
        <w:t xml:space="preserve">little </w:t>
      </w:r>
      <w:r>
        <w:rPr>
          <w:rFonts w:ascii="Arial" w:hAnsi="Arial" w:cs="Arial"/>
          <w:color w:val="000000"/>
          <w:lang w:val="en-GB" w:eastAsia="en-GB"/>
        </w:rPr>
        <w:t>over half of the cases</w:t>
      </w:r>
      <w:r w:rsidRPr="00BE4B00">
        <w:rPr>
          <w:rFonts w:ascii="Arial" w:hAnsi="Arial" w:cs="Arial"/>
          <w:color w:val="000000"/>
          <w:lang w:val="en-GB" w:eastAsia="en-GB"/>
        </w:rPr>
        <w:t xml:space="preserve">. </w:t>
      </w:r>
      <w:r w:rsidR="000D3FF4">
        <w:rPr>
          <w:rFonts w:ascii="Arial" w:hAnsi="Arial" w:cs="Arial"/>
          <w:color w:val="000000"/>
          <w:lang w:val="en-GB" w:eastAsia="en-GB"/>
        </w:rPr>
        <w:t>A</w:t>
      </w:r>
      <w:r w:rsidRPr="00BE4B00">
        <w:rPr>
          <w:rFonts w:ascii="Arial" w:hAnsi="Arial" w:cs="Arial"/>
          <w:color w:val="000000"/>
          <w:lang w:val="en-GB" w:eastAsia="en-GB"/>
        </w:rPr>
        <w:t>t 32 institutions (37%) they are always used, at 16 institutions (18%) they are often used, at 14 institutions (16%) they are seldom used, at 13 institutions (14%) they are never used and at 12 (13%) these tools are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1C1EAECB" wp14:editId="60245E70">
            <wp:extent cx="4048125" cy="1381125"/>
            <wp:effectExtent l="0" t="0" r="0" b="0"/>
            <wp:docPr id="1" name="Grafikon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 Recognition/accreditation of the institution and qualification by competent authorities </w:t>
      </w:r>
    </w:p>
    <w:p w:rsidR="00711A03" w:rsidRPr="00BE4B00" w:rsidRDefault="00711A03" w:rsidP="00A70952">
      <w:pPr>
        <w:shd w:val="clear" w:color="auto" w:fill="FFFFFF"/>
        <w:spacing w:before="100" w:beforeAutospacing="1" w:after="100" w:afterAutospacing="1" w:line="240" w:lineRule="auto"/>
        <w:jc w:val="both"/>
        <w:rPr>
          <w:rFonts w:ascii="Arial" w:hAnsi="Arial" w:cs="Arial"/>
          <w:color w:val="000000"/>
          <w:lang w:val="en-GB" w:eastAsia="en-GB"/>
        </w:rPr>
      </w:pPr>
      <w:r w:rsidRPr="00BE4B00">
        <w:rPr>
          <w:rFonts w:ascii="Arial" w:hAnsi="Arial" w:cs="Arial"/>
          <w:color w:val="000000"/>
          <w:lang w:val="en-GB" w:eastAsia="en-GB"/>
        </w:rPr>
        <w:t xml:space="preserve">Accreditation of the institution and qualification by competent authorities </w:t>
      </w:r>
      <w:r w:rsidRPr="00BE4B00">
        <w:rPr>
          <w:rFonts w:ascii="Arial" w:hAnsi="Arial" w:cs="Arial"/>
          <w:color w:val="000000"/>
          <w:u w:val="single"/>
          <w:lang w:val="en-GB" w:eastAsia="en-GB"/>
        </w:rPr>
        <w:t>is very much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60 institutions (68%) it is always used, at 16 institutions (18%) it is often used, at 5 institutions (6%) it is seldom used, at 4 institutions (4%, 3 professionally oriented institutions and 1 academy) it is never used and at 2 German </w:t>
      </w:r>
      <w:proofErr w:type="spellStart"/>
      <w:r w:rsidRPr="00BE4B00">
        <w:rPr>
          <w:rFonts w:ascii="Arial" w:hAnsi="Arial" w:cs="Arial"/>
          <w:i/>
          <w:color w:val="000000"/>
          <w:lang w:val="en-GB" w:eastAsia="en-GB"/>
        </w:rPr>
        <w:t>Fach</w:t>
      </w:r>
      <w:r>
        <w:rPr>
          <w:rFonts w:ascii="Arial" w:hAnsi="Arial" w:cs="Arial"/>
          <w:i/>
          <w:color w:val="000000"/>
          <w:lang w:val="en-GB" w:eastAsia="en-GB"/>
        </w:rPr>
        <w:t>h</w:t>
      </w:r>
      <w:r w:rsidRPr="00BE4B00">
        <w:rPr>
          <w:rFonts w:ascii="Arial" w:hAnsi="Arial" w:cs="Arial"/>
          <w:i/>
          <w:color w:val="000000"/>
          <w:lang w:val="en-GB" w:eastAsia="en-GB"/>
        </w:rPr>
        <w:t>ochschule</w:t>
      </w:r>
      <w:proofErr w:type="spellEnd"/>
      <w:r w:rsidRPr="00BE4B00">
        <w:rPr>
          <w:rFonts w:ascii="Arial" w:hAnsi="Arial" w:cs="Arial"/>
          <w:color w:val="000000"/>
          <w:lang w:val="en-GB" w:eastAsia="en-GB"/>
        </w:rPr>
        <w:t xml:space="preserve"> (2%) this tool is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lastRenderedPageBreak/>
        <w:drawing>
          <wp:inline distT="0" distB="0" distL="0" distR="0" wp14:anchorId="413FD7A0" wp14:editId="493FDE68">
            <wp:extent cx="4000500" cy="1447800"/>
            <wp:effectExtent l="0" t="0" r="0" b="0"/>
            <wp:docPr id="2" name="Grafikon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 xml:space="preserve">Content and structure of foreign programme </w:t>
      </w:r>
    </w:p>
    <w:p w:rsidR="00711A03" w:rsidRPr="00BE4B00" w:rsidRDefault="00711A03" w:rsidP="00A70952">
      <w:pPr>
        <w:shd w:val="clear" w:color="auto" w:fill="FFFFFF"/>
        <w:spacing w:before="100" w:beforeAutospacing="1" w:after="100" w:afterAutospacing="1" w:line="240" w:lineRule="auto"/>
        <w:jc w:val="both"/>
        <w:rPr>
          <w:rFonts w:ascii="Arial" w:hAnsi="Arial" w:cs="Arial"/>
          <w:color w:val="000000"/>
          <w:lang w:val="en-GB" w:eastAsia="en-GB"/>
        </w:rPr>
      </w:pPr>
      <w:r w:rsidRPr="00BE4B00">
        <w:rPr>
          <w:rFonts w:ascii="Arial" w:hAnsi="Arial" w:cs="Arial"/>
          <w:color w:val="000000"/>
          <w:lang w:val="en-GB" w:eastAsia="en-GB"/>
        </w:rPr>
        <w:t>Content and st</w:t>
      </w:r>
      <w:r w:rsidR="00623201">
        <w:rPr>
          <w:rFonts w:ascii="Arial" w:hAnsi="Arial" w:cs="Arial"/>
          <w:color w:val="000000"/>
          <w:lang w:val="en-GB" w:eastAsia="en-GB"/>
        </w:rPr>
        <w:t xml:space="preserve">ructure of </w:t>
      </w:r>
      <w:r w:rsidR="00DC6153">
        <w:rPr>
          <w:rFonts w:ascii="Arial" w:hAnsi="Arial" w:cs="Arial"/>
          <w:color w:val="000000"/>
          <w:lang w:val="en-GB" w:eastAsia="en-GB"/>
        </w:rPr>
        <w:t xml:space="preserve">the </w:t>
      </w:r>
      <w:r w:rsidR="00623201">
        <w:rPr>
          <w:rFonts w:ascii="Arial" w:hAnsi="Arial" w:cs="Arial"/>
          <w:color w:val="000000"/>
          <w:lang w:val="en-GB" w:eastAsia="en-GB"/>
        </w:rPr>
        <w:t>foreign programme is</w:t>
      </w:r>
      <w:r w:rsidRPr="00BE4B00">
        <w:rPr>
          <w:rFonts w:ascii="Arial" w:hAnsi="Arial" w:cs="Arial"/>
          <w:color w:val="000000"/>
          <w:lang w:val="en-GB" w:eastAsia="en-GB"/>
        </w:rPr>
        <w:t xml:space="preserve"> </w:t>
      </w:r>
      <w:r w:rsidRPr="00BE4B00">
        <w:rPr>
          <w:rFonts w:ascii="Arial" w:hAnsi="Arial" w:cs="Arial"/>
          <w:color w:val="000000"/>
          <w:u w:val="single"/>
          <w:lang w:val="en-GB" w:eastAsia="en-GB"/>
        </w:rPr>
        <w:t>very much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58 institutions (67%) they are always used, at 15 institutions (17%) they are often used, at 10 institutions (11%) they are seldom used, at 3 institutions (3%) they are never used and at 1 German </w:t>
      </w:r>
      <w:proofErr w:type="spellStart"/>
      <w:r w:rsidRPr="00BE4B00">
        <w:rPr>
          <w:rFonts w:ascii="Arial" w:hAnsi="Arial" w:cs="Arial"/>
          <w:i/>
          <w:color w:val="000000"/>
          <w:lang w:val="en-GB" w:eastAsia="en-GB"/>
        </w:rPr>
        <w:t>Fach</w:t>
      </w:r>
      <w:r>
        <w:rPr>
          <w:rFonts w:ascii="Arial" w:hAnsi="Arial" w:cs="Arial"/>
          <w:i/>
          <w:color w:val="000000"/>
          <w:lang w:val="en-GB" w:eastAsia="en-GB"/>
        </w:rPr>
        <w:t>h</w:t>
      </w:r>
      <w:r w:rsidRPr="00BE4B00">
        <w:rPr>
          <w:rFonts w:ascii="Arial" w:hAnsi="Arial" w:cs="Arial"/>
          <w:i/>
          <w:color w:val="000000"/>
          <w:lang w:val="en-GB" w:eastAsia="en-GB"/>
        </w:rPr>
        <w:t>ochschule</w:t>
      </w:r>
      <w:proofErr w:type="spellEnd"/>
      <w:r w:rsidRPr="00BE4B00">
        <w:rPr>
          <w:rFonts w:ascii="Arial" w:hAnsi="Arial" w:cs="Arial"/>
          <w:color w:val="000000"/>
          <w:lang w:val="en-GB" w:eastAsia="en-GB"/>
        </w:rPr>
        <w:t xml:space="preserve"> (1%) these tools are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2F19ACF2" wp14:editId="070C7BDC">
            <wp:extent cx="3543300" cy="1247775"/>
            <wp:effectExtent l="0" t="0" r="0" b="0"/>
            <wp:docPr id="3" name="Grafikon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shd w:val="clear" w:color="auto" w:fill="FFFFFF"/>
        <w:spacing w:before="100" w:beforeAutospacing="1" w:after="100" w:afterAutospacing="1" w:line="240" w:lineRule="auto"/>
        <w:jc w:val="both"/>
        <w:rPr>
          <w:rFonts w:ascii="Arial" w:hAnsi="Arial" w:cs="Arial"/>
          <w:b/>
          <w:bCs/>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 xml:space="preserve">Length of foreign studies </w:t>
      </w:r>
    </w:p>
    <w:p w:rsidR="00711A03" w:rsidRPr="00BE4B00" w:rsidRDefault="00711A03" w:rsidP="00A70952">
      <w:pPr>
        <w:shd w:val="clear" w:color="auto" w:fill="FFFFFF"/>
        <w:spacing w:before="100" w:beforeAutospacing="1" w:after="100" w:afterAutospacing="1" w:line="240" w:lineRule="auto"/>
        <w:jc w:val="both"/>
        <w:rPr>
          <w:rFonts w:ascii="Arial" w:hAnsi="Arial" w:cs="Arial"/>
          <w:color w:val="000000"/>
          <w:lang w:val="en-GB" w:eastAsia="en-GB"/>
        </w:rPr>
      </w:pPr>
      <w:r w:rsidRPr="00BE4B00">
        <w:rPr>
          <w:rFonts w:ascii="Arial" w:hAnsi="Arial" w:cs="Arial"/>
          <w:color w:val="000000"/>
          <w:lang w:val="en-GB" w:eastAsia="en-GB"/>
        </w:rPr>
        <w:t xml:space="preserve">Length of foreign studies is </w:t>
      </w:r>
      <w:r w:rsidRPr="00BE4B00">
        <w:rPr>
          <w:rFonts w:ascii="Arial" w:hAnsi="Arial" w:cs="Arial"/>
          <w:color w:val="000000"/>
          <w:u w:val="single"/>
          <w:lang w:val="en-GB" w:eastAsia="en-GB"/>
        </w:rPr>
        <w:t>very much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55 institutions (63%) it is always used, at 17 institutions (20%) it is often used, at 12 institutions (13%) it is seldom used, at 2 institutions (2%) it is never used and at 1 German </w:t>
      </w:r>
      <w:proofErr w:type="spellStart"/>
      <w:r w:rsidRPr="00BE4B00">
        <w:rPr>
          <w:rFonts w:ascii="Arial" w:hAnsi="Arial" w:cs="Arial"/>
          <w:i/>
          <w:color w:val="000000"/>
          <w:lang w:val="en-GB" w:eastAsia="en-GB"/>
        </w:rPr>
        <w:t>Fach</w:t>
      </w:r>
      <w:r>
        <w:rPr>
          <w:rFonts w:ascii="Arial" w:hAnsi="Arial" w:cs="Arial"/>
          <w:i/>
          <w:color w:val="000000"/>
          <w:lang w:val="en-GB" w:eastAsia="en-GB"/>
        </w:rPr>
        <w:t>h</w:t>
      </w:r>
      <w:r w:rsidRPr="00BE4B00">
        <w:rPr>
          <w:rFonts w:ascii="Arial" w:hAnsi="Arial" w:cs="Arial"/>
          <w:i/>
          <w:color w:val="000000"/>
          <w:lang w:val="en-GB" w:eastAsia="en-GB"/>
        </w:rPr>
        <w:t>ochschule</w:t>
      </w:r>
      <w:proofErr w:type="spellEnd"/>
      <w:r w:rsidR="001A4761">
        <w:rPr>
          <w:rFonts w:ascii="Arial" w:hAnsi="Arial" w:cs="Arial"/>
          <w:color w:val="000000"/>
          <w:lang w:val="en-GB" w:eastAsia="en-GB"/>
        </w:rPr>
        <w:t xml:space="preserve"> </w:t>
      </w:r>
      <w:r w:rsidRPr="00BE4B00">
        <w:rPr>
          <w:rFonts w:ascii="Arial" w:hAnsi="Arial" w:cs="Arial"/>
          <w:color w:val="000000"/>
          <w:lang w:val="en-GB" w:eastAsia="en-GB"/>
        </w:rPr>
        <w:t>(1%) this tool is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1D7CD4EC" wp14:editId="5901258B">
            <wp:extent cx="3676650" cy="1457325"/>
            <wp:effectExtent l="0" t="0" r="0" b="0"/>
            <wp:docPr id="4" name="Grafikon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11A03"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F04C1A" w:rsidRDefault="00F04C1A"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F04C1A" w:rsidRPr="00BE4B00" w:rsidRDefault="00F04C1A"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lastRenderedPageBreak/>
        <w:t xml:space="preserve">Learning outcomes achieved </w:t>
      </w:r>
    </w:p>
    <w:p w:rsidR="00711A03" w:rsidRPr="00BE4B00" w:rsidRDefault="0017725A" w:rsidP="00776F7E">
      <w:pPr>
        <w:shd w:val="clear" w:color="auto" w:fill="FFFFFF"/>
        <w:spacing w:before="100" w:beforeAutospacing="1" w:after="100" w:afterAutospacing="1" w:line="240" w:lineRule="auto"/>
        <w:ind w:firstLine="360"/>
        <w:jc w:val="both"/>
        <w:rPr>
          <w:rFonts w:ascii="Arial" w:hAnsi="Arial" w:cs="Arial"/>
          <w:color w:val="000000"/>
          <w:lang w:val="en-GB" w:eastAsia="en-GB"/>
        </w:rPr>
      </w:pPr>
      <w:r>
        <w:rPr>
          <w:rFonts w:ascii="Arial" w:hAnsi="Arial" w:cs="Arial"/>
          <w:color w:val="000000"/>
          <w:lang w:val="en-GB" w:eastAsia="en-GB"/>
        </w:rPr>
        <w:t>LO</w:t>
      </w:r>
      <w:r w:rsidR="00711A03" w:rsidRPr="00BE4B00">
        <w:rPr>
          <w:rFonts w:ascii="Arial" w:hAnsi="Arial" w:cs="Arial"/>
          <w:color w:val="000000"/>
          <w:lang w:val="en-GB" w:eastAsia="en-GB"/>
        </w:rPr>
        <w:t xml:space="preserve"> achieved is a tool </w:t>
      </w:r>
      <w:r w:rsidR="00711A03" w:rsidRPr="00BE4B00">
        <w:rPr>
          <w:rFonts w:ascii="Arial" w:hAnsi="Arial" w:cs="Arial"/>
          <w:color w:val="000000"/>
          <w:u w:val="single"/>
          <w:lang w:val="en-GB" w:eastAsia="en-GB"/>
        </w:rPr>
        <w:t>often used</w:t>
      </w:r>
      <w:r w:rsidR="00711A03" w:rsidRPr="00BE4B00">
        <w:rPr>
          <w:rFonts w:ascii="Arial" w:hAnsi="Arial" w:cs="Arial"/>
          <w:color w:val="000000"/>
          <w:lang w:val="en-GB" w:eastAsia="en-GB"/>
        </w:rPr>
        <w:t xml:space="preserve"> in assessing foreign </w:t>
      </w:r>
      <w:proofErr w:type="gramStart"/>
      <w:r w:rsidR="00711A03" w:rsidRPr="00BE4B00">
        <w:rPr>
          <w:rFonts w:ascii="Arial" w:hAnsi="Arial" w:cs="Arial"/>
          <w:color w:val="000000"/>
          <w:lang w:val="en-GB" w:eastAsia="en-GB"/>
        </w:rPr>
        <w:t>qualifications.</w:t>
      </w:r>
      <w:proofErr w:type="gramEnd"/>
      <w:r w:rsidR="00711A03" w:rsidRPr="00BE4B00">
        <w:rPr>
          <w:rFonts w:ascii="Arial" w:hAnsi="Arial" w:cs="Arial"/>
          <w:color w:val="000000"/>
          <w:lang w:val="en-GB" w:eastAsia="en-GB"/>
        </w:rPr>
        <w:t xml:space="preserve"> </w:t>
      </w:r>
      <w:r w:rsidR="000D3FF4">
        <w:rPr>
          <w:rFonts w:ascii="Arial" w:hAnsi="Arial" w:cs="Arial"/>
          <w:color w:val="000000"/>
          <w:lang w:val="en-GB" w:eastAsia="en-GB"/>
        </w:rPr>
        <w:t>At</w:t>
      </w:r>
      <w:r w:rsidR="00711A03" w:rsidRPr="00BE4B00">
        <w:rPr>
          <w:rFonts w:ascii="Arial" w:hAnsi="Arial" w:cs="Arial"/>
          <w:color w:val="000000"/>
          <w:lang w:val="en-GB" w:eastAsia="en-GB"/>
        </w:rPr>
        <w:t xml:space="preserve"> 30 institutions (35%) it is always used, at 29 institutions (33%) it is often used, at 19 institutions (22%) it is seldom used, at 4 institutions (4%) it is never used and at 5 institutions</w:t>
      </w:r>
      <w:r w:rsidR="00711A03" w:rsidRPr="00BE4B00">
        <w:rPr>
          <w:rFonts w:ascii="Arial" w:hAnsi="Arial" w:cs="Arial"/>
          <w:i/>
          <w:color w:val="000000"/>
          <w:lang w:val="en-GB" w:eastAsia="en-GB"/>
        </w:rPr>
        <w:t xml:space="preserve"> </w:t>
      </w:r>
      <w:r w:rsidR="00711A03" w:rsidRPr="00BE4B00">
        <w:rPr>
          <w:rFonts w:ascii="Arial" w:hAnsi="Arial" w:cs="Arial"/>
          <w:color w:val="000000"/>
          <w:lang w:val="en-GB" w:eastAsia="en-GB"/>
        </w:rPr>
        <w:t>(6%) this tool is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79010B52" wp14:editId="381C4552">
            <wp:extent cx="3733800" cy="1295400"/>
            <wp:effectExtent l="0" t="0" r="0" b="0"/>
            <wp:docPr id="5" name="Grafikon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shd w:val="clear" w:color="auto" w:fill="FFFFFF"/>
        <w:spacing w:before="100" w:beforeAutospacing="1" w:after="100" w:afterAutospacing="1" w:line="240" w:lineRule="auto"/>
        <w:jc w:val="both"/>
        <w:rPr>
          <w:rFonts w:ascii="Arial" w:hAnsi="Arial" w:cs="Arial"/>
          <w:b/>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rPr>
          <w:rFonts w:ascii="Arial" w:hAnsi="Arial" w:cs="Arial"/>
          <w:b/>
          <w:color w:val="000000"/>
          <w:lang w:val="en-GB" w:eastAsia="en-GB"/>
        </w:rPr>
      </w:pPr>
      <w:r w:rsidRPr="00BE4B00">
        <w:rPr>
          <w:rFonts w:ascii="Arial" w:hAnsi="Arial" w:cs="Arial"/>
          <w:b/>
          <w:bCs/>
          <w:color w:val="000000"/>
          <w:lang w:val="en-GB" w:eastAsia="en-GB"/>
        </w:rPr>
        <w:t>Number of credits (ECTS or other)</w:t>
      </w:r>
      <w:r w:rsidRPr="00BE4B00">
        <w:rPr>
          <w:rFonts w:ascii="Arial" w:hAnsi="Arial" w:cs="Arial"/>
          <w:b/>
          <w:color w:val="000000"/>
          <w:lang w:val="en-GB" w:eastAsia="en-GB"/>
        </w:rPr>
        <w:t xml:space="preserve"> </w:t>
      </w:r>
    </w:p>
    <w:p w:rsidR="00711A03" w:rsidRPr="00BE4B00" w:rsidRDefault="00711A03" w:rsidP="00776F7E">
      <w:pPr>
        <w:shd w:val="clear" w:color="auto" w:fill="FFFFFF"/>
        <w:spacing w:before="100" w:beforeAutospacing="1" w:after="100" w:afterAutospacing="1" w:line="240" w:lineRule="auto"/>
        <w:ind w:firstLine="360"/>
        <w:jc w:val="both"/>
        <w:rPr>
          <w:rFonts w:ascii="Arial" w:hAnsi="Arial" w:cs="Arial"/>
          <w:color w:val="000000"/>
          <w:lang w:val="en-GB" w:eastAsia="en-GB"/>
        </w:rPr>
      </w:pPr>
      <w:r w:rsidRPr="00BE4B00">
        <w:rPr>
          <w:rFonts w:ascii="Arial" w:hAnsi="Arial" w:cs="Arial"/>
          <w:color w:val="000000"/>
          <w:lang w:val="en-GB" w:eastAsia="en-GB"/>
        </w:rPr>
        <w:t xml:space="preserve">Number of credits (ECTS or other) is a tool </w:t>
      </w:r>
      <w:r w:rsidRPr="00BE4B00">
        <w:rPr>
          <w:rFonts w:ascii="Arial" w:hAnsi="Arial" w:cs="Arial"/>
          <w:color w:val="000000"/>
          <w:u w:val="single"/>
          <w:lang w:val="en-GB" w:eastAsia="en-GB"/>
        </w:rPr>
        <w:t>almost always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66 institutions (75%) it is always used, at 16 institutions (18%) it is often used, at 4 institutions (6%) it is seldom used and at 1 German </w:t>
      </w:r>
      <w:proofErr w:type="spellStart"/>
      <w:r w:rsidRPr="00BE4B00">
        <w:rPr>
          <w:rFonts w:ascii="Arial" w:hAnsi="Arial" w:cs="Arial"/>
          <w:i/>
          <w:color w:val="000000"/>
          <w:lang w:val="en-GB" w:eastAsia="en-GB"/>
        </w:rPr>
        <w:t>Fach</w:t>
      </w:r>
      <w:r w:rsidR="00232CC2">
        <w:rPr>
          <w:rFonts w:ascii="Arial" w:hAnsi="Arial" w:cs="Arial"/>
          <w:i/>
          <w:color w:val="000000"/>
          <w:lang w:val="en-GB" w:eastAsia="en-GB"/>
        </w:rPr>
        <w:t>h</w:t>
      </w:r>
      <w:r w:rsidRPr="00BE4B00">
        <w:rPr>
          <w:rFonts w:ascii="Arial" w:hAnsi="Arial" w:cs="Arial"/>
          <w:i/>
          <w:color w:val="000000"/>
          <w:lang w:val="en-GB" w:eastAsia="en-GB"/>
        </w:rPr>
        <w:t>ochschule</w:t>
      </w:r>
      <w:proofErr w:type="spellEnd"/>
      <w:r w:rsidRPr="00BE4B00">
        <w:rPr>
          <w:rFonts w:ascii="Arial" w:hAnsi="Arial" w:cs="Arial"/>
          <w:color w:val="000000"/>
          <w:lang w:val="en-GB" w:eastAsia="en-GB"/>
        </w:rPr>
        <w:t xml:space="preserve"> (1%) this tool is not applicable (or known).</w:t>
      </w:r>
    </w:p>
    <w:p w:rsidR="00711A03"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66E1C18E" wp14:editId="7DCB52E0">
            <wp:extent cx="4067175" cy="1352550"/>
            <wp:effectExtent l="0" t="0" r="0" b="0"/>
            <wp:docPr id="6" name="Grafikon 3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04C1A" w:rsidRPr="00BE4B00" w:rsidRDefault="00F04C1A"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 xml:space="preserve">Study results obtained in </w:t>
      </w:r>
      <w:r w:rsidR="00DC6153">
        <w:rPr>
          <w:rFonts w:ascii="Arial" w:hAnsi="Arial" w:cs="Arial"/>
          <w:b/>
          <w:bCs/>
          <w:color w:val="000000"/>
          <w:lang w:val="en-GB" w:eastAsia="en-GB"/>
        </w:rPr>
        <w:t xml:space="preserve">a </w:t>
      </w:r>
      <w:r w:rsidRPr="00BE4B00">
        <w:rPr>
          <w:rFonts w:ascii="Arial" w:hAnsi="Arial" w:cs="Arial"/>
          <w:b/>
          <w:bCs/>
          <w:color w:val="000000"/>
          <w:lang w:val="en-GB" w:eastAsia="en-GB"/>
        </w:rPr>
        <w:t xml:space="preserve">foreign programme </w:t>
      </w:r>
    </w:p>
    <w:p w:rsidR="00711A03" w:rsidRPr="00BE4B00" w:rsidRDefault="00711A03" w:rsidP="00776F7E">
      <w:pPr>
        <w:shd w:val="clear" w:color="auto" w:fill="FFFFFF"/>
        <w:spacing w:before="100" w:beforeAutospacing="1" w:after="100" w:afterAutospacing="1" w:line="240" w:lineRule="auto"/>
        <w:ind w:firstLine="360"/>
        <w:jc w:val="both"/>
        <w:rPr>
          <w:rFonts w:ascii="Arial" w:hAnsi="Arial" w:cs="Arial"/>
          <w:color w:val="000000"/>
          <w:lang w:val="en-GB" w:eastAsia="en-GB"/>
        </w:rPr>
      </w:pPr>
      <w:r w:rsidRPr="00BE4B00">
        <w:rPr>
          <w:rFonts w:ascii="Arial" w:hAnsi="Arial" w:cs="Arial"/>
          <w:color w:val="000000"/>
          <w:lang w:val="en-GB" w:eastAsia="en-GB"/>
        </w:rPr>
        <w:t xml:space="preserve">Study results obtained in </w:t>
      </w:r>
      <w:r w:rsidR="00DC6153">
        <w:rPr>
          <w:rFonts w:ascii="Arial" w:hAnsi="Arial" w:cs="Arial"/>
          <w:color w:val="000000"/>
          <w:lang w:val="en-GB" w:eastAsia="en-GB"/>
        </w:rPr>
        <w:t xml:space="preserve">a </w:t>
      </w:r>
      <w:r w:rsidRPr="00BE4B00">
        <w:rPr>
          <w:rFonts w:ascii="Arial" w:hAnsi="Arial" w:cs="Arial"/>
          <w:color w:val="000000"/>
          <w:lang w:val="en-GB" w:eastAsia="en-GB"/>
        </w:rPr>
        <w:t xml:space="preserve">foreign programme is a tool </w:t>
      </w:r>
      <w:r w:rsidRPr="00BE4B00">
        <w:rPr>
          <w:rFonts w:ascii="Arial" w:hAnsi="Arial" w:cs="Arial"/>
          <w:color w:val="000000"/>
          <w:u w:val="single"/>
          <w:lang w:val="en-GB" w:eastAsia="en-GB"/>
        </w:rPr>
        <w:t>very often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40 institutions (46%) it is always used, at 23 institutions (26%) it is often used, at 15 institutions (18%) it is seldom used, at 7 institutions (8%) it is never used and at 2 institutions (2%) this tool is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093F79F8" wp14:editId="6336E0CE">
            <wp:extent cx="3981450" cy="1390650"/>
            <wp:effectExtent l="0" t="0" r="0" b="0"/>
            <wp:docPr id="7" name="Grafikon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lastRenderedPageBreak/>
        <w:t xml:space="preserve">Grading/conversion table </w:t>
      </w:r>
    </w:p>
    <w:p w:rsidR="00711A03" w:rsidRPr="00BE4B00" w:rsidRDefault="00711A03" w:rsidP="00776F7E">
      <w:pPr>
        <w:shd w:val="clear" w:color="auto" w:fill="FFFFFF"/>
        <w:spacing w:before="100" w:beforeAutospacing="1" w:after="100" w:afterAutospacing="1" w:line="240" w:lineRule="auto"/>
        <w:ind w:firstLine="360"/>
        <w:jc w:val="both"/>
        <w:rPr>
          <w:rFonts w:ascii="Arial" w:hAnsi="Arial" w:cs="Arial"/>
          <w:color w:val="000000"/>
          <w:lang w:val="en-GB" w:eastAsia="en-GB"/>
        </w:rPr>
      </w:pPr>
      <w:r w:rsidRPr="00BE4B00">
        <w:rPr>
          <w:rFonts w:ascii="Arial" w:hAnsi="Arial" w:cs="Arial"/>
          <w:color w:val="000000"/>
          <w:lang w:val="en-GB" w:eastAsia="en-GB"/>
        </w:rPr>
        <w:t xml:space="preserve">Study results obtained in </w:t>
      </w:r>
      <w:r w:rsidR="00CF1AD4">
        <w:rPr>
          <w:rFonts w:ascii="Arial" w:hAnsi="Arial" w:cs="Arial"/>
          <w:color w:val="000000"/>
          <w:lang w:val="en-GB" w:eastAsia="en-GB"/>
        </w:rPr>
        <w:t xml:space="preserve">a </w:t>
      </w:r>
      <w:r w:rsidRPr="00BE4B00">
        <w:rPr>
          <w:rFonts w:ascii="Arial" w:hAnsi="Arial" w:cs="Arial"/>
          <w:color w:val="000000"/>
          <w:lang w:val="en-GB" w:eastAsia="en-GB"/>
        </w:rPr>
        <w:t xml:space="preserve">foreign programme is a tool </w:t>
      </w:r>
      <w:r w:rsidRPr="00BE4B00">
        <w:rPr>
          <w:rFonts w:ascii="Arial" w:hAnsi="Arial" w:cs="Arial"/>
          <w:color w:val="000000"/>
          <w:u w:val="single"/>
          <w:lang w:val="en-GB" w:eastAsia="en-GB"/>
        </w:rPr>
        <w:t>often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47 institutions (54%) it is always used, at 17 institutions (19%) it is often used, at 16 institutions (18%) it is seldom used, at 4 institutions (6%) it is never used and at 3 institutions (3%) this tool is not applicable (or known).</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01691E16" wp14:editId="38B3F592">
            <wp:extent cx="4219575" cy="1247775"/>
            <wp:effectExtent l="0" t="0" r="0" b="0"/>
            <wp:docPr id="8" name="Grafikon 3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776F7E">
      <w:pPr>
        <w:pStyle w:val="ListParagraph"/>
        <w:numPr>
          <w:ilvl w:val="0"/>
          <w:numId w:val="4"/>
        </w:num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Quality/reputation/ranking of foreign higher education institution </w:t>
      </w:r>
    </w:p>
    <w:p w:rsidR="00711A03" w:rsidRPr="00BE4B00" w:rsidRDefault="00711A03" w:rsidP="00BE778E">
      <w:pPr>
        <w:shd w:val="clear" w:color="auto" w:fill="FFFFFF"/>
        <w:spacing w:before="100" w:beforeAutospacing="1" w:after="100" w:afterAutospacing="1" w:line="240" w:lineRule="auto"/>
        <w:jc w:val="both"/>
        <w:rPr>
          <w:rFonts w:ascii="Arial" w:hAnsi="Arial" w:cs="Arial"/>
          <w:color w:val="000000"/>
          <w:lang w:val="en-GB" w:eastAsia="en-GB"/>
        </w:rPr>
      </w:pPr>
      <w:r w:rsidRPr="00BE4B00">
        <w:rPr>
          <w:rFonts w:ascii="Arial" w:hAnsi="Arial" w:cs="Arial"/>
          <w:color w:val="000000"/>
          <w:lang w:val="en-GB" w:eastAsia="en-GB"/>
        </w:rPr>
        <w:t xml:space="preserve">Quality/reputation/ranking of foreign higher education institution as a tool </w:t>
      </w:r>
      <w:r w:rsidRPr="00BE4B00">
        <w:rPr>
          <w:rFonts w:ascii="Arial" w:hAnsi="Arial" w:cs="Arial"/>
          <w:color w:val="000000"/>
          <w:u w:val="single"/>
          <w:lang w:val="en-GB" w:eastAsia="en-GB"/>
        </w:rPr>
        <w:t>is not often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10 institutions (12%) it is always used, at 14 institutions (16%) it is often used, at 32 institutions (37%) it is seldom used, at 25 institutions (28%) it is never used and at 6 institutions (7%) this tool is not applicable (or known).</w:t>
      </w:r>
    </w:p>
    <w:p w:rsidR="00711A03" w:rsidRPr="00BE4B00" w:rsidRDefault="00711A03" w:rsidP="00776F7E">
      <w:pPr>
        <w:shd w:val="clear" w:color="auto" w:fill="FFFFFF"/>
        <w:spacing w:before="100" w:beforeAutospacing="1" w:after="100" w:afterAutospacing="1" w:line="240" w:lineRule="auto"/>
        <w:ind w:firstLine="360"/>
        <w:jc w:val="both"/>
        <w:rPr>
          <w:rFonts w:ascii="Arial" w:hAnsi="Arial" w:cs="Arial"/>
          <w:b/>
          <w:bCs/>
          <w:color w:val="000000"/>
          <w:lang w:val="en-GB" w:eastAsia="en-GB"/>
        </w:rPr>
      </w:pP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6146265A" wp14:editId="5B3A2FC6">
            <wp:extent cx="4086225" cy="1457325"/>
            <wp:effectExtent l="0" t="0" r="0" b="0"/>
            <wp:docPr id="9" name="Grafikon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11A03" w:rsidRPr="00BE4B00" w:rsidRDefault="00711A03" w:rsidP="00776F7E">
      <w:pPr>
        <w:pStyle w:val="ListParagraph"/>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E51622">
      <w:pPr>
        <w:pStyle w:val="ListParagraph"/>
        <w:numPr>
          <w:ilvl w:val="0"/>
          <w:numId w:val="4"/>
        </w:num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Professional/personal relevant experience/</w:t>
      </w:r>
      <w:r w:rsidR="00E51622" w:rsidRPr="00E51622">
        <w:rPr>
          <w:rFonts w:ascii="Arial" w:hAnsi="Arial" w:cs="Arial"/>
          <w:b/>
          <w:bCs/>
          <w:color w:val="000000"/>
          <w:lang w:val="en-GB" w:eastAsia="en-GB"/>
        </w:rPr>
        <w:t xml:space="preserve">recognition of prior learning </w:t>
      </w:r>
      <w:r w:rsidR="00E51622">
        <w:rPr>
          <w:rFonts w:ascii="Arial" w:hAnsi="Arial" w:cs="Arial"/>
          <w:b/>
          <w:bCs/>
          <w:color w:val="000000"/>
          <w:lang w:val="en-GB" w:eastAsia="en-GB"/>
        </w:rPr>
        <w:t>(</w:t>
      </w:r>
      <w:r w:rsidRPr="00BE4B00">
        <w:rPr>
          <w:rFonts w:ascii="Arial" w:hAnsi="Arial" w:cs="Arial"/>
          <w:b/>
          <w:bCs/>
          <w:color w:val="000000"/>
          <w:lang w:val="en-GB" w:eastAsia="en-GB"/>
        </w:rPr>
        <w:t>RPL</w:t>
      </w:r>
      <w:r w:rsidR="00E51622">
        <w:rPr>
          <w:rFonts w:ascii="Arial" w:hAnsi="Arial" w:cs="Arial"/>
          <w:b/>
          <w:bCs/>
          <w:color w:val="000000"/>
          <w:lang w:val="en-GB" w:eastAsia="en-GB"/>
        </w:rPr>
        <w:t>)</w:t>
      </w:r>
    </w:p>
    <w:p w:rsidR="00711A03" w:rsidRPr="00BE4B00" w:rsidRDefault="00711A03" w:rsidP="00BE778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color w:val="000000"/>
          <w:lang w:val="en-GB" w:eastAsia="en-GB"/>
        </w:rPr>
        <w:t xml:space="preserve">Professional/personal relevant experience/recognition of prior learning </w:t>
      </w:r>
      <w:r w:rsidRPr="00BE4B00">
        <w:rPr>
          <w:rFonts w:ascii="Arial" w:hAnsi="Arial" w:cs="Arial"/>
          <w:color w:val="000000"/>
          <w:u w:val="single"/>
          <w:lang w:val="en-GB" w:eastAsia="en-GB"/>
        </w:rPr>
        <w:t>is not often used</w:t>
      </w:r>
      <w:r w:rsidRPr="00BE4B00">
        <w:rPr>
          <w:rFonts w:ascii="Arial" w:hAnsi="Arial" w:cs="Arial"/>
          <w:color w:val="000000"/>
          <w:lang w:val="en-GB" w:eastAsia="en-GB"/>
        </w:rPr>
        <w:t xml:space="preserve"> in assessing foreign qualifications. </w:t>
      </w:r>
      <w:r w:rsidR="000D3FF4">
        <w:rPr>
          <w:rFonts w:ascii="Arial" w:hAnsi="Arial" w:cs="Arial"/>
          <w:color w:val="000000"/>
          <w:lang w:val="en-GB" w:eastAsia="en-GB"/>
        </w:rPr>
        <w:t>At</w:t>
      </w:r>
      <w:r w:rsidRPr="00BE4B00">
        <w:rPr>
          <w:rFonts w:ascii="Arial" w:hAnsi="Arial" w:cs="Arial"/>
          <w:color w:val="000000"/>
          <w:lang w:val="en-GB" w:eastAsia="en-GB"/>
        </w:rPr>
        <w:t xml:space="preserve"> 9 institutions (10%) it is always used, at 19 institutions (22%) it is often used, at 38 institutions (44%) it is seldom used, at 13 institutions (15%) it is never used and at 8 institutions (9%) this tool is not applicable (or known).</w:t>
      </w:r>
      <w:r w:rsidRPr="00BE4B00">
        <w:rPr>
          <w:rFonts w:ascii="Arial" w:hAnsi="Arial" w:cs="Arial"/>
          <w:bCs/>
          <w:color w:val="000000"/>
          <w:lang w:val="en-GB" w:eastAsia="en-GB"/>
        </w:rPr>
        <w:t xml:space="preserve"> A Flemish institution additionally explained that there is a separate procedure for recognition of prior learning</w:t>
      </w:r>
      <w:r w:rsidR="00D70F4A">
        <w:rPr>
          <w:rFonts w:ascii="Arial" w:hAnsi="Arial" w:cs="Arial"/>
          <w:bCs/>
          <w:color w:val="000000"/>
          <w:lang w:val="en-GB" w:eastAsia="en-GB"/>
        </w:rPr>
        <w:t>.</w:t>
      </w:r>
    </w:p>
    <w:p w:rsidR="00F04C1A" w:rsidRDefault="00F04C1A" w:rsidP="00A46785">
      <w:pPr>
        <w:shd w:val="clear" w:color="auto" w:fill="FFFFFF"/>
        <w:spacing w:before="100" w:beforeAutospacing="1" w:after="100" w:afterAutospacing="1" w:line="240" w:lineRule="auto"/>
        <w:jc w:val="both"/>
        <w:rPr>
          <w:rFonts w:ascii="Arial" w:hAnsi="Arial" w:cs="Arial"/>
          <w:bCs/>
          <w:color w:val="000000"/>
          <w:lang w:val="en-GB" w:eastAsia="en-GB"/>
        </w:rPr>
      </w:pPr>
    </w:p>
    <w:p w:rsidR="00711A03" w:rsidRPr="00BE4B00" w:rsidRDefault="00711A03" w:rsidP="00A46785">
      <w:pPr>
        <w:shd w:val="clear" w:color="auto" w:fill="FFFFFF"/>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Cs/>
          <w:color w:val="000000"/>
          <w:lang w:val="en-GB" w:eastAsia="en-GB"/>
        </w:rPr>
        <w:t xml:space="preserve">Among </w:t>
      </w:r>
      <w:r w:rsidRPr="00BE4B00">
        <w:rPr>
          <w:rFonts w:ascii="Arial" w:hAnsi="Arial" w:cs="Arial"/>
          <w:b/>
          <w:bCs/>
          <w:color w:val="000000"/>
          <w:lang w:val="en-GB" w:eastAsia="en-GB"/>
        </w:rPr>
        <w:t>other tools</w:t>
      </w:r>
      <w:r w:rsidRPr="00BE4B00">
        <w:rPr>
          <w:rFonts w:ascii="Arial" w:hAnsi="Arial" w:cs="Arial"/>
          <w:bCs/>
          <w:color w:val="000000"/>
          <w:lang w:val="en-GB" w:eastAsia="en-GB"/>
        </w:rPr>
        <w:t xml:space="preserve"> that are being used in recognition, respondents mentioned:</w:t>
      </w:r>
      <w:r w:rsidRPr="00BE4B00">
        <w:rPr>
          <w:rFonts w:ascii="Arial" w:hAnsi="Arial" w:cs="Arial"/>
          <w:b/>
          <w:bCs/>
          <w:color w:val="000000"/>
          <w:lang w:val="en-GB" w:eastAsia="en-GB"/>
        </w:rPr>
        <w:t xml:space="preserv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xml:space="preserve">relative marks like "Passed with distinction",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xml:space="preserve">letter of motivation and/or of recommendation,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tests</w:t>
      </w:r>
      <w:r w:rsidR="00032C29">
        <w:rPr>
          <w:rFonts w:ascii="Arial" w:hAnsi="Arial" w:cs="Arial"/>
          <w:bCs/>
          <w:color w:val="000000"/>
          <w:lang w:val="en-GB" w:eastAsia="en-GB"/>
        </w:rPr>
        <w:t xml:space="preserve"> (acceptance tests/ linguistic),</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lastRenderedPageBreak/>
        <w:t>number of hours for each course,</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admission project presentation,</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criteria recommended by the QA Agency and ENIC</w:t>
      </w:r>
      <w:r w:rsidR="0017725A">
        <w:rPr>
          <w:rFonts w:ascii="Arial" w:hAnsi="Arial" w:cs="Arial"/>
          <w:bCs/>
          <w:color w:val="000000"/>
          <w:lang w:val="en-GB" w:eastAsia="en-GB"/>
        </w:rPr>
        <w:t>-</w:t>
      </w:r>
      <w:proofErr w:type="spellStart"/>
      <w:r w:rsidRPr="00BE4B00">
        <w:rPr>
          <w:rFonts w:ascii="Arial" w:hAnsi="Arial" w:cs="Arial"/>
          <w:bCs/>
          <w:color w:val="000000"/>
          <w:lang w:val="en-GB" w:eastAsia="en-GB"/>
        </w:rPr>
        <w:t>Naric</w:t>
      </w:r>
      <w:proofErr w:type="spellEnd"/>
      <w:r w:rsidRPr="00BE4B00">
        <w:rPr>
          <w:rFonts w:ascii="Arial" w:hAnsi="Arial" w:cs="Arial"/>
          <w:bCs/>
          <w:color w:val="000000"/>
          <w:lang w:val="en-GB" w:eastAsia="en-GB"/>
        </w:rPr>
        <w:t xml:space="preserve"> Office,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xml:space="preserve">institutional research within certain relevant curricular areas,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Diploma work.</w:t>
      </w:r>
    </w:p>
    <w:p w:rsidR="00711A03" w:rsidRPr="00BE4B00" w:rsidRDefault="00711A03" w:rsidP="00776F7E">
      <w:pPr>
        <w:shd w:val="clear" w:color="auto" w:fill="FFFFFF"/>
        <w:spacing w:before="100" w:beforeAutospacing="1" w:after="100" w:afterAutospacing="1" w:line="240" w:lineRule="auto"/>
        <w:jc w:val="both"/>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rPr>
          <w:rFonts w:ascii="Arial" w:hAnsi="Arial" w:cs="Arial"/>
          <w:b/>
          <w:bCs/>
          <w:color w:val="000000"/>
          <w:lang w:val="en-GB" w:eastAsia="en-GB"/>
        </w:rPr>
      </w:pPr>
      <w:r w:rsidRPr="00BE4B00">
        <w:rPr>
          <w:rFonts w:ascii="Arial" w:hAnsi="Arial" w:cs="Arial"/>
          <w:b/>
          <w:bCs/>
          <w:color w:val="000000"/>
          <w:lang w:val="en-GB" w:eastAsia="en-GB"/>
        </w:rPr>
        <w:t>Substantial difference</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When asked about what makes a substantial difference, the respondents most often replied with the following (in brackets</w:t>
      </w:r>
      <w:r w:rsidR="00DC6153">
        <w:rPr>
          <w:rFonts w:ascii="Arial" w:hAnsi="Arial" w:cs="Arial"/>
          <w:bCs/>
          <w:color w:val="000000"/>
          <w:lang w:val="en-GB" w:eastAsia="en-GB"/>
        </w:rPr>
        <w:t>,</w:t>
      </w:r>
      <w:r w:rsidRPr="00BE4B00">
        <w:rPr>
          <w:rFonts w:ascii="Arial" w:hAnsi="Arial" w:cs="Arial"/>
          <w:bCs/>
          <w:color w:val="000000"/>
          <w:lang w:val="en-GB" w:eastAsia="en-GB"/>
        </w:rPr>
        <w:t xml:space="preserve"> the number</w:t>
      </w:r>
      <w:r w:rsidR="00DC6153">
        <w:rPr>
          <w:rFonts w:ascii="Arial" w:hAnsi="Arial" w:cs="Arial"/>
          <w:bCs/>
          <w:color w:val="000000"/>
          <w:lang w:val="en-GB" w:eastAsia="en-GB"/>
        </w:rPr>
        <w:t xml:space="preserve"> of times the elements listed below </w:t>
      </w:r>
      <w:proofErr w:type="gramStart"/>
      <w:r w:rsidR="00DC6153">
        <w:rPr>
          <w:rFonts w:ascii="Arial" w:hAnsi="Arial" w:cs="Arial"/>
          <w:bCs/>
          <w:color w:val="000000"/>
          <w:lang w:val="en-GB" w:eastAsia="en-GB"/>
        </w:rPr>
        <w:t>were</w:t>
      </w:r>
      <w:proofErr w:type="gramEnd"/>
      <w:r w:rsidR="00DC6153">
        <w:rPr>
          <w:rFonts w:ascii="Arial" w:hAnsi="Arial" w:cs="Arial"/>
          <w:bCs/>
          <w:color w:val="000000"/>
          <w:lang w:val="en-GB" w:eastAsia="en-GB"/>
        </w:rPr>
        <w:t xml:space="preserve"> referred to)</w:t>
      </w:r>
      <w:r w:rsidRPr="00BE4B00">
        <w:rPr>
          <w:rFonts w:ascii="Arial" w:hAnsi="Arial" w:cs="Arial"/>
          <w:bCs/>
          <w:color w:val="000000"/>
          <w:lang w:val="en-GB" w:eastAsia="en-GB"/>
        </w:rPr>
        <w:t>:</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Duration of a study programme / Number of credits (23)</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Content and/or the structure of the study program</w:t>
      </w:r>
      <w:r w:rsidR="00DC6153">
        <w:rPr>
          <w:rFonts w:ascii="Arial" w:hAnsi="Arial" w:cs="Arial"/>
          <w:bCs/>
          <w:color w:val="000000"/>
          <w:lang w:val="en-GB" w:eastAsia="en-GB"/>
        </w:rPr>
        <w:t>me</w:t>
      </w:r>
      <w:r w:rsidRPr="00BE4B00">
        <w:rPr>
          <w:rFonts w:ascii="Arial" w:hAnsi="Arial" w:cs="Arial"/>
          <w:bCs/>
          <w:color w:val="000000"/>
          <w:lang w:val="en-GB" w:eastAsia="en-GB"/>
        </w:rPr>
        <w:t xml:space="preserve"> and/or LOs (21)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Recognition/accreditation of the Institution</w:t>
      </w:r>
      <w:r w:rsidR="00A81D17">
        <w:rPr>
          <w:rFonts w:ascii="Arial" w:hAnsi="Arial" w:cs="Arial"/>
          <w:bCs/>
          <w:color w:val="000000"/>
          <w:lang w:val="en-GB" w:eastAsia="en-GB"/>
        </w:rPr>
        <w:t>/programme</w:t>
      </w:r>
      <w:r w:rsidRPr="00BE4B00">
        <w:rPr>
          <w:rFonts w:ascii="Arial" w:hAnsi="Arial" w:cs="Arial"/>
          <w:bCs/>
          <w:color w:val="000000"/>
          <w:lang w:val="en-GB" w:eastAsia="en-GB"/>
        </w:rPr>
        <w:t xml:space="preserve"> and qualification by competent authorities (6)</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Differences in level (6)</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Grading or study results (4)</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Faked degree (3)</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Entrance requirements (2)</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Different educational systems, looking at them as a whole (3)</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xml:space="preserve">- Difference between </w:t>
      </w:r>
      <w:r w:rsidR="00680A0D">
        <w:rPr>
          <w:rFonts w:ascii="Arial" w:hAnsi="Arial" w:cs="Arial"/>
          <w:bCs/>
          <w:color w:val="000000"/>
          <w:lang w:val="en-GB" w:eastAsia="en-GB"/>
        </w:rPr>
        <w:t>“</w:t>
      </w:r>
      <w:r w:rsidRPr="00BE4B00">
        <w:rPr>
          <w:rFonts w:ascii="Arial" w:hAnsi="Arial" w:cs="Arial"/>
          <w:bCs/>
          <w:color w:val="000000"/>
          <w:lang w:val="en-GB" w:eastAsia="en-GB"/>
        </w:rPr>
        <w:t xml:space="preserve">Bachelor </w:t>
      </w:r>
      <w:r w:rsidR="00680A0D">
        <w:rPr>
          <w:rFonts w:ascii="Arial" w:hAnsi="Arial" w:cs="Arial"/>
          <w:bCs/>
          <w:color w:val="000000"/>
          <w:lang w:val="en-GB" w:eastAsia="en-GB"/>
        </w:rPr>
        <w:t xml:space="preserve">Academic” </w:t>
      </w:r>
      <w:r w:rsidRPr="00BE4B00">
        <w:rPr>
          <w:rFonts w:ascii="Arial" w:hAnsi="Arial" w:cs="Arial"/>
          <w:bCs/>
          <w:color w:val="000000"/>
          <w:lang w:val="en-GB" w:eastAsia="en-GB"/>
        </w:rPr>
        <w:t xml:space="preserve">and </w:t>
      </w:r>
      <w:r w:rsidR="00680A0D">
        <w:rPr>
          <w:rFonts w:ascii="Arial" w:hAnsi="Arial" w:cs="Arial"/>
          <w:bCs/>
          <w:color w:val="000000"/>
          <w:lang w:val="en-GB" w:eastAsia="en-GB"/>
        </w:rPr>
        <w:t>“</w:t>
      </w:r>
      <w:r w:rsidRPr="00BE4B00">
        <w:rPr>
          <w:rFonts w:ascii="Arial" w:hAnsi="Arial" w:cs="Arial"/>
          <w:bCs/>
          <w:color w:val="000000"/>
          <w:lang w:val="en-GB" w:eastAsia="en-GB"/>
        </w:rPr>
        <w:t>Bachelor Professional</w:t>
      </w:r>
      <w:r w:rsidR="00680A0D">
        <w:rPr>
          <w:rFonts w:ascii="Arial" w:hAnsi="Arial" w:cs="Arial"/>
          <w:bCs/>
          <w:color w:val="000000"/>
          <w:lang w:val="en-GB" w:eastAsia="en-GB"/>
        </w:rPr>
        <w:t>”</w:t>
      </w:r>
      <w:r w:rsidRPr="00BE4B00">
        <w:rPr>
          <w:rFonts w:ascii="Arial" w:hAnsi="Arial" w:cs="Arial"/>
          <w:bCs/>
          <w:color w:val="000000"/>
          <w:lang w:val="en-GB" w:eastAsia="en-GB"/>
        </w:rPr>
        <w:t xml:space="preserve">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Relevance of the degree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Individual case decisions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The title of the degree certificate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Final thesis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r w:rsidRPr="00BE4B00">
        <w:rPr>
          <w:rFonts w:ascii="Arial" w:hAnsi="Arial" w:cs="Arial"/>
          <w:bCs/>
          <w:color w:val="000000"/>
          <w:lang w:val="en-GB" w:eastAsia="en-GB"/>
        </w:rPr>
        <w:t xml:space="preserve">- </w:t>
      </w:r>
      <w:r w:rsidR="0017725A">
        <w:rPr>
          <w:rFonts w:ascii="Arial" w:hAnsi="Arial" w:cs="Arial"/>
          <w:bCs/>
          <w:color w:val="000000"/>
          <w:lang w:val="en-GB" w:eastAsia="en-GB"/>
        </w:rPr>
        <w:t>RPL</w:t>
      </w:r>
      <w:r w:rsidRPr="00BE4B00">
        <w:rPr>
          <w:rFonts w:ascii="Arial" w:hAnsi="Arial" w:cs="Arial"/>
          <w:bCs/>
          <w:color w:val="000000"/>
          <w:lang w:val="en-GB" w:eastAsia="en-GB"/>
        </w:rPr>
        <w:t xml:space="preserve"> (1)</w:t>
      </w:r>
    </w:p>
    <w:p w:rsidR="00711A03" w:rsidRPr="00BE4B00" w:rsidRDefault="00711A03" w:rsidP="00776F7E">
      <w:pPr>
        <w:shd w:val="clear" w:color="auto" w:fill="FFFFFF"/>
        <w:spacing w:before="100" w:beforeAutospacing="1" w:after="100" w:afterAutospacing="1" w:line="240" w:lineRule="auto"/>
        <w:jc w:val="both"/>
        <w:rPr>
          <w:rFonts w:ascii="Arial" w:hAnsi="Arial" w:cs="Arial"/>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Q14. Which documents does the student have to provide in order to enable a decision to be taken on his/her access and admission to the Master’s programme?</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The </w:t>
      </w:r>
      <w:proofErr w:type="gramStart"/>
      <w:r w:rsidRPr="00BE4B00">
        <w:rPr>
          <w:rFonts w:ascii="Arial" w:hAnsi="Arial" w:cs="Arial"/>
          <w:bCs/>
          <w:color w:val="000000"/>
          <w:lang w:val="en-GB" w:eastAsia="en-GB"/>
        </w:rPr>
        <w:t xml:space="preserve">list of documents needed to </w:t>
      </w:r>
      <w:r w:rsidR="0087023E">
        <w:rPr>
          <w:rFonts w:ascii="Arial" w:hAnsi="Arial" w:cs="Arial"/>
          <w:bCs/>
          <w:color w:val="000000"/>
          <w:lang w:val="en-GB" w:eastAsia="en-GB"/>
        </w:rPr>
        <w:t xml:space="preserve">have </w:t>
      </w:r>
      <w:r w:rsidRPr="00BE4B00">
        <w:rPr>
          <w:rFonts w:ascii="Arial" w:hAnsi="Arial" w:cs="Arial"/>
          <w:bCs/>
          <w:color w:val="000000"/>
          <w:lang w:val="en-GB" w:eastAsia="en-GB"/>
        </w:rPr>
        <w:t xml:space="preserve">access and </w:t>
      </w:r>
      <w:r w:rsidR="0087023E">
        <w:rPr>
          <w:rFonts w:ascii="Arial" w:hAnsi="Arial" w:cs="Arial"/>
          <w:bCs/>
          <w:color w:val="000000"/>
          <w:lang w:val="en-GB" w:eastAsia="en-GB"/>
        </w:rPr>
        <w:t xml:space="preserve">to </w:t>
      </w:r>
      <w:r w:rsidRPr="00BE4B00">
        <w:rPr>
          <w:rFonts w:ascii="Arial" w:hAnsi="Arial" w:cs="Arial"/>
          <w:bCs/>
          <w:color w:val="000000"/>
          <w:lang w:val="en-GB" w:eastAsia="en-GB"/>
        </w:rPr>
        <w:t>be admitted to the Ma</w:t>
      </w:r>
      <w:r w:rsidR="0087023E">
        <w:rPr>
          <w:rFonts w:ascii="Arial" w:hAnsi="Arial" w:cs="Arial"/>
          <w:bCs/>
          <w:color w:val="000000"/>
          <w:lang w:val="en-GB" w:eastAsia="en-GB"/>
        </w:rPr>
        <w:t>s</w:t>
      </w:r>
      <w:r w:rsidRPr="00BE4B00">
        <w:rPr>
          <w:rFonts w:ascii="Arial" w:hAnsi="Arial" w:cs="Arial"/>
          <w:bCs/>
          <w:color w:val="000000"/>
          <w:lang w:val="en-GB" w:eastAsia="en-GB"/>
        </w:rPr>
        <w:t>ter’s programme include</w:t>
      </w:r>
      <w:proofErr w:type="gramEnd"/>
      <w:r w:rsidRPr="00BE4B00">
        <w:rPr>
          <w:rFonts w:ascii="Arial" w:hAnsi="Arial" w:cs="Arial"/>
          <w:bCs/>
          <w:color w:val="000000"/>
          <w:lang w:val="en-GB" w:eastAsia="en-GB"/>
        </w:rPr>
        <w:t xml:space="preserve"> the following (</w:t>
      </w:r>
      <w:r w:rsidR="00DC6153" w:rsidRPr="00BE4B00">
        <w:rPr>
          <w:rFonts w:ascii="Arial" w:hAnsi="Arial" w:cs="Arial"/>
          <w:bCs/>
          <w:color w:val="000000"/>
          <w:lang w:val="en-GB" w:eastAsia="en-GB"/>
        </w:rPr>
        <w:t>in brackets</w:t>
      </w:r>
      <w:r w:rsidR="00DC6153">
        <w:rPr>
          <w:rFonts w:ascii="Arial" w:hAnsi="Arial" w:cs="Arial"/>
          <w:bCs/>
          <w:color w:val="000000"/>
          <w:lang w:val="en-GB" w:eastAsia="en-GB"/>
        </w:rPr>
        <w:t>,</w:t>
      </w:r>
      <w:r w:rsidR="00DC6153" w:rsidRPr="00BE4B00">
        <w:rPr>
          <w:rFonts w:ascii="Arial" w:hAnsi="Arial" w:cs="Arial"/>
          <w:bCs/>
          <w:color w:val="000000"/>
          <w:lang w:val="en-GB" w:eastAsia="en-GB"/>
        </w:rPr>
        <w:t xml:space="preserve"> the number</w:t>
      </w:r>
      <w:r w:rsidR="00DC6153">
        <w:rPr>
          <w:rFonts w:ascii="Arial" w:hAnsi="Arial" w:cs="Arial"/>
          <w:bCs/>
          <w:color w:val="000000"/>
          <w:lang w:val="en-GB" w:eastAsia="en-GB"/>
        </w:rPr>
        <w:t xml:space="preserve"> of times the elements listed below were referred to</w:t>
      </w:r>
      <w:r w:rsidRPr="00BE4B00">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Original of the diploma providing access to Master’s studies (23)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Certified copy of the diploma providing access to Master’s studies (74)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lastRenderedPageBreak/>
        <w:t xml:space="preserve">Certified translation of the diploma (84) </w:t>
      </w:r>
    </w:p>
    <w:p w:rsidR="00711A03" w:rsidRPr="00BE4B00" w:rsidRDefault="0017725A"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rFonts w:ascii="Arial" w:hAnsi="Arial" w:cs="Arial"/>
          <w:bCs/>
          <w:color w:val="000000"/>
          <w:lang w:val="en-GB" w:eastAsia="en-GB"/>
        </w:rPr>
        <w:t>DS</w:t>
      </w:r>
      <w:r w:rsidR="00711A03" w:rsidRPr="00BE4B00">
        <w:rPr>
          <w:rFonts w:ascii="Arial" w:hAnsi="Arial" w:cs="Arial"/>
          <w:bCs/>
          <w:color w:val="000000"/>
          <w:lang w:val="en-GB" w:eastAsia="en-GB"/>
        </w:rPr>
        <w:t xml:space="preserve"> (60)</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An overview of the programme components followed by the applicant </w:t>
      </w:r>
      <w:r w:rsidR="001D1117">
        <w:rPr>
          <w:rFonts w:ascii="Arial" w:hAnsi="Arial" w:cs="Arial"/>
          <w:bCs/>
          <w:color w:val="000000"/>
          <w:lang w:val="en-GB" w:eastAsia="en-GB"/>
        </w:rPr>
        <w:t xml:space="preserve">in case </w:t>
      </w:r>
      <w:r w:rsidRPr="00BE4B00">
        <w:rPr>
          <w:rFonts w:ascii="Arial" w:hAnsi="Arial" w:cs="Arial"/>
          <w:bCs/>
          <w:color w:val="000000"/>
          <w:lang w:val="en-GB" w:eastAsia="en-GB"/>
        </w:rPr>
        <w:t>there is no D</w:t>
      </w:r>
      <w:r w:rsidR="0017725A">
        <w:rPr>
          <w:rFonts w:ascii="Arial" w:hAnsi="Arial" w:cs="Arial"/>
          <w:bCs/>
          <w:color w:val="000000"/>
          <w:lang w:val="en-GB" w:eastAsia="en-GB"/>
        </w:rPr>
        <w:t>S</w:t>
      </w:r>
      <w:r w:rsidRPr="00BE4B00">
        <w:rPr>
          <w:rFonts w:ascii="Arial" w:hAnsi="Arial" w:cs="Arial"/>
          <w:bCs/>
          <w:color w:val="000000"/>
          <w:lang w:val="en-GB" w:eastAsia="en-GB"/>
        </w:rPr>
        <w:t xml:space="preserve"> (57) </w:t>
      </w:r>
    </w:p>
    <w:p w:rsidR="00711A03" w:rsidRPr="00BE4B00" w:rsidRDefault="00711A03" w:rsidP="00776F7E">
      <w:pPr>
        <w:shd w:val="clear" w:color="auto" w:fill="FFFFFF"/>
        <w:spacing w:before="100" w:beforeAutospacing="1" w:after="100" w:afterAutospacing="1" w:line="240" w:lineRule="auto"/>
        <w:ind w:firstLine="360"/>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It is noticeable in the analysis that certain institutions ask for the programme components only, not as a substitute where there is no </w:t>
      </w:r>
      <w:r w:rsidR="0017725A">
        <w:rPr>
          <w:rFonts w:ascii="Arial" w:hAnsi="Arial" w:cs="Arial"/>
          <w:bCs/>
          <w:color w:val="000000"/>
          <w:lang w:val="en-GB" w:eastAsia="en-GB"/>
        </w:rPr>
        <w:t>DS</w:t>
      </w:r>
      <w:r w:rsidRPr="00BE4B00">
        <w:rPr>
          <w:rFonts w:ascii="Arial" w:hAnsi="Arial" w:cs="Arial"/>
          <w:bCs/>
          <w:color w:val="000000"/>
          <w:lang w:val="en-GB" w:eastAsia="en-GB"/>
        </w:rPr>
        <w:t xml:space="preserve"> available. In addition to the above mentioned documents, the institutions may ask for the following: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Language Competence certificates,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CV,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Letter of Motivation,</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Transcript of Records</w:t>
      </w:r>
      <w:r w:rsidR="00922B1E">
        <w:rPr>
          <w:rFonts w:ascii="Arial" w:hAnsi="Arial" w:cs="Arial"/>
          <w:bCs/>
          <w:color w:val="000000"/>
          <w:lang w:val="en-GB" w:eastAsia="en-GB"/>
        </w:rPr>
        <w:t>,</w:t>
      </w:r>
      <w:r w:rsidRPr="00BE4B00">
        <w:rPr>
          <w:rFonts w:ascii="Arial" w:hAnsi="Arial" w:cs="Arial"/>
          <w:bCs/>
          <w:color w:val="000000"/>
          <w:lang w:val="en-GB" w:eastAsia="en-GB"/>
        </w:rPr>
        <w:t xml:space="preserv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Copy and translation of the school leaving certificate</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detailed course descriptions</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Reference letters,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Certified copy, </w:t>
      </w:r>
      <w:proofErr w:type="spellStart"/>
      <w:r w:rsidR="001D1117">
        <w:rPr>
          <w:rFonts w:ascii="Arial" w:hAnsi="Arial" w:cs="Arial"/>
          <w:bCs/>
          <w:color w:val="000000"/>
          <w:lang w:val="en-GB" w:eastAsia="en-GB"/>
        </w:rPr>
        <w:t>A</w:t>
      </w:r>
      <w:r w:rsidRPr="00BE4B00">
        <w:rPr>
          <w:rFonts w:ascii="Arial" w:hAnsi="Arial" w:cs="Arial"/>
          <w:bCs/>
          <w:color w:val="000000"/>
          <w:lang w:val="en-GB" w:eastAsia="en-GB"/>
        </w:rPr>
        <w:t>postille</w:t>
      </w:r>
      <w:proofErr w:type="spellEnd"/>
      <w:r w:rsidRPr="00BE4B00">
        <w:rPr>
          <w:rFonts w:ascii="Arial" w:hAnsi="Arial" w:cs="Arial"/>
          <w:bCs/>
          <w:color w:val="000000"/>
          <w:lang w:val="en-GB" w:eastAsia="en-GB"/>
        </w:rPr>
        <w:t xml:space="preserve"> seal</w:t>
      </w:r>
      <w:r w:rsidR="00922B1E">
        <w:rPr>
          <w:rFonts w:ascii="Arial" w:hAnsi="Arial" w:cs="Arial"/>
          <w:bCs/>
          <w:color w:val="000000"/>
          <w:lang w:val="en-GB" w:eastAsia="en-GB"/>
        </w:rPr>
        <w:t>,</w:t>
      </w:r>
      <w:r w:rsidRPr="00BE4B00">
        <w:rPr>
          <w:rFonts w:ascii="Arial" w:hAnsi="Arial" w:cs="Arial"/>
          <w:bCs/>
          <w:color w:val="000000"/>
          <w:lang w:val="en-GB" w:eastAsia="en-GB"/>
        </w:rPr>
        <w:t xml:space="preserv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Personal identification documents</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List of subjects </w:t>
      </w:r>
      <w:r w:rsidR="001D1117">
        <w:rPr>
          <w:rFonts w:ascii="Arial" w:hAnsi="Arial" w:cs="Arial"/>
          <w:bCs/>
          <w:color w:val="000000"/>
          <w:lang w:val="en-GB" w:eastAsia="en-GB"/>
        </w:rPr>
        <w:t xml:space="preserve">(programme components) </w:t>
      </w:r>
      <w:r w:rsidRPr="00BE4B00">
        <w:rPr>
          <w:rFonts w:ascii="Arial" w:hAnsi="Arial" w:cs="Arial"/>
          <w:bCs/>
          <w:color w:val="000000"/>
          <w:lang w:val="en-GB" w:eastAsia="en-GB"/>
        </w:rPr>
        <w:t xml:space="preserve">that have been passed on </w:t>
      </w:r>
      <w:r w:rsidR="001D1117">
        <w:rPr>
          <w:rFonts w:ascii="Arial" w:hAnsi="Arial" w:cs="Arial"/>
          <w:bCs/>
          <w:color w:val="000000"/>
          <w:lang w:val="en-GB" w:eastAsia="en-GB"/>
        </w:rPr>
        <w:t>B</w:t>
      </w:r>
      <w:r w:rsidRPr="00BE4B00">
        <w:rPr>
          <w:rFonts w:ascii="Arial" w:hAnsi="Arial" w:cs="Arial"/>
          <w:bCs/>
          <w:color w:val="000000"/>
          <w:lang w:val="en-GB" w:eastAsia="en-GB"/>
        </w:rPr>
        <w:t>achelor</w:t>
      </w:r>
      <w:r w:rsidR="001D1117">
        <w:rPr>
          <w:rFonts w:ascii="Arial" w:hAnsi="Arial" w:cs="Arial"/>
          <w:bCs/>
          <w:color w:val="000000"/>
          <w:lang w:val="en-GB" w:eastAsia="en-GB"/>
        </w:rPr>
        <w:t>’</w:t>
      </w:r>
      <w:r w:rsidRPr="00BE4B00">
        <w:rPr>
          <w:rFonts w:ascii="Arial" w:hAnsi="Arial" w:cs="Arial"/>
          <w:bCs/>
          <w:color w:val="000000"/>
          <w:lang w:val="en-GB" w:eastAsia="en-GB"/>
        </w:rPr>
        <w:t>s level</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Certificate of citizenship,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Birth certificate, marriage certificate or an official decision of the competent authority (for those applicant</w:t>
      </w:r>
      <w:r w:rsidR="00922B1E">
        <w:rPr>
          <w:rFonts w:ascii="Arial" w:hAnsi="Arial" w:cs="Arial"/>
          <w:bCs/>
          <w:color w:val="000000"/>
          <w:lang w:val="en-GB" w:eastAsia="en-GB"/>
        </w:rPr>
        <w:t>s</w:t>
      </w:r>
      <w:r w:rsidRPr="00BE4B00">
        <w:rPr>
          <w:rFonts w:ascii="Arial" w:hAnsi="Arial" w:cs="Arial"/>
          <w:bCs/>
          <w:color w:val="000000"/>
          <w:lang w:val="en-GB" w:eastAsia="en-GB"/>
        </w:rPr>
        <w:t xml:space="preserve"> who changed their first and/or last name),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Proof of payment of administrative fees</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Official list of the admission requirements issued by the foreign higher education institution,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Official curricula of the course of study, issued by the foreign higher education institution,</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A short chronological description of the entire education</w:t>
      </w:r>
      <w:r w:rsidR="00DC6153">
        <w:rPr>
          <w:rFonts w:ascii="Arial" w:hAnsi="Arial" w:cs="Arial"/>
          <w:bCs/>
          <w:color w:val="000000"/>
          <w:lang w:val="en-GB" w:eastAsia="en-GB"/>
        </w:rPr>
        <w:t>al history</w:t>
      </w:r>
      <w:r w:rsidRPr="00BE4B00">
        <w:rPr>
          <w:rFonts w:ascii="Arial" w:hAnsi="Arial" w:cs="Arial"/>
          <w:bCs/>
          <w:color w:val="000000"/>
          <w:lang w:val="en-GB" w:eastAsia="en-GB"/>
        </w:rPr>
        <w:t xml:space="preserve"> </w:t>
      </w:r>
      <w:r w:rsidR="00DC6153">
        <w:rPr>
          <w:rFonts w:ascii="Arial" w:hAnsi="Arial" w:cs="Arial"/>
          <w:bCs/>
          <w:color w:val="000000"/>
          <w:lang w:val="en-GB" w:eastAsia="en-GB"/>
        </w:rPr>
        <w:t>of</w:t>
      </w:r>
      <w:r w:rsidRPr="00BE4B00">
        <w:rPr>
          <w:rFonts w:ascii="Arial" w:hAnsi="Arial" w:cs="Arial"/>
          <w:bCs/>
          <w:color w:val="000000"/>
          <w:lang w:val="en-GB" w:eastAsia="en-GB"/>
        </w:rPr>
        <w:t xml:space="preserve"> the applicant</w:t>
      </w:r>
      <w:r w:rsidR="00922B1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Study programme,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Diploma work.</w:t>
      </w:r>
    </w:p>
    <w:p w:rsidR="00711A03" w:rsidRPr="00BE4B00" w:rsidRDefault="00711A03" w:rsidP="00847FE1">
      <w:pPr>
        <w:shd w:val="clear" w:color="auto" w:fill="FFFFFF"/>
        <w:spacing w:before="100" w:beforeAutospacing="1" w:after="100" w:afterAutospacing="1" w:line="240" w:lineRule="auto"/>
        <w:ind w:left="360"/>
        <w:jc w:val="both"/>
        <w:outlineLvl w:val="2"/>
        <w:rPr>
          <w:rFonts w:ascii="Arial" w:hAnsi="Arial" w:cs="Arial"/>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Q15. Is the </w:t>
      </w:r>
      <w:r w:rsidR="000244C5">
        <w:rPr>
          <w:rFonts w:ascii="Arial" w:hAnsi="Arial" w:cs="Arial"/>
          <w:b/>
          <w:bCs/>
          <w:color w:val="000000"/>
          <w:lang w:val="en-GB" w:eastAsia="en-GB"/>
        </w:rPr>
        <w:t>DS</w:t>
      </w:r>
      <w:r w:rsidRPr="00BE4B00">
        <w:rPr>
          <w:rFonts w:ascii="Arial" w:hAnsi="Arial" w:cs="Arial"/>
          <w:b/>
          <w:bCs/>
          <w:color w:val="000000"/>
          <w:lang w:val="en-GB" w:eastAsia="en-GB"/>
        </w:rPr>
        <w:t xml:space="preserve"> sufficient on its own to permit the assessment of the foreign qualification?</w:t>
      </w:r>
    </w:p>
    <w:p w:rsidR="00711A03" w:rsidRPr="00BE4B00" w:rsidRDefault="00D25B04" w:rsidP="00847FE1">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60288" behindDoc="1" locked="0" layoutInCell="1" allowOverlap="1" wp14:anchorId="308BF188" wp14:editId="03BDC939">
            <wp:simplePos x="0" y="0"/>
            <wp:positionH relativeFrom="column">
              <wp:posOffset>4283710</wp:posOffset>
            </wp:positionH>
            <wp:positionV relativeFrom="paragraph">
              <wp:posOffset>86360</wp:posOffset>
            </wp:positionV>
            <wp:extent cx="1938655" cy="1450340"/>
            <wp:effectExtent l="0" t="0" r="4445" b="0"/>
            <wp:wrapTight wrapText="bothSides">
              <wp:wrapPolygon edited="0">
                <wp:start x="212" y="0"/>
                <wp:lineTo x="0" y="851"/>
                <wp:lineTo x="0" y="20711"/>
                <wp:lineTo x="212" y="21278"/>
                <wp:lineTo x="21225" y="21278"/>
                <wp:lineTo x="21437" y="20711"/>
                <wp:lineTo x="21437" y="851"/>
                <wp:lineTo x="21225" y="0"/>
                <wp:lineTo x="212" y="0"/>
              </wp:wrapPolygon>
            </wp:wrapTight>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38655" cy="1450340"/>
                    </a:xfrm>
                    <a:prstGeom prst="rect">
                      <a:avLst/>
                    </a:prstGeom>
                    <a:noFill/>
                  </pic:spPr>
                </pic:pic>
              </a:graphicData>
            </a:graphic>
            <wp14:sizeRelH relativeFrom="page">
              <wp14:pctWidth>0</wp14:pctWidth>
            </wp14:sizeRelH>
            <wp14:sizeRelV relativeFrom="page">
              <wp14:pctHeight>0</wp14:pctHeight>
            </wp14:sizeRelV>
          </wp:anchor>
        </w:drawing>
      </w:r>
      <w:r w:rsidR="00945679">
        <w:rPr>
          <w:rFonts w:ascii="Arial" w:hAnsi="Arial" w:cs="Arial"/>
          <w:bCs/>
          <w:color w:val="000000"/>
          <w:lang w:val="en-GB" w:eastAsia="en-GB"/>
        </w:rPr>
        <w:t xml:space="preserve">The </w:t>
      </w:r>
      <w:r w:rsidR="000244C5">
        <w:rPr>
          <w:rFonts w:ascii="Arial" w:hAnsi="Arial" w:cs="Arial"/>
          <w:bCs/>
          <w:color w:val="000000"/>
          <w:lang w:val="en-GB" w:eastAsia="en-GB"/>
        </w:rPr>
        <w:t>DS</w:t>
      </w:r>
      <w:r w:rsidR="00711A03" w:rsidRPr="00BE4B00">
        <w:rPr>
          <w:rFonts w:ascii="Arial" w:hAnsi="Arial" w:cs="Arial"/>
          <w:bCs/>
          <w:color w:val="000000"/>
          <w:lang w:val="en-GB" w:eastAsia="en-GB"/>
        </w:rPr>
        <w:t xml:space="preserve"> is sufficient on its own to permit the assessment of foreign qualification</w:t>
      </w:r>
      <w:r w:rsidR="00DC6153">
        <w:rPr>
          <w:rFonts w:ascii="Arial" w:hAnsi="Arial" w:cs="Arial"/>
          <w:bCs/>
          <w:color w:val="000000"/>
          <w:lang w:val="en-GB" w:eastAsia="en-GB"/>
        </w:rPr>
        <w:t>s</w:t>
      </w:r>
      <w:r w:rsidR="00711A03" w:rsidRPr="00BE4B00">
        <w:rPr>
          <w:rFonts w:ascii="Arial" w:hAnsi="Arial" w:cs="Arial"/>
          <w:bCs/>
          <w:color w:val="000000"/>
          <w:lang w:val="en-GB" w:eastAsia="en-GB"/>
        </w:rPr>
        <w:t xml:space="preserve"> for 24% of institutions. However, some respondents claim that not all information is always there (e.g. transcript of records, final grades, ECTS). Moreover, some institutions do not require </w:t>
      </w:r>
      <w:r w:rsidR="00945679">
        <w:rPr>
          <w:rFonts w:ascii="Arial" w:hAnsi="Arial" w:cs="Arial"/>
          <w:bCs/>
          <w:color w:val="000000"/>
          <w:lang w:val="en-GB" w:eastAsia="en-GB"/>
        </w:rPr>
        <w:t xml:space="preserve">the </w:t>
      </w:r>
      <w:r w:rsidR="000244C5">
        <w:rPr>
          <w:rFonts w:ascii="Arial" w:hAnsi="Arial" w:cs="Arial"/>
          <w:bCs/>
          <w:color w:val="000000"/>
          <w:lang w:val="en-GB" w:eastAsia="en-GB"/>
        </w:rPr>
        <w:t>DS</w:t>
      </w:r>
      <w:r w:rsidR="00711A03" w:rsidRPr="00BE4B00">
        <w:rPr>
          <w:rFonts w:ascii="Arial" w:hAnsi="Arial" w:cs="Arial"/>
          <w:bCs/>
          <w:color w:val="000000"/>
          <w:lang w:val="en-GB" w:eastAsia="en-GB"/>
        </w:rPr>
        <w:t xml:space="preserve"> at all because it is not </w:t>
      </w:r>
      <w:r w:rsidR="00945679">
        <w:rPr>
          <w:rFonts w:ascii="Arial" w:hAnsi="Arial" w:cs="Arial"/>
          <w:bCs/>
          <w:color w:val="000000"/>
          <w:lang w:val="en-GB" w:eastAsia="en-GB"/>
        </w:rPr>
        <w:t xml:space="preserve">a </w:t>
      </w:r>
      <w:r w:rsidR="00711A03" w:rsidRPr="00BE4B00">
        <w:rPr>
          <w:rFonts w:ascii="Arial" w:hAnsi="Arial" w:cs="Arial"/>
          <w:bCs/>
          <w:color w:val="000000"/>
          <w:lang w:val="en-GB" w:eastAsia="en-GB"/>
        </w:rPr>
        <w:t>relevant requirement for qualifications coming</w:t>
      </w:r>
      <w:r w:rsidR="00945679">
        <w:rPr>
          <w:rFonts w:ascii="Arial" w:hAnsi="Arial" w:cs="Arial"/>
          <w:bCs/>
          <w:color w:val="000000"/>
          <w:lang w:val="en-GB" w:eastAsia="en-GB"/>
        </w:rPr>
        <w:t xml:space="preserve"> from</w:t>
      </w:r>
      <w:r w:rsidR="00711A03" w:rsidRPr="00BE4B00">
        <w:rPr>
          <w:rFonts w:ascii="Arial" w:hAnsi="Arial" w:cs="Arial"/>
          <w:bCs/>
          <w:color w:val="000000"/>
          <w:lang w:val="en-GB" w:eastAsia="en-GB"/>
        </w:rPr>
        <w:t xml:space="preserve"> outside the EHEA and “old” qualifications. Th</w:t>
      </w:r>
      <w:r w:rsidR="00945679">
        <w:rPr>
          <w:rFonts w:ascii="Arial" w:hAnsi="Arial" w:cs="Arial"/>
          <w:bCs/>
          <w:color w:val="000000"/>
          <w:lang w:val="en-GB" w:eastAsia="en-GB"/>
        </w:rPr>
        <w:t>is</w:t>
      </w:r>
      <w:r w:rsidR="00711A03" w:rsidRPr="00BE4B00">
        <w:rPr>
          <w:rFonts w:ascii="Arial" w:hAnsi="Arial" w:cs="Arial"/>
          <w:bCs/>
          <w:color w:val="000000"/>
          <w:lang w:val="en-GB" w:eastAsia="en-GB"/>
        </w:rPr>
        <w:t xml:space="preserve"> is the reason why they want to avoid having different requirements. Some respondents complained that the contents in the DS differ between countries and institutions. Finally, the DS cannot replace the official</w:t>
      </w:r>
      <w:r w:rsidR="00945679">
        <w:rPr>
          <w:rFonts w:ascii="Arial" w:hAnsi="Arial" w:cs="Arial"/>
          <w:bCs/>
          <w:color w:val="000000"/>
          <w:lang w:val="en-GB" w:eastAsia="en-GB"/>
        </w:rPr>
        <w:t xml:space="preserve"> degree, which</w:t>
      </w:r>
      <w:r w:rsidR="00711A03" w:rsidRPr="00BE4B00">
        <w:rPr>
          <w:rFonts w:ascii="Arial" w:hAnsi="Arial" w:cs="Arial"/>
          <w:bCs/>
          <w:color w:val="000000"/>
          <w:lang w:val="en-GB" w:eastAsia="en-GB"/>
        </w:rPr>
        <w:t xml:space="preserve"> is needed as a concrete proof that the </w:t>
      </w:r>
      <w:r w:rsidR="001E7D7C">
        <w:rPr>
          <w:rFonts w:ascii="Arial" w:hAnsi="Arial" w:cs="Arial"/>
          <w:bCs/>
          <w:color w:val="000000"/>
          <w:lang w:val="en-GB" w:eastAsia="en-GB"/>
        </w:rPr>
        <w:t>B</w:t>
      </w:r>
      <w:r w:rsidR="00711A03" w:rsidRPr="00BE4B00">
        <w:rPr>
          <w:rFonts w:ascii="Arial" w:hAnsi="Arial" w:cs="Arial"/>
          <w:bCs/>
          <w:color w:val="000000"/>
          <w:lang w:val="en-GB" w:eastAsia="en-GB"/>
        </w:rPr>
        <w:t>achelor’s degree has been obtained and is required for authenticity.</w:t>
      </w:r>
      <w:r w:rsidR="00711A03" w:rsidRPr="00BE4B00">
        <w:rPr>
          <w:rStyle w:val="FootnoteReference"/>
          <w:rFonts w:ascii="Arial" w:hAnsi="Arial" w:cs="Arial"/>
          <w:bCs/>
          <w:color w:val="000000"/>
          <w:lang w:val="en-GB" w:eastAsia="en-GB"/>
        </w:rPr>
        <w:footnoteReference w:id="18"/>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lastRenderedPageBreak/>
        <w:t xml:space="preserve">Q16. Do you </w:t>
      </w:r>
      <w:r w:rsidR="00F04C1A" w:rsidRPr="00BE4B00">
        <w:rPr>
          <w:rFonts w:ascii="Arial" w:hAnsi="Arial" w:cs="Arial"/>
          <w:b/>
          <w:bCs/>
          <w:color w:val="000000"/>
          <w:lang w:val="en-GB" w:eastAsia="en-GB"/>
        </w:rPr>
        <w:t xml:space="preserve">sometimes </w:t>
      </w:r>
      <w:r w:rsidRPr="00BE4B00">
        <w:rPr>
          <w:rFonts w:ascii="Arial" w:hAnsi="Arial" w:cs="Arial"/>
          <w:b/>
          <w:bCs/>
          <w:color w:val="000000"/>
          <w:lang w:val="en-GB" w:eastAsia="en-GB"/>
        </w:rPr>
        <w:t xml:space="preserve">consult your ENIC-NARIC office when assessing applications? </w:t>
      </w:r>
    </w:p>
    <w:p w:rsidR="00711A03" w:rsidRPr="00BE4B00" w:rsidRDefault="00D25B04" w:rsidP="00F70088">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Pr>
          <w:noProof/>
          <w:lang w:val="en-GB" w:eastAsia="en-GB"/>
        </w:rPr>
        <w:drawing>
          <wp:anchor distT="0" distB="0" distL="114300" distR="114300" simplePos="0" relativeHeight="251661312" behindDoc="1" locked="0" layoutInCell="1" allowOverlap="1" wp14:anchorId="007EE655" wp14:editId="1F56FCDC">
            <wp:simplePos x="0" y="0"/>
            <wp:positionH relativeFrom="column">
              <wp:posOffset>4280535</wp:posOffset>
            </wp:positionH>
            <wp:positionV relativeFrom="paragraph">
              <wp:posOffset>28575</wp:posOffset>
            </wp:positionV>
            <wp:extent cx="1908175" cy="1432560"/>
            <wp:effectExtent l="0" t="0" r="0" b="0"/>
            <wp:wrapTight wrapText="bothSides">
              <wp:wrapPolygon edited="0">
                <wp:start x="216" y="0"/>
                <wp:lineTo x="0" y="862"/>
                <wp:lineTo x="0" y="20681"/>
                <wp:lineTo x="216" y="21255"/>
                <wp:lineTo x="21133" y="21255"/>
                <wp:lineTo x="21348" y="20681"/>
                <wp:lineTo x="21348" y="862"/>
                <wp:lineTo x="21133" y="0"/>
                <wp:lineTo x="216" y="0"/>
              </wp:wrapPolygon>
            </wp:wrapTight>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8175" cy="143256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 xml:space="preserve"> 57 institutions (66%) consult sometimes their ENIC-NARIC office when assessing applications (w</w:t>
      </w:r>
      <w:r w:rsidR="00711A03">
        <w:rPr>
          <w:rFonts w:ascii="Arial" w:hAnsi="Arial" w:cs="Arial"/>
          <w:bCs/>
          <w:color w:val="000000"/>
          <w:lang w:val="en-GB" w:eastAsia="en-GB"/>
        </w:rPr>
        <w:t>he</w:t>
      </w:r>
      <w:r w:rsidR="00711A03" w:rsidRPr="00BE4B00">
        <w:rPr>
          <w:rFonts w:ascii="Arial" w:hAnsi="Arial" w:cs="Arial"/>
          <w:bCs/>
          <w:color w:val="000000"/>
          <w:lang w:val="en-GB" w:eastAsia="en-GB"/>
        </w:rPr>
        <w:t xml:space="preserve">ther by just consulting its website or by </w:t>
      </w:r>
      <w:r w:rsidR="00DC6153">
        <w:rPr>
          <w:rFonts w:ascii="Arial" w:hAnsi="Arial" w:cs="Arial"/>
          <w:bCs/>
          <w:color w:val="000000"/>
          <w:lang w:val="en-GB" w:eastAsia="en-GB"/>
        </w:rPr>
        <w:t xml:space="preserve">a </w:t>
      </w:r>
      <w:r w:rsidR="00711A03" w:rsidRPr="00BE4B00">
        <w:rPr>
          <w:rFonts w:ascii="Arial" w:hAnsi="Arial" w:cs="Arial"/>
          <w:bCs/>
          <w:color w:val="000000"/>
          <w:lang w:val="en-GB" w:eastAsia="en-GB"/>
        </w:rPr>
        <w:t>case by case approach, in formal correspondence or by phone or mail), whereas 30 institutions (34%) do not.</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When they do so, it is mainly for the following reasons:</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hanging="578"/>
        <w:jc w:val="both"/>
        <w:outlineLvl w:val="2"/>
        <w:rPr>
          <w:rFonts w:ascii="Arial" w:hAnsi="Arial" w:cs="Arial"/>
          <w:bCs/>
          <w:color w:val="000000"/>
          <w:lang w:val="en-GB" w:eastAsia="en-GB"/>
        </w:rPr>
      </w:pPr>
      <w:r w:rsidRPr="00BE4B00">
        <w:rPr>
          <w:rFonts w:ascii="Arial" w:hAnsi="Arial" w:cs="Arial"/>
          <w:bCs/>
          <w:color w:val="000000"/>
          <w:lang w:val="en-GB" w:eastAsia="en-GB"/>
        </w:rPr>
        <w:t>in case of established equivalences in diplomas between countries,</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if they need information on the HEI or the degree (accreditation)</w:t>
      </w:r>
      <w:r w:rsidR="0039500E">
        <w:rPr>
          <w:rFonts w:ascii="Arial" w:hAnsi="Arial" w:cs="Arial"/>
          <w:bCs/>
          <w:color w:val="000000"/>
          <w:lang w:val="en-GB" w:eastAsia="en-GB"/>
        </w:rPr>
        <w:t>,</w:t>
      </w:r>
      <w:r w:rsidRPr="00BE4B00">
        <w:rPr>
          <w:rFonts w:ascii="Arial" w:hAnsi="Arial" w:cs="Arial"/>
          <w:bCs/>
          <w:color w:val="000000"/>
          <w:lang w:val="en-GB" w:eastAsia="en-GB"/>
        </w:rPr>
        <w:t xml:space="preserve"> </w:t>
      </w:r>
    </w:p>
    <w:p w:rsidR="00711A03" w:rsidRPr="00BE4B00" w:rsidRDefault="006B4C0A"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n cases there is no clear indication of access to further studies on DS</w:t>
      </w:r>
      <w:r w:rsidR="0039500E">
        <w:rPr>
          <w:rFonts w:ascii="Arial" w:hAnsi="Arial" w:cs="Arial"/>
          <w:bCs/>
          <w:color w:val="000000"/>
          <w:lang w:val="en-GB" w:eastAsia="en-GB"/>
        </w:rPr>
        <w:t>,</w:t>
      </w:r>
      <w:r w:rsidR="00711A03" w:rsidRPr="00BE4B00">
        <w:rPr>
          <w:rFonts w:ascii="Arial" w:hAnsi="Arial" w:cs="Arial"/>
          <w:bCs/>
          <w:color w:val="000000"/>
          <w:lang w:val="en-GB" w:eastAsia="en-GB"/>
        </w:rPr>
        <w:t xml:space="preserve"> </w:t>
      </w:r>
    </w:p>
    <w:p w:rsidR="00711A03" w:rsidRPr="00BE4B00" w:rsidRDefault="006B4C0A"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f a HE system changed and information is needed about “old” qualifications</w:t>
      </w:r>
      <w:r w:rsidR="0039500E">
        <w:rPr>
          <w:rFonts w:ascii="Arial" w:hAnsi="Arial" w:cs="Arial"/>
          <w:bCs/>
          <w:color w:val="000000"/>
          <w:lang w:val="en-GB" w:eastAsia="en-GB"/>
        </w:rPr>
        <w:t>,</w:t>
      </w:r>
      <w:r w:rsidR="00711A03" w:rsidRPr="00BE4B00">
        <w:rPr>
          <w:rFonts w:ascii="Arial" w:hAnsi="Arial" w:cs="Arial"/>
          <w:bCs/>
          <w:color w:val="000000"/>
          <w:lang w:val="en-GB" w:eastAsia="en-GB"/>
        </w:rPr>
        <w:t xml:space="preserve">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with professional higher education degrees (if looking for M</w:t>
      </w:r>
      <w:r w:rsidR="006B4C0A">
        <w:rPr>
          <w:rFonts w:ascii="Arial" w:hAnsi="Arial" w:cs="Arial"/>
          <w:bCs/>
          <w:color w:val="000000"/>
          <w:lang w:val="en-GB" w:eastAsia="en-GB"/>
        </w:rPr>
        <w:t>aster</w:t>
      </w:r>
      <w:r w:rsidR="0039500E">
        <w:rPr>
          <w:rFonts w:ascii="Arial" w:hAnsi="Arial" w:cs="Arial"/>
          <w:bCs/>
          <w:color w:val="000000"/>
          <w:lang w:val="en-GB" w:eastAsia="en-GB"/>
        </w:rPr>
        <w:t xml:space="preserve"> studies),</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in cases where the question of false documents arises</w:t>
      </w:r>
      <w:r w:rsidR="0039500E">
        <w:rPr>
          <w:rFonts w:ascii="Arial" w:hAnsi="Arial" w:cs="Arial"/>
          <w:bCs/>
          <w:color w:val="000000"/>
          <w:lang w:val="en-GB" w:eastAsia="en-GB"/>
        </w:rPr>
        <w:t>,</w:t>
      </w:r>
    </w:p>
    <w:p w:rsidR="00711A03" w:rsidRPr="00BE4B00" w:rsidRDefault="000E1D70"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n case of uncertainty how to access a secondary school leaving certificate</w:t>
      </w:r>
      <w:r w:rsidR="0039500E">
        <w:rPr>
          <w:rFonts w:ascii="Arial" w:hAnsi="Arial" w:cs="Arial"/>
          <w:bCs/>
          <w:color w:val="000000"/>
          <w:lang w:val="en-GB" w:eastAsia="en-GB"/>
        </w:rPr>
        <w:t>,</w:t>
      </w:r>
    </w:p>
    <w:p w:rsidR="00711A03" w:rsidRPr="00BE4B00" w:rsidRDefault="000E1D70"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n case of combination of qualifications from more than one country</w:t>
      </w:r>
      <w:r w:rsidR="0039500E">
        <w:rPr>
          <w:rFonts w:ascii="Arial" w:hAnsi="Arial" w:cs="Arial"/>
          <w:bCs/>
          <w:color w:val="000000"/>
          <w:lang w:val="en-GB" w:eastAsia="en-GB"/>
        </w:rPr>
        <w:t>,</w:t>
      </w:r>
    </w:p>
    <w:p w:rsidR="00711A03" w:rsidRPr="00BE4B00" w:rsidRDefault="000E1D70"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n complex cases and cases of doubts or insecurities</w:t>
      </w:r>
      <w:r w:rsidR="0039500E">
        <w:rPr>
          <w:rFonts w:ascii="Arial" w:hAnsi="Arial" w:cs="Arial"/>
          <w:bCs/>
          <w:color w:val="000000"/>
          <w:lang w:val="en-GB" w:eastAsia="en-GB"/>
        </w:rPr>
        <w:t>,</w:t>
      </w:r>
    </w:p>
    <w:p w:rsidR="00711A03" w:rsidRPr="00BE4B00" w:rsidRDefault="000E1D70"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Pr>
          <w:rFonts w:ascii="Arial" w:hAnsi="Arial" w:cs="Arial"/>
          <w:bCs/>
          <w:color w:val="000000"/>
          <w:lang w:val="en-GB" w:eastAsia="en-GB"/>
        </w:rPr>
        <w:t>i</w:t>
      </w:r>
      <w:r w:rsidR="00711A03" w:rsidRPr="00BE4B00">
        <w:rPr>
          <w:rFonts w:ascii="Arial" w:hAnsi="Arial" w:cs="Arial"/>
          <w:bCs/>
          <w:color w:val="000000"/>
          <w:lang w:val="en-GB" w:eastAsia="en-GB"/>
        </w:rPr>
        <w:t>n cases when applicants come from less known institutions/countries</w:t>
      </w:r>
      <w:r w:rsidR="0039500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in cases when the type of the program that person finished is not evident</w:t>
      </w:r>
      <w:r w:rsidR="0039500E">
        <w:rPr>
          <w:rFonts w:ascii="Arial" w:hAnsi="Arial" w:cs="Arial"/>
          <w:bCs/>
          <w:color w:val="000000"/>
          <w:lang w:val="en-GB" w:eastAsia="en-GB"/>
        </w:rPr>
        <w:t>,</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for degrees from non-EU/EEA countries,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to get </w:t>
      </w:r>
      <w:r w:rsidR="00DB642C">
        <w:rPr>
          <w:rFonts w:ascii="Arial" w:hAnsi="Arial" w:cs="Arial"/>
          <w:bCs/>
          <w:color w:val="000000"/>
          <w:lang w:val="en-GB" w:eastAsia="en-GB"/>
        </w:rPr>
        <w:t>a</w:t>
      </w:r>
      <w:r w:rsidR="00DB642C" w:rsidRPr="00BE4B00">
        <w:rPr>
          <w:rFonts w:ascii="Arial" w:hAnsi="Arial" w:cs="Arial"/>
          <w:bCs/>
          <w:color w:val="000000"/>
          <w:lang w:val="en-GB" w:eastAsia="en-GB"/>
        </w:rPr>
        <w:t xml:space="preserve"> </w:t>
      </w:r>
      <w:r w:rsidRPr="00BE4B00">
        <w:rPr>
          <w:rFonts w:ascii="Arial" w:hAnsi="Arial" w:cs="Arial"/>
          <w:bCs/>
          <w:color w:val="000000"/>
          <w:lang w:val="en-GB" w:eastAsia="en-GB"/>
        </w:rPr>
        <w:t>second opinion,</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to verify the structure and admission requirements, </w:t>
      </w:r>
    </w:p>
    <w:p w:rsidR="00711A03" w:rsidRPr="00BE4B00" w:rsidRDefault="00711A03"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r w:rsidRPr="00BE4B00">
        <w:rPr>
          <w:rFonts w:ascii="Arial" w:hAnsi="Arial" w:cs="Arial"/>
          <w:bCs/>
          <w:color w:val="000000"/>
          <w:lang w:val="en-GB" w:eastAsia="en-GB"/>
        </w:rPr>
        <w:t>for information on certain courses, institutions, countries</w:t>
      </w:r>
      <w:r w:rsidR="0039500E">
        <w:rPr>
          <w:rFonts w:ascii="Arial" w:hAnsi="Arial" w:cs="Arial"/>
          <w:bCs/>
          <w:color w:val="000000"/>
          <w:lang w:val="en-GB" w:eastAsia="en-GB"/>
        </w:rPr>
        <w:t>,</w:t>
      </w:r>
    </w:p>
    <w:p w:rsidR="00711A03" w:rsidRPr="00BE4B00" w:rsidRDefault="000E1D70" w:rsidP="00776F7E">
      <w:pPr>
        <w:pStyle w:val="ListParagraph"/>
        <w:numPr>
          <w:ilvl w:val="0"/>
          <w:numId w:val="6"/>
        </w:numPr>
        <w:shd w:val="clear" w:color="auto" w:fill="FFFFFF"/>
        <w:spacing w:before="100" w:beforeAutospacing="1" w:after="100" w:afterAutospacing="1" w:line="240" w:lineRule="auto"/>
        <w:ind w:left="0" w:firstLine="142"/>
        <w:jc w:val="both"/>
        <w:outlineLvl w:val="2"/>
        <w:rPr>
          <w:rFonts w:ascii="Arial" w:hAnsi="Arial" w:cs="Arial"/>
          <w:bCs/>
          <w:color w:val="000000"/>
          <w:lang w:val="en-GB" w:eastAsia="en-GB"/>
        </w:rPr>
      </w:pPr>
      <w:proofErr w:type="gramStart"/>
      <w:r>
        <w:rPr>
          <w:rFonts w:ascii="Arial" w:hAnsi="Arial" w:cs="Arial"/>
          <w:bCs/>
          <w:color w:val="000000"/>
          <w:lang w:val="en-GB" w:eastAsia="en-GB"/>
        </w:rPr>
        <w:t>i</w:t>
      </w:r>
      <w:r w:rsidR="00711A03" w:rsidRPr="00BE4B00">
        <w:rPr>
          <w:rFonts w:ascii="Arial" w:hAnsi="Arial" w:cs="Arial"/>
          <w:bCs/>
          <w:color w:val="000000"/>
          <w:lang w:val="en-GB" w:eastAsia="en-GB"/>
        </w:rPr>
        <w:t>n</w:t>
      </w:r>
      <w:proofErr w:type="gramEnd"/>
      <w:r w:rsidR="00711A03" w:rsidRPr="00BE4B00">
        <w:rPr>
          <w:rFonts w:ascii="Arial" w:hAnsi="Arial" w:cs="Arial"/>
          <w:bCs/>
          <w:color w:val="000000"/>
          <w:lang w:val="en-GB" w:eastAsia="en-GB"/>
        </w:rPr>
        <w:t xml:space="preserve"> all cases.</w:t>
      </w:r>
    </w:p>
    <w:p w:rsidR="00711A03" w:rsidRPr="00BE4B00" w:rsidRDefault="00711A03" w:rsidP="00776F7E">
      <w:pPr>
        <w:spacing w:before="100" w:beforeAutospacing="1" w:after="100" w:afterAutospacing="1" w:line="240" w:lineRule="auto"/>
        <w:jc w:val="both"/>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Q17. Which other sources of information do you consult?</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3EF61466" wp14:editId="017965B3">
            <wp:extent cx="4686300" cy="1371600"/>
            <wp:effectExtent l="0" t="0" r="0" b="0"/>
            <wp:docPr id="10" name="Grafikon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711A03" w:rsidRPr="00BE4B00" w:rsidRDefault="00711A03" w:rsidP="006E2B27">
      <w:p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59 institutions (39%) consult higher education databases, 34 institutions (23%) consult other HEIs, 28 institutions (19%) consult ENIC-NARIC offices in other countries and 30 institutions (20%) stated </w:t>
      </w:r>
      <w:r w:rsidR="00DB642C">
        <w:rPr>
          <w:rFonts w:ascii="Arial" w:hAnsi="Arial" w:cs="Arial"/>
          <w:lang w:val="en-GB"/>
        </w:rPr>
        <w:t>they</w:t>
      </w:r>
      <w:r w:rsidR="00DB642C" w:rsidRPr="00BE4B00">
        <w:rPr>
          <w:rFonts w:ascii="Arial" w:hAnsi="Arial" w:cs="Arial"/>
          <w:lang w:val="en-GB"/>
        </w:rPr>
        <w:t xml:space="preserve"> </w:t>
      </w:r>
      <w:r w:rsidRPr="00BE4B00">
        <w:rPr>
          <w:rFonts w:ascii="Arial" w:hAnsi="Arial" w:cs="Arial"/>
          <w:lang w:val="en-GB"/>
        </w:rPr>
        <w:t>consult</w:t>
      </w:r>
      <w:r w:rsidR="00DB642C">
        <w:rPr>
          <w:rFonts w:ascii="Arial" w:hAnsi="Arial" w:cs="Arial"/>
          <w:lang w:val="en-GB"/>
        </w:rPr>
        <w:t>ed</w:t>
      </w:r>
      <w:r w:rsidRPr="00BE4B00">
        <w:rPr>
          <w:rFonts w:ascii="Arial" w:hAnsi="Arial" w:cs="Arial"/>
          <w:lang w:val="en-GB"/>
        </w:rPr>
        <w:t xml:space="preserve"> some of the following sources:</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UNI-ASSIST </w:t>
      </w:r>
      <w:proofErr w:type="spellStart"/>
      <w:r w:rsidRPr="00BE4B00">
        <w:rPr>
          <w:rFonts w:ascii="Arial" w:hAnsi="Arial" w:cs="Arial"/>
          <w:lang w:val="en-GB"/>
        </w:rPr>
        <w:t>e.V</w:t>
      </w:r>
      <w:proofErr w:type="spellEnd"/>
      <w:r w:rsidRPr="00BE4B00">
        <w:rPr>
          <w:rFonts w:ascii="Arial" w:hAnsi="Arial" w:cs="Arial"/>
          <w:lang w:val="en-GB"/>
        </w:rPr>
        <w:t>.</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proofErr w:type="spellStart"/>
      <w:r w:rsidRPr="00BE4B00">
        <w:rPr>
          <w:rFonts w:ascii="Arial" w:hAnsi="Arial" w:cs="Arial"/>
          <w:lang w:val="en-GB"/>
        </w:rPr>
        <w:t>Anabin</w:t>
      </w:r>
      <w:proofErr w:type="spellEnd"/>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 xml:space="preserve">Rankings, </w:t>
      </w:r>
      <w:proofErr w:type="spellStart"/>
      <w:r w:rsidRPr="00BE4B00">
        <w:rPr>
          <w:rFonts w:ascii="Arial" w:hAnsi="Arial" w:cs="Arial"/>
          <w:lang w:val="en-GB"/>
        </w:rPr>
        <w:t>Gradings</w:t>
      </w:r>
      <w:proofErr w:type="spellEnd"/>
      <w:r w:rsidRPr="00BE4B00">
        <w:rPr>
          <w:rFonts w:ascii="Arial" w:hAnsi="Arial" w:cs="Arial"/>
          <w:lang w:val="en-GB"/>
        </w:rPr>
        <w:t>, Wikipedia, etc.</w:t>
      </w:r>
    </w:p>
    <w:p w:rsidR="00711A03" w:rsidRPr="00BE4B00" w:rsidRDefault="00504EBC" w:rsidP="00776F7E">
      <w:pPr>
        <w:pStyle w:val="ListParagraph"/>
        <w:numPr>
          <w:ilvl w:val="0"/>
          <w:numId w:val="6"/>
        </w:numPr>
        <w:spacing w:before="100" w:beforeAutospacing="1" w:after="100" w:afterAutospacing="1" w:line="240" w:lineRule="auto"/>
        <w:jc w:val="both"/>
        <w:rPr>
          <w:rFonts w:ascii="Arial" w:hAnsi="Arial" w:cs="Arial"/>
          <w:lang w:val="en-GB"/>
        </w:rPr>
      </w:pPr>
      <w:hyperlink r:id="rId29" w:history="1">
        <w:r w:rsidR="00711A03" w:rsidRPr="00BE4B00">
          <w:rPr>
            <w:rStyle w:val="Hyperlink"/>
            <w:rFonts w:ascii="Arial" w:hAnsi="Arial" w:cs="Arial"/>
            <w:lang w:val="en-GB"/>
          </w:rPr>
          <w:t>http://www.isep.org/students/placed/country_handbooks.asp</w:t>
        </w:r>
      </w:hyperlink>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Collaboration in national groups</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lastRenderedPageBreak/>
        <w:t>Website of the educational institution issuing the degree</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websites of other relevant accreditation bodies</w:t>
      </w:r>
    </w:p>
    <w:p w:rsidR="00711A03" w:rsidRPr="006B4C0A" w:rsidRDefault="00711A03" w:rsidP="006B4C0A">
      <w:pPr>
        <w:pStyle w:val="ListParagraph"/>
        <w:numPr>
          <w:ilvl w:val="0"/>
          <w:numId w:val="6"/>
        </w:numPr>
        <w:spacing w:before="100" w:beforeAutospacing="1" w:after="100" w:afterAutospacing="1" w:line="240" w:lineRule="auto"/>
        <w:jc w:val="both"/>
        <w:rPr>
          <w:rFonts w:ascii="Arial" w:hAnsi="Arial" w:cs="Arial"/>
          <w:lang w:val="en-GB"/>
        </w:rPr>
      </w:pPr>
      <w:r w:rsidRPr="006B4C0A">
        <w:rPr>
          <w:rFonts w:ascii="Arial" w:hAnsi="Arial" w:cs="Arial"/>
          <w:lang w:val="en-GB"/>
        </w:rPr>
        <w:t>ZAB</w:t>
      </w:r>
      <w:r w:rsidR="006B4C0A" w:rsidRPr="006B4C0A">
        <w:t xml:space="preserve"> </w:t>
      </w:r>
      <w:r w:rsidR="000E1D70">
        <w:t xml:space="preserve">- </w:t>
      </w:r>
      <w:proofErr w:type="spellStart"/>
      <w:r w:rsidR="006B4C0A" w:rsidRPr="006B4C0A">
        <w:rPr>
          <w:rFonts w:ascii="Arial" w:hAnsi="Arial" w:cs="Arial"/>
          <w:lang w:val="en-GB"/>
        </w:rPr>
        <w:t>Zentralstelle</w:t>
      </w:r>
      <w:proofErr w:type="spellEnd"/>
      <w:r w:rsidR="006B4C0A" w:rsidRPr="006B4C0A">
        <w:rPr>
          <w:rFonts w:ascii="Arial" w:hAnsi="Arial" w:cs="Arial"/>
          <w:lang w:val="en-GB"/>
        </w:rPr>
        <w:t xml:space="preserve"> </w:t>
      </w:r>
      <w:proofErr w:type="spellStart"/>
      <w:r w:rsidR="006B4C0A" w:rsidRPr="006B4C0A">
        <w:rPr>
          <w:rFonts w:ascii="Arial" w:hAnsi="Arial" w:cs="Arial"/>
          <w:lang w:val="en-GB"/>
        </w:rPr>
        <w:t>Ausländisches</w:t>
      </w:r>
      <w:proofErr w:type="spellEnd"/>
      <w:r w:rsidR="006B4C0A" w:rsidRPr="006B4C0A">
        <w:rPr>
          <w:rFonts w:ascii="Arial" w:hAnsi="Arial" w:cs="Arial"/>
          <w:lang w:val="en-GB"/>
        </w:rPr>
        <w:t xml:space="preserve"> </w:t>
      </w:r>
      <w:proofErr w:type="spellStart"/>
      <w:r w:rsidR="006B4C0A" w:rsidRPr="006B4C0A">
        <w:rPr>
          <w:rFonts w:ascii="Arial" w:hAnsi="Arial" w:cs="Arial"/>
          <w:lang w:val="en-GB"/>
        </w:rPr>
        <w:t>Bildungswesen</w:t>
      </w:r>
      <w:proofErr w:type="spellEnd"/>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partner institution</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KMK</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ADD Trier</w:t>
      </w:r>
    </w:p>
    <w:p w:rsidR="00711A03" w:rsidRPr="00BE4B00" w:rsidRDefault="00711A03" w:rsidP="00776F7E">
      <w:pPr>
        <w:pStyle w:val="ListParagraph"/>
        <w:numPr>
          <w:ilvl w:val="0"/>
          <w:numId w:val="6"/>
        </w:numPr>
        <w:spacing w:before="100" w:beforeAutospacing="1" w:after="100" w:afterAutospacing="1" w:line="240" w:lineRule="auto"/>
        <w:jc w:val="both"/>
        <w:rPr>
          <w:rFonts w:ascii="Arial" w:hAnsi="Arial" w:cs="Arial"/>
          <w:lang w:val="en-GB"/>
        </w:rPr>
      </w:pPr>
      <w:r w:rsidRPr="00BE4B00">
        <w:rPr>
          <w:rFonts w:ascii="Arial" w:hAnsi="Arial" w:cs="Arial"/>
          <w:lang w:val="en-GB"/>
        </w:rPr>
        <w:t>DAAD</w:t>
      </w:r>
    </w:p>
    <w:p w:rsidR="00711A03" w:rsidRPr="00BE4B00" w:rsidRDefault="00711A03" w:rsidP="00776F7E">
      <w:pPr>
        <w:spacing w:before="100" w:beforeAutospacing="1" w:after="100" w:afterAutospacing="1" w:line="240" w:lineRule="auto"/>
        <w:jc w:val="both"/>
        <w:rPr>
          <w:rFonts w:ascii="Arial" w:hAnsi="Arial" w:cs="Arial"/>
          <w:lang w:val="en-GB"/>
        </w:rPr>
      </w:pPr>
      <w:r w:rsidRPr="00BE4B00">
        <w:rPr>
          <w:rFonts w:ascii="Arial" w:hAnsi="Arial" w:cs="Arial"/>
          <w:lang w:val="en-GB"/>
        </w:rPr>
        <w:br w:type="page"/>
      </w: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b/>
          <w:bCs/>
          <w:color w:val="000000"/>
          <w:lang w:val="en-GB" w:eastAsia="en-GB"/>
        </w:rPr>
      </w:pPr>
      <w:r w:rsidRPr="00BE4B00">
        <w:rPr>
          <w:rFonts w:ascii="Arial" w:hAnsi="Arial" w:cs="Arial"/>
          <w:b/>
          <w:bCs/>
          <w:color w:val="000000"/>
          <w:lang w:val="en-GB" w:eastAsia="en-GB"/>
        </w:rPr>
        <w:lastRenderedPageBreak/>
        <w:t>Part 3</w:t>
      </w:r>
    </w:p>
    <w:p w:rsidR="00711A03" w:rsidRPr="00BE4B00" w:rsidRDefault="00711A03" w:rsidP="00776F7E">
      <w:pPr>
        <w:shd w:val="clear" w:color="auto" w:fill="EEEEEE"/>
        <w:spacing w:before="100" w:beforeAutospacing="1" w:after="100" w:afterAutospacing="1" w:line="240" w:lineRule="auto"/>
        <w:jc w:val="both"/>
        <w:outlineLvl w:val="1"/>
        <w:rPr>
          <w:rFonts w:ascii="Arial" w:hAnsi="Arial" w:cs="Arial"/>
          <w:b/>
          <w:bCs/>
          <w:color w:val="000000"/>
          <w:lang w:val="en-GB" w:eastAsia="en-GB"/>
        </w:rPr>
      </w:pPr>
      <w:r w:rsidRPr="00BE4B00">
        <w:rPr>
          <w:rFonts w:ascii="Arial" w:hAnsi="Arial" w:cs="Arial"/>
          <w:b/>
          <w:bCs/>
          <w:color w:val="000000"/>
          <w:lang w:val="en-GB" w:eastAsia="en-GB"/>
        </w:rPr>
        <w:t>Appeals</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Q9. In the case of a negative decision on access or admission, is there a possibility for an applicant to appeal?</w:t>
      </w:r>
    </w:p>
    <w:p w:rsidR="00711A03" w:rsidRPr="00BE4B00" w:rsidRDefault="00D25B04" w:rsidP="00DF447F">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62336" behindDoc="1" locked="0" layoutInCell="1" allowOverlap="1" wp14:anchorId="677580C3" wp14:editId="21D99A06">
            <wp:simplePos x="0" y="0"/>
            <wp:positionH relativeFrom="column">
              <wp:posOffset>4309110</wp:posOffset>
            </wp:positionH>
            <wp:positionV relativeFrom="paragraph">
              <wp:posOffset>52705</wp:posOffset>
            </wp:positionV>
            <wp:extent cx="1908175" cy="1402080"/>
            <wp:effectExtent l="0" t="0" r="0" b="7620"/>
            <wp:wrapTight wrapText="bothSides">
              <wp:wrapPolygon edited="0">
                <wp:start x="216" y="0"/>
                <wp:lineTo x="0" y="880"/>
                <wp:lineTo x="0" y="20837"/>
                <wp:lineTo x="216" y="21424"/>
                <wp:lineTo x="21133" y="21424"/>
                <wp:lineTo x="21348" y="20837"/>
                <wp:lineTo x="21348" y="880"/>
                <wp:lineTo x="21133" y="0"/>
                <wp:lineTo x="216" y="0"/>
              </wp:wrapPolygon>
            </wp:wrapTight>
            <wp:docPr id="1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8175" cy="1402080"/>
                    </a:xfrm>
                    <a:prstGeom prst="rect">
                      <a:avLst/>
                    </a:prstGeom>
                    <a:noFill/>
                  </pic:spPr>
                </pic:pic>
              </a:graphicData>
            </a:graphic>
            <wp14:sizeRelH relativeFrom="page">
              <wp14:pctWidth>0</wp14:pctWidth>
            </wp14:sizeRelH>
            <wp14:sizeRelV relativeFrom="page">
              <wp14:pctHeight>0</wp14:pctHeight>
            </wp14:sizeRelV>
          </wp:anchor>
        </w:drawing>
      </w:r>
      <w:r w:rsidR="00711A03" w:rsidRPr="00BE4B00">
        <w:rPr>
          <w:rFonts w:ascii="Arial" w:hAnsi="Arial" w:cs="Arial"/>
          <w:bCs/>
          <w:color w:val="000000"/>
          <w:lang w:val="en-GB" w:eastAsia="en-GB"/>
        </w:rPr>
        <w:t>Only 4 institutions (5%) replied that there is no possibility for an applicant to appeal, while 83 institutions (95%) confirmed that such a possibility</w:t>
      </w:r>
      <w:r w:rsidR="00C66BB8">
        <w:rPr>
          <w:rFonts w:ascii="Arial" w:hAnsi="Arial" w:cs="Arial"/>
          <w:bCs/>
          <w:color w:val="000000"/>
          <w:lang w:val="en-GB" w:eastAsia="en-GB"/>
        </w:rPr>
        <w:t xml:space="preserve"> exists</w:t>
      </w:r>
      <w:r w:rsidR="00711A03" w:rsidRPr="00BE4B00">
        <w:rPr>
          <w:rFonts w:ascii="Arial" w:hAnsi="Arial" w:cs="Arial"/>
          <w:bCs/>
          <w:color w:val="000000"/>
          <w:lang w:val="en-GB" w:eastAsia="en-GB"/>
        </w:rPr>
        <w:t>. However, those who replied negatively seem to understand that the question refers to appeal</w:t>
      </w:r>
      <w:r w:rsidR="0039500E">
        <w:rPr>
          <w:rFonts w:ascii="Arial" w:hAnsi="Arial" w:cs="Arial"/>
          <w:bCs/>
          <w:color w:val="000000"/>
          <w:lang w:val="en-GB" w:eastAsia="en-GB"/>
        </w:rPr>
        <w:t>s</w:t>
      </w:r>
      <w:r w:rsidR="00711A03" w:rsidRPr="00BE4B00">
        <w:rPr>
          <w:rFonts w:ascii="Arial" w:hAnsi="Arial" w:cs="Arial"/>
          <w:bCs/>
          <w:color w:val="000000"/>
          <w:lang w:val="en-GB" w:eastAsia="en-GB"/>
        </w:rPr>
        <w:t xml:space="preserve"> to possible negative admission</w:t>
      </w:r>
      <w:r w:rsidR="0039500E">
        <w:rPr>
          <w:rFonts w:ascii="Arial" w:hAnsi="Arial" w:cs="Arial"/>
          <w:bCs/>
          <w:color w:val="000000"/>
          <w:lang w:val="en-GB" w:eastAsia="en-GB"/>
        </w:rPr>
        <w:t xml:space="preserve"> decisions</w:t>
      </w:r>
      <w:r w:rsidR="00711A03" w:rsidRPr="00BE4B00">
        <w:rPr>
          <w:rFonts w:ascii="Arial" w:hAnsi="Arial" w:cs="Arial"/>
          <w:bCs/>
          <w:color w:val="000000"/>
          <w:lang w:val="en-GB" w:eastAsia="en-GB"/>
        </w:rPr>
        <w:t xml:space="preserve">, not to recognition as such. This conclusion arises from </w:t>
      </w:r>
      <w:r w:rsidR="00711A03">
        <w:rPr>
          <w:rFonts w:ascii="Arial" w:hAnsi="Arial" w:cs="Arial"/>
          <w:bCs/>
          <w:color w:val="000000"/>
          <w:lang w:val="en-GB" w:eastAsia="en-GB"/>
        </w:rPr>
        <w:t xml:space="preserve">an </w:t>
      </w:r>
      <w:r w:rsidR="00711A03" w:rsidRPr="00BE4B00">
        <w:rPr>
          <w:rFonts w:ascii="Arial" w:hAnsi="Arial" w:cs="Arial"/>
          <w:bCs/>
          <w:color w:val="000000"/>
          <w:lang w:val="en-GB" w:eastAsia="en-GB"/>
        </w:rPr>
        <w:t xml:space="preserve">explanation provided by </w:t>
      </w:r>
      <w:r w:rsidR="00711A03">
        <w:rPr>
          <w:rFonts w:ascii="Arial" w:hAnsi="Arial" w:cs="Arial"/>
          <w:bCs/>
          <w:color w:val="000000"/>
          <w:lang w:val="en-GB" w:eastAsia="en-GB"/>
        </w:rPr>
        <w:t>a</w:t>
      </w:r>
      <w:r w:rsidR="00711A03" w:rsidRPr="00BE4B00">
        <w:rPr>
          <w:rFonts w:ascii="Arial" w:hAnsi="Arial" w:cs="Arial"/>
          <w:bCs/>
          <w:color w:val="000000"/>
          <w:lang w:val="en-GB" w:eastAsia="en-GB"/>
        </w:rPr>
        <w:t xml:space="preserve"> Flemish University and in </w:t>
      </w:r>
      <w:r w:rsidR="00C66BB8">
        <w:rPr>
          <w:rFonts w:ascii="Arial" w:hAnsi="Arial" w:cs="Arial"/>
          <w:bCs/>
          <w:color w:val="000000"/>
          <w:lang w:val="en-GB" w:eastAsia="en-GB"/>
        </w:rPr>
        <w:t>light of</w:t>
      </w:r>
      <w:r w:rsidR="00711A03" w:rsidRPr="00BE4B00">
        <w:rPr>
          <w:rFonts w:ascii="Arial" w:hAnsi="Arial" w:cs="Arial"/>
          <w:bCs/>
          <w:color w:val="000000"/>
          <w:lang w:val="en-GB" w:eastAsia="en-GB"/>
        </w:rPr>
        <w:t xml:space="preserve"> the fact that two out of four negative </w:t>
      </w:r>
      <w:r w:rsidR="00C66BB8">
        <w:rPr>
          <w:rFonts w:ascii="Arial" w:hAnsi="Arial" w:cs="Arial"/>
          <w:bCs/>
          <w:color w:val="000000"/>
          <w:lang w:val="en-GB" w:eastAsia="en-GB"/>
        </w:rPr>
        <w:t>answers come</w:t>
      </w:r>
      <w:r w:rsidR="00C66BB8" w:rsidRPr="00BE4B00">
        <w:rPr>
          <w:rFonts w:ascii="Arial" w:hAnsi="Arial" w:cs="Arial"/>
          <w:bCs/>
          <w:color w:val="000000"/>
          <w:lang w:val="en-GB" w:eastAsia="en-GB"/>
        </w:rPr>
        <w:t xml:space="preserve"> </w:t>
      </w:r>
      <w:r w:rsidR="00711A03" w:rsidRPr="00BE4B00">
        <w:rPr>
          <w:rFonts w:ascii="Arial" w:hAnsi="Arial" w:cs="Arial"/>
          <w:bCs/>
          <w:color w:val="000000"/>
          <w:lang w:val="en-GB" w:eastAsia="en-GB"/>
        </w:rPr>
        <w:t>from Croatian HEIs, whereas in Croatia the right to appeal is granted by the Law on Recogniti</w:t>
      </w:r>
      <w:r w:rsidR="00B5456F">
        <w:rPr>
          <w:rFonts w:ascii="Arial" w:hAnsi="Arial" w:cs="Arial"/>
          <w:bCs/>
          <w:color w:val="000000"/>
          <w:lang w:val="en-GB" w:eastAsia="en-GB"/>
        </w:rPr>
        <w:t>on. For the fourth institution</w:t>
      </w:r>
      <w:r w:rsidR="00711A03" w:rsidRPr="00BE4B00">
        <w:rPr>
          <w:rFonts w:ascii="Arial" w:hAnsi="Arial" w:cs="Arial"/>
          <w:bCs/>
          <w:color w:val="000000"/>
          <w:lang w:val="en-GB" w:eastAsia="en-GB"/>
        </w:rPr>
        <w:t>, the explanation is not evident.</w:t>
      </w:r>
    </w:p>
    <w:p w:rsidR="00711A03" w:rsidRPr="00BE4B00" w:rsidRDefault="00711A03" w:rsidP="00DF447F">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Q9a. If yes, is the appeal handled internally within the institution or externally by an outside body?</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FF0000"/>
          <w:lang w:val="en-GB" w:eastAsia="en-GB"/>
        </w:rPr>
        <w:drawing>
          <wp:inline distT="0" distB="0" distL="0" distR="0" wp14:anchorId="06B1BBDA" wp14:editId="6B804307">
            <wp:extent cx="4000500" cy="1028700"/>
            <wp:effectExtent l="0" t="0" r="0" b="0"/>
            <wp:docPr id="11" name="Grafikon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11A03" w:rsidRPr="00BE4B00" w:rsidRDefault="00711A03" w:rsidP="002F1E87">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 xml:space="preserve">In 54 (72%) of </w:t>
      </w:r>
      <w:r w:rsidR="00C66BB8">
        <w:rPr>
          <w:rFonts w:ascii="Arial" w:hAnsi="Arial" w:cs="Arial"/>
          <w:bCs/>
          <w:color w:val="000000"/>
          <w:lang w:val="en-GB" w:eastAsia="en-GB"/>
        </w:rPr>
        <w:t xml:space="preserve">the </w:t>
      </w:r>
      <w:r w:rsidRPr="00BE4B00">
        <w:rPr>
          <w:rFonts w:ascii="Arial" w:hAnsi="Arial" w:cs="Arial"/>
          <w:bCs/>
          <w:color w:val="000000"/>
          <w:lang w:val="en-GB" w:eastAsia="en-GB"/>
        </w:rPr>
        <w:t>institutions appeals are handled internally, while in 21 (28%) institutions they are handled externally.  Some institutions have a two-step procedure, both internally and then externally (</w:t>
      </w:r>
      <w:r w:rsidR="00357797">
        <w:rPr>
          <w:rFonts w:ascii="Arial" w:hAnsi="Arial" w:cs="Arial"/>
          <w:bCs/>
          <w:color w:val="000000"/>
          <w:lang w:val="en-GB" w:eastAsia="en-GB"/>
        </w:rPr>
        <w:t xml:space="preserve">in </w:t>
      </w:r>
      <w:r w:rsidRPr="00BE4B00">
        <w:rPr>
          <w:rFonts w:ascii="Arial" w:hAnsi="Arial" w:cs="Arial"/>
          <w:bCs/>
          <w:color w:val="000000"/>
          <w:lang w:val="en-GB" w:eastAsia="en-GB"/>
        </w:rPr>
        <w:t>B</w:t>
      </w:r>
      <w:r w:rsidR="000244C5">
        <w:rPr>
          <w:rFonts w:ascii="Arial" w:hAnsi="Arial" w:cs="Arial"/>
          <w:bCs/>
          <w:color w:val="000000"/>
          <w:lang w:val="en-GB" w:eastAsia="en-GB"/>
        </w:rPr>
        <w:t>elgium (Flemish Community)</w:t>
      </w:r>
      <w:r w:rsidRPr="00BE4B00">
        <w:rPr>
          <w:rFonts w:ascii="Arial" w:hAnsi="Arial" w:cs="Arial"/>
          <w:bCs/>
          <w:color w:val="000000"/>
          <w:lang w:val="en-GB" w:eastAsia="en-GB"/>
        </w:rPr>
        <w:t>, D</w:t>
      </w:r>
      <w:r w:rsidR="000244C5">
        <w:rPr>
          <w:rFonts w:ascii="Arial" w:hAnsi="Arial" w:cs="Arial"/>
          <w:bCs/>
          <w:color w:val="000000"/>
          <w:lang w:val="en-GB" w:eastAsia="en-GB"/>
        </w:rPr>
        <w:t>enmark</w:t>
      </w:r>
      <w:r w:rsidRPr="00BE4B00">
        <w:rPr>
          <w:rFonts w:ascii="Arial" w:hAnsi="Arial" w:cs="Arial"/>
          <w:bCs/>
          <w:color w:val="000000"/>
          <w:lang w:val="en-GB" w:eastAsia="en-GB"/>
        </w:rPr>
        <w:t xml:space="preserve">, </w:t>
      </w:r>
      <w:r w:rsidR="000244C5">
        <w:rPr>
          <w:rFonts w:ascii="Arial" w:hAnsi="Arial" w:cs="Arial"/>
          <w:bCs/>
          <w:color w:val="000000"/>
          <w:lang w:val="en-GB" w:eastAsia="en-GB"/>
        </w:rPr>
        <w:t>Germany</w:t>
      </w:r>
      <w:r w:rsidRPr="00BE4B00">
        <w:rPr>
          <w:rFonts w:ascii="Arial" w:hAnsi="Arial" w:cs="Arial"/>
          <w:bCs/>
          <w:color w:val="000000"/>
          <w:lang w:val="en-GB" w:eastAsia="en-GB"/>
        </w:rPr>
        <w:t>,</w:t>
      </w:r>
      <w:r w:rsidR="000244C5">
        <w:rPr>
          <w:rFonts w:ascii="Arial" w:hAnsi="Arial" w:cs="Arial"/>
          <w:bCs/>
          <w:color w:val="000000"/>
          <w:lang w:val="en-GB" w:eastAsia="en-GB"/>
        </w:rPr>
        <w:t xml:space="preserve"> the Netherlands</w:t>
      </w:r>
      <w:r w:rsidRPr="00BE4B00">
        <w:rPr>
          <w:rFonts w:ascii="Arial" w:hAnsi="Arial" w:cs="Arial"/>
          <w:bCs/>
          <w:color w:val="000000"/>
          <w:lang w:val="en-GB" w:eastAsia="en-GB"/>
        </w:rPr>
        <w:t>). External appeals are handled by the competent ministries (</w:t>
      </w:r>
      <w:r w:rsidR="000244C5">
        <w:rPr>
          <w:rFonts w:ascii="Arial" w:hAnsi="Arial" w:cs="Arial"/>
          <w:bCs/>
          <w:color w:val="000000"/>
          <w:lang w:val="en-GB" w:eastAsia="en-GB"/>
        </w:rPr>
        <w:t>Croatia</w:t>
      </w:r>
      <w:r w:rsidRPr="00BE4B00">
        <w:rPr>
          <w:rFonts w:ascii="Arial" w:hAnsi="Arial" w:cs="Arial"/>
          <w:bCs/>
          <w:color w:val="000000"/>
          <w:lang w:val="en-GB" w:eastAsia="en-GB"/>
        </w:rPr>
        <w:t>, D</w:t>
      </w:r>
      <w:r w:rsidR="000244C5">
        <w:rPr>
          <w:rFonts w:ascii="Arial" w:hAnsi="Arial" w:cs="Arial"/>
          <w:bCs/>
          <w:color w:val="000000"/>
          <w:lang w:val="en-GB" w:eastAsia="en-GB"/>
        </w:rPr>
        <w:t>enmark</w:t>
      </w:r>
      <w:r w:rsidRPr="00BE4B00">
        <w:rPr>
          <w:rFonts w:ascii="Arial" w:hAnsi="Arial" w:cs="Arial"/>
          <w:bCs/>
          <w:color w:val="000000"/>
          <w:lang w:val="en-GB" w:eastAsia="en-GB"/>
        </w:rPr>
        <w:t>), the Court (</w:t>
      </w:r>
      <w:r w:rsidR="000244C5">
        <w:rPr>
          <w:rFonts w:ascii="Arial" w:hAnsi="Arial" w:cs="Arial"/>
          <w:bCs/>
          <w:color w:val="000000"/>
          <w:lang w:val="en-GB" w:eastAsia="en-GB"/>
        </w:rPr>
        <w:t>Germany</w:t>
      </w:r>
      <w:r w:rsidRPr="00BE4B00">
        <w:rPr>
          <w:rFonts w:ascii="Arial" w:hAnsi="Arial" w:cs="Arial"/>
          <w:bCs/>
          <w:color w:val="000000"/>
          <w:lang w:val="en-GB" w:eastAsia="en-GB"/>
        </w:rPr>
        <w:t>), the Board of Appeals (S</w:t>
      </w:r>
      <w:r w:rsidR="000244C5">
        <w:rPr>
          <w:rFonts w:ascii="Arial" w:hAnsi="Arial" w:cs="Arial"/>
          <w:bCs/>
          <w:color w:val="000000"/>
          <w:lang w:val="en-GB" w:eastAsia="en-GB"/>
        </w:rPr>
        <w:t>weden</w:t>
      </w:r>
      <w:r w:rsidRPr="00BE4B00">
        <w:rPr>
          <w:rFonts w:ascii="Arial" w:hAnsi="Arial" w:cs="Arial"/>
          <w:bCs/>
          <w:color w:val="000000"/>
          <w:lang w:val="en-GB" w:eastAsia="en-GB"/>
        </w:rPr>
        <w:t>) or by an independent University Committee (</w:t>
      </w:r>
      <w:r w:rsidR="000244C5">
        <w:rPr>
          <w:rFonts w:ascii="Arial" w:hAnsi="Arial" w:cs="Arial"/>
          <w:bCs/>
          <w:color w:val="000000"/>
          <w:lang w:val="en-GB" w:eastAsia="en-GB"/>
        </w:rPr>
        <w:t>the Netherlands</w:t>
      </w:r>
      <w:r w:rsidRPr="00BE4B00">
        <w:rPr>
          <w:rFonts w:ascii="Arial" w:hAnsi="Arial" w:cs="Arial"/>
          <w:bCs/>
          <w:color w:val="000000"/>
          <w:lang w:val="en-GB" w:eastAsia="en-GB"/>
        </w:rPr>
        <w:t>) or a body at the University level (S</w:t>
      </w:r>
      <w:r w:rsidR="000244C5">
        <w:rPr>
          <w:rFonts w:ascii="Arial" w:hAnsi="Arial" w:cs="Arial"/>
          <w:bCs/>
          <w:color w:val="000000"/>
          <w:lang w:val="en-GB" w:eastAsia="en-GB"/>
        </w:rPr>
        <w:t>lovenia</w:t>
      </w:r>
      <w:r w:rsidRPr="00BE4B00">
        <w:rPr>
          <w:rFonts w:ascii="Arial" w:hAnsi="Arial" w:cs="Arial"/>
          <w:bCs/>
          <w:color w:val="000000"/>
          <w:lang w:val="en-GB" w:eastAsia="en-GB"/>
        </w:rPr>
        <w:t>).</w:t>
      </w:r>
    </w:p>
    <w:p w:rsidR="00711A03" w:rsidRPr="00BE4B00" w:rsidRDefault="00711A03" w:rsidP="002F1E87">
      <w:pPr>
        <w:shd w:val="clear" w:color="auto" w:fill="FFFFFF"/>
        <w:spacing w:before="100" w:beforeAutospacing="1" w:after="100" w:afterAutospacing="1" w:line="240" w:lineRule="auto"/>
        <w:jc w:val="both"/>
        <w:outlineLvl w:val="2"/>
        <w:rPr>
          <w:rFonts w:ascii="Arial" w:hAnsi="Arial" w:cs="Arial"/>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t xml:space="preserve">Q9b. If yes, is the appeal procedure free of charge? </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sidRPr="00BE4B00">
        <w:rPr>
          <w:rFonts w:ascii="Arial" w:hAnsi="Arial" w:cs="Arial"/>
          <w:bCs/>
          <w:color w:val="000000"/>
          <w:lang w:val="en-GB" w:eastAsia="en-GB"/>
        </w:rPr>
        <w:t>At 60 institutions (83%) the appeal is free of charge, while at 12 (17%) institutions it is not.</w:t>
      </w:r>
    </w:p>
    <w:p w:rsidR="00711A03" w:rsidRPr="00BE4B00" w:rsidRDefault="00D25B04" w:rsidP="00776F7E">
      <w:pPr>
        <w:shd w:val="clear" w:color="auto" w:fill="FFFFFF"/>
        <w:spacing w:before="100" w:beforeAutospacing="1" w:after="100" w:afterAutospacing="1" w:line="240" w:lineRule="auto"/>
        <w:jc w:val="both"/>
        <w:rPr>
          <w:rFonts w:ascii="Arial" w:hAnsi="Arial" w:cs="Arial"/>
          <w:color w:val="000000"/>
          <w:lang w:val="en-GB" w:eastAsia="en-GB"/>
        </w:rPr>
      </w:pPr>
      <w:r>
        <w:rPr>
          <w:rFonts w:ascii="Arial" w:hAnsi="Arial" w:cs="Arial"/>
          <w:noProof/>
          <w:color w:val="000000"/>
          <w:lang w:val="en-GB" w:eastAsia="en-GB"/>
        </w:rPr>
        <w:drawing>
          <wp:inline distT="0" distB="0" distL="0" distR="0" wp14:anchorId="3D2D3755" wp14:editId="0AB09026">
            <wp:extent cx="5210175" cy="1047750"/>
            <wp:effectExtent l="0" t="0" r="0" b="0"/>
            <wp:docPr id="12" name="Grafikon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34D23" w:rsidRDefault="00034D2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
          <w:bCs/>
          <w:color w:val="000000"/>
          <w:lang w:val="en-GB" w:eastAsia="en-GB"/>
        </w:rPr>
      </w:pPr>
      <w:r w:rsidRPr="00BE4B00">
        <w:rPr>
          <w:rFonts w:ascii="Arial" w:hAnsi="Arial" w:cs="Arial"/>
          <w:b/>
          <w:bCs/>
          <w:color w:val="000000"/>
          <w:lang w:val="en-GB" w:eastAsia="en-GB"/>
        </w:rPr>
        <w:lastRenderedPageBreak/>
        <w:t>Q10. Is information on how to appeal publicly available?</w:t>
      </w:r>
      <w:r w:rsidRPr="00BE4B00">
        <w:rPr>
          <w:rFonts w:ascii="Arial" w:hAnsi="Arial" w:cs="Arial"/>
          <w:lang w:val="en-GB"/>
        </w:rPr>
        <w:t xml:space="preserve"> </w:t>
      </w:r>
      <w:r w:rsidRPr="00BE4B00">
        <w:rPr>
          <w:rFonts w:ascii="Arial" w:hAnsi="Arial" w:cs="Arial"/>
          <w:b/>
          <w:bCs/>
          <w:color w:val="000000"/>
          <w:lang w:val="en-GB" w:eastAsia="en-GB"/>
        </w:rPr>
        <w:t>If yes, is the information provided directly to the rejected applicant in the (annex of the) decision or published on a (public) website etc.</w:t>
      </w:r>
    </w:p>
    <w:p w:rsidR="00711A03" w:rsidRPr="00BE4B00" w:rsidRDefault="00D25B04" w:rsidP="00CB005C">
      <w:pPr>
        <w:shd w:val="clear" w:color="auto" w:fill="FFFFFF"/>
        <w:spacing w:before="100" w:beforeAutospacing="1" w:after="100" w:afterAutospacing="1" w:line="240" w:lineRule="auto"/>
        <w:jc w:val="both"/>
        <w:outlineLvl w:val="2"/>
        <w:rPr>
          <w:rFonts w:ascii="Arial" w:hAnsi="Arial" w:cs="Arial"/>
          <w:bCs/>
          <w:color w:val="000000"/>
          <w:lang w:val="en-GB" w:eastAsia="en-GB"/>
        </w:rPr>
      </w:pPr>
      <w:r>
        <w:rPr>
          <w:noProof/>
          <w:lang w:val="en-GB" w:eastAsia="en-GB"/>
        </w:rPr>
        <w:drawing>
          <wp:anchor distT="0" distB="0" distL="114300" distR="114300" simplePos="0" relativeHeight="251663360" behindDoc="1" locked="0" layoutInCell="1" allowOverlap="1" wp14:anchorId="3296B43C" wp14:editId="5A8D1EA3">
            <wp:simplePos x="0" y="0"/>
            <wp:positionH relativeFrom="column">
              <wp:posOffset>4404360</wp:posOffset>
            </wp:positionH>
            <wp:positionV relativeFrom="paragraph">
              <wp:posOffset>12065</wp:posOffset>
            </wp:positionV>
            <wp:extent cx="1840865" cy="1615440"/>
            <wp:effectExtent l="0" t="0" r="6985" b="3810"/>
            <wp:wrapTight wrapText="bothSides">
              <wp:wrapPolygon edited="0">
                <wp:start x="224" y="0"/>
                <wp:lineTo x="0" y="764"/>
                <wp:lineTo x="0" y="20887"/>
                <wp:lineTo x="224" y="21396"/>
                <wp:lineTo x="21235" y="21396"/>
                <wp:lineTo x="21458" y="20887"/>
                <wp:lineTo x="21458" y="764"/>
                <wp:lineTo x="21235" y="0"/>
                <wp:lineTo x="224" y="0"/>
              </wp:wrapPolygon>
            </wp:wrapTight>
            <wp:docPr id="1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40865" cy="1615440"/>
                    </a:xfrm>
                    <a:prstGeom prst="rect">
                      <a:avLst/>
                    </a:prstGeom>
                    <a:noFill/>
                  </pic:spPr>
                </pic:pic>
              </a:graphicData>
            </a:graphic>
            <wp14:sizeRelH relativeFrom="page">
              <wp14:pctWidth>0</wp14:pctWidth>
            </wp14:sizeRelH>
            <wp14:sizeRelV relativeFrom="page">
              <wp14:pctHeight>0</wp14:pctHeight>
            </wp14:sizeRelV>
          </wp:anchor>
        </w:drawing>
      </w:r>
      <w:r w:rsidR="0073715A">
        <w:rPr>
          <w:rFonts w:ascii="Arial" w:hAnsi="Arial" w:cs="Arial"/>
          <w:bCs/>
          <w:color w:val="000000"/>
          <w:lang w:val="en-GB" w:eastAsia="en-GB"/>
        </w:rPr>
        <w:t>In</w:t>
      </w:r>
      <w:r w:rsidR="00711A03" w:rsidRPr="00BE4B00">
        <w:rPr>
          <w:rFonts w:ascii="Arial" w:hAnsi="Arial" w:cs="Arial"/>
          <w:bCs/>
          <w:color w:val="000000"/>
          <w:lang w:val="en-GB" w:eastAsia="en-GB"/>
        </w:rPr>
        <w:t xml:space="preserve"> 69 (79%) institutions the information on how to appeal is publicly available, while </w:t>
      </w:r>
      <w:r w:rsidR="0073715A">
        <w:rPr>
          <w:rFonts w:ascii="Arial" w:hAnsi="Arial" w:cs="Arial"/>
          <w:bCs/>
          <w:color w:val="000000"/>
          <w:lang w:val="en-GB" w:eastAsia="en-GB"/>
        </w:rPr>
        <w:t>in</w:t>
      </w:r>
      <w:r w:rsidR="00711A03" w:rsidRPr="00BE4B00">
        <w:rPr>
          <w:rFonts w:ascii="Arial" w:hAnsi="Arial" w:cs="Arial"/>
          <w:bCs/>
          <w:color w:val="000000"/>
          <w:lang w:val="en-GB" w:eastAsia="en-GB"/>
        </w:rPr>
        <w:t xml:space="preserve"> 18 (21%) institutions it is not. 46 institutions provide the information on appeal directly to </w:t>
      </w:r>
      <w:r w:rsidR="0073715A">
        <w:rPr>
          <w:rFonts w:ascii="Arial" w:hAnsi="Arial" w:cs="Arial"/>
          <w:bCs/>
          <w:color w:val="000000"/>
          <w:lang w:val="en-GB" w:eastAsia="en-GB"/>
        </w:rPr>
        <w:t xml:space="preserve">the </w:t>
      </w:r>
      <w:r w:rsidR="00711A03" w:rsidRPr="00BE4B00">
        <w:rPr>
          <w:rFonts w:ascii="Arial" w:hAnsi="Arial" w:cs="Arial"/>
          <w:bCs/>
          <w:color w:val="000000"/>
          <w:lang w:val="en-GB" w:eastAsia="en-GB"/>
        </w:rPr>
        <w:t>applicant, 10 institutions put the information on their website</w:t>
      </w:r>
      <w:r w:rsidR="0073715A">
        <w:rPr>
          <w:rFonts w:ascii="Arial" w:hAnsi="Arial" w:cs="Arial"/>
          <w:bCs/>
          <w:color w:val="000000"/>
          <w:lang w:val="en-GB" w:eastAsia="en-GB"/>
        </w:rPr>
        <w:t xml:space="preserve">, whereas 10 respondents do </w:t>
      </w:r>
      <w:r w:rsidR="00711A03" w:rsidRPr="00BE4B00">
        <w:rPr>
          <w:rFonts w:ascii="Arial" w:hAnsi="Arial" w:cs="Arial"/>
          <w:bCs/>
          <w:color w:val="000000"/>
          <w:lang w:val="en-GB" w:eastAsia="en-GB"/>
        </w:rPr>
        <w:t xml:space="preserve">both. </w:t>
      </w:r>
    </w:p>
    <w:p w:rsidR="00711A03" w:rsidRPr="00BE4B00" w:rsidRDefault="00711A03" w:rsidP="00776F7E">
      <w:pPr>
        <w:shd w:val="clear" w:color="auto" w:fill="FFFFFF"/>
        <w:spacing w:before="100" w:beforeAutospacing="1" w:after="100" w:afterAutospacing="1" w:line="240" w:lineRule="auto"/>
        <w:jc w:val="both"/>
        <w:outlineLvl w:val="2"/>
        <w:rPr>
          <w:rFonts w:ascii="Arial" w:hAnsi="Arial" w:cs="Arial"/>
          <w:bCs/>
          <w:color w:val="000000"/>
          <w:lang w:val="en-GB" w:eastAsia="en-GB"/>
        </w:rPr>
      </w:pPr>
    </w:p>
    <w:p w:rsidR="00711A03" w:rsidRPr="00BE4B00" w:rsidRDefault="00711A03" w:rsidP="00776F7E">
      <w:pPr>
        <w:shd w:val="clear" w:color="auto" w:fill="FFFFFF"/>
        <w:spacing w:before="100" w:beforeAutospacing="1" w:after="100" w:afterAutospacing="1" w:line="240" w:lineRule="auto"/>
        <w:jc w:val="both"/>
        <w:rPr>
          <w:rFonts w:ascii="Arial" w:hAnsi="Arial" w:cs="Arial"/>
          <w:color w:val="000000"/>
          <w:lang w:val="en-GB" w:eastAsia="en-GB"/>
        </w:rPr>
      </w:pPr>
    </w:p>
    <w:p w:rsidR="00711A03" w:rsidRPr="00BE4B00" w:rsidRDefault="00711A03" w:rsidP="005920B6">
      <w:pPr>
        <w:spacing w:before="100" w:beforeAutospacing="1" w:after="100" w:afterAutospacing="1" w:line="240" w:lineRule="auto"/>
        <w:jc w:val="both"/>
        <w:rPr>
          <w:rFonts w:ascii="Arial" w:hAnsi="Arial" w:cs="Arial"/>
          <w:b/>
          <w:lang w:val="en-GB"/>
        </w:rPr>
      </w:pPr>
    </w:p>
    <w:p w:rsidR="00711A03" w:rsidRPr="005920B6" w:rsidRDefault="00711A03" w:rsidP="00C31F43">
      <w:pPr>
        <w:pBdr>
          <w:bottom w:val="single" w:sz="4" w:space="1" w:color="auto"/>
        </w:pBdr>
        <w:spacing w:after="0" w:line="240" w:lineRule="auto"/>
        <w:jc w:val="center"/>
        <w:rPr>
          <w:rFonts w:ascii="Arial" w:hAnsi="Arial" w:cs="Arial"/>
          <w:lang w:val="en-GB"/>
        </w:rPr>
      </w:pPr>
      <w:r w:rsidRPr="00BE4B00">
        <w:rPr>
          <w:rFonts w:ascii="Arial" w:hAnsi="Arial" w:cs="Arial"/>
          <w:b/>
          <w:lang w:val="en-GB"/>
        </w:rPr>
        <w:br w:type="page"/>
      </w:r>
      <w:r w:rsidRPr="000C089F">
        <w:rPr>
          <w:rFonts w:ascii="Arial" w:hAnsi="Arial" w:cs="Arial"/>
          <w:lang w:val="en-GB"/>
        </w:rPr>
        <w:lastRenderedPageBreak/>
        <w:t>Conclusions &amp; Policy</w:t>
      </w:r>
      <w:r w:rsidRPr="005920B6">
        <w:rPr>
          <w:rFonts w:ascii="Arial" w:hAnsi="Arial" w:cs="Arial"/>
          <w:lang w:val="en-GB"/>
        </w:rPr>
        <w:t xml:space="preserve"> issues</w:t>
      </w:r>
    </w:p>
    <w:p w:rsidR="00711A03" w:rsidRDefault="00711A03" w:rsidP="00C31F43">
      <w:pPr>
        <w:spacing w:after="0" w:line="240" w:lineRule="auto"/>
        <w:ind w:left="720"/>
        <w:jc w:val="both"/>
        <w:rPr>
          <w:rFonts w:ascii="Arial" w:hAnsi="Arial" w:cs="Arial"/>
          <w:lang w:val="en-GB"/>
        </w:rPr>
      </w:pPr>
    </w:p>
    <w:p w:rsidR="00C31F43" w:rsidRDefault="00C31F43" w:rsidP="00C31F43">
      <w:pPr>
        <w:spacing w:after="0" w:line="240" w:lineRule="auto"/>
        <w:ind w:left="720"/>
        <w:jc w:val="both"/>
        <w:rPr>
          <w:rFonts w:ascii="Arial" w:hAnsi="Arial" w:cs="Arial"/>
          <w:lang w:val="en-GB"/>
        </w:rPr>
      </w:pPr>
    </w:p>
    <w:p w:rsidR="00711A03" w:rsidRDefault="00711A03" w:rsidP="00C31F43">
      <w:pPr>
        <w:numPr>
          <w:ilvl w:val="0"/>
          <w:numId w:val="8"/>
        </w:numPr>
        <w:spacing w:after="0" w:line="240" w:lineRule="auto"/>
        <w:jc w:val="both"/>
        <w:rPr>
          <w:rFonts w:ascii="Arial" w:hAnsi="Arial" w:cs="Arial"/>
          <w:lang w:val="en-GB"/>
        </w:rPr>
      </w:pPr>
      <w:r w:rsidRPr="005920B6">
        <w:rPr>
          <w:rFonts w:ascii="Arial" w:hAnsi="Arial" w:cs="Arial"/>
          <w:lang w:val="en-GB"/>
        </w:rPr>
        <w:t xml:space="preserve">In general, HEIs’ interpretation of possible ‘substantial differences’ in terms of the LRC can vary. Therefore, a way of ensuring a clearer and more unified application of the criteria of the </w:t>
      </w:r>
      <w:r w:rsidR="00C66BB8">
        <w:rPr>
          <w:rFonts w:ascii="Arial" w:hAnsi="Arial" w:cs="Arial"/>
          <w:lang w:val="en-GB"/>
        </w:rPr>
        <w:t>C</w:t>
      </w:r>
      <w:r w:rsidR="00C66BB8" w:rsidRPr="005920B6">
        <w:rPr>
          <w:rFonts w:ascii="Arial" w:hAnsi="Arial" w:cs="Arial"/>
          <w:lang w:val="en-GB"/>
        </w:rPr>
        <w:t xml:space="preserve">onvention </w:t>
      </w:r>
      <w:r w:rsidRPr="005920B6">
        <w:rPr>
          <w:rFonts w:ascii="Arial" w:hAnsi="Arial" w:cs="Arial"/>
          <w:lang w:val="en-GB"/>
        </w:rPr>
        <w:t xml:space="preserve">would be useful. Where they exist, national guidelines for admission decisions were considered helpful by HEIs. The development of national guidelines (e.g. helping HEIs to implement </w:t>
      </w:r>
      <w:r w:rsidR="00C66BB8" w:rsidRPr="005920B6">
        <w:rPr>
          <w:rFonts w:ascii="Arial" w:hAnsi="Arial" w:cs="Arial"/>
          <w:lang w:val="en-GB"/>
        </w:rPr>
        <w:t xml:space="preserve">properly </w:t>
      </w:r>
      <w:r w:rsidRPr="005920B6">
        <w:rPr>
          <w:rFonts w:ascii="Arial" w:hAnsi="Arial" w:cs="Arial"/>
          <w:lang w:val="en-GB"/>
        </w:rPr>
        <w:t>the legal framework in place) could therefore be discussed. One HEI considered it useful to use a restrictive and closed list of reasons for the rejection of applicants as a means to work with the rather vague concept of 'substantial difference' in terms of the LRC</w:t>
      </w:r>
      <w:r w:rsidR="00D61616">
        <w:rPr>
          <w:rFonts w:ascii="Arial" w:hAnsi="Arial" w:cs="Arial"/>
          <w:lang w:val="en-GB"/>
        </w:rPr>
        <w:t>.</w:t>
      </w:r>
    </w:p>
    <w:p w:rsidR="00711A03" w:rsidRDefault="00711A03" w:rsidP="00C31F43">
      <w:pPr>
        <w:spacing w:after="0" w:line="240" w:lineRule="auto"/>
        <w:ind w:left="720"/>
        <w:jc w:val="both"/>
        <w:rPr>
          <w:rFonts w:ascii="Arial" w:hAnsi="Arial" w:cs="Arial"/>
          <w:lang w:val="en-GB"/>
        </w:rPr>
      </w:pPr>
    </w:p>
    <w:p w:rsidR="00711A03" w:rsidRDefault="00711A03" w:rsidP="00C31F43">
      <w:pPr>
        <w:numPr>
          <w:ilvl w:val="0"/>
          <w:numId w:val="8"/>
        </w:numPr>
        <w:spacing w:after="0" w:line="240" w:lineRule="auto"/>
        <w:jc w:val="both"/>
        <w:rPr>
          <w:rFonts w:ascii="Arial" w:hAnsi="Arial" w:cs="Arial"/>
          <w:lang w:val="en-GB"/>
        </w:rPr>
      </w:pPr>
      <w:r w:rsidRPr="005920B6">
        <w:rPr>
          <w:rFonts w:ascii="Arial" w:hAnsi="Arial" w:cs="Arial"/>
          <w:lang w:val="en-GB"/>
        </w:rPr>
        <w:t>The timeframe needed to process an application varies strongly from institution to institution and from country to country and can exceed the 4-months maximum time limit foreseen by the LRC</w:t>
      </w:r>
      <w:r w:rsidR="000244C5">
        <w:rPr>
          <w:rFonts w:ascii="Arial" w:hAnsi="Arial" w:cs="Arial"/>
          <w:lang w:val="en-GB"/>
        </w:rPr>
        <w:t xml:space="preserve"> </w:t>
      </w:r>
      <w:r w:rsidRPr="005920B6">
        <w:rPr>
          <w:rFonts w:ascii="Arial" w:hAnsi="Arial" w:cs="Arial"/>
          <w:lang w:val="en-GB"/>
        </w:rPr>
        <w:t>framework</w:t>
      </w:r>
      <w:r w:rsidRPr="005920B6">
        <w:rPr>
          <w:rStyle w:val="FootnoteReference"/>
          <w:rFonts w:ascii="Arial" w:hAnsi="Arial" w:cs="Arial"/>
          <w:lang w:val="en-GB"/>
        </w:rPr>
        <w:footnoteReference w:id="19"/>
      </w:r>
      <w:r w:rsidRPr="005920B6">
        <w:rPr>
          <w:rFonts w:ascii="Arial" w:hAnsi="Arial" w:cs="Arial"/>
          <w:lang w:val="en-GB"/>
        </w:rPr>
        <w:t>. Therefore, it could be useful – as a first step - to explore ways of moving towards guaranteeing a unified maximum timeframe for the processing of an application.</w:t>
      </w:r>
    </w:p>
    <w:p w:rsidR="00711A03" w:rsidRDefault="00711A03" w:rsidP="00C31F43">
      <w:pPr>
        <w:spacing w:after="0" w:line="240" w:lineRule="auto"/>
        <w:ind w:left="720"/>
        <w:jc w:val="both"/>
        <w:rPr>
          <w:rFonts w:ascii="Arial" w:hAnsi="Arial" w:cs="Arial"/>
          <w:lang w:val="en-GB"/>
        </w:rPr>
      </w:pPr>
    </w:p>
    <w:p w:rsidR="00711A03" w:rsidRDefault="00711A03" w:rsidP="00C31F43">
      <w:pPr>
        <w:numPr>
          <w:ilvl w:val="0"/>
          <w:numId w:val="8"/>
        </w:numPr>
        <w:spacing w:after="0" w:line="240" w:lineRule="auto"/>
        <w:jc w:val="both"/>
        <w:rPr>
          <w:rFonts w:ascii="Arial" w:hAnsi="Arial" w:cs="Arial"/>
          <w:lang w:val="en-GB"/>
        </w:rPr>
      </w:pPr>
      <w:r w:rsidRPr="005920B6">
        <w:rPr>
          <w:rFonts w:ascii="Arial" w:hAnsi="Arial" w:cs="Arial"/>
          <w:lang w:val="en-GB"/>
        </w:rPr>
        <w:t xml:space="preserve">The </w:t>
      </w:r>
      <w:r w:rsidR="000244C5">
        <w:rPr>
          <w:rFonts w:ascii="Arial" w:hAnsi="Arial" w:cs="Arial"/>
          <w:lang w:val="en-GB"/>
        </w:rPr>
        <w:t>DS</w:t>
      </w:r>
      <w:r w:rsidRPr="005920B6">
        <w:rPr>
          <w:rFonts w:ascii="Arial" w:hAnsi="Arial" w:cs="Arial"/>
          <w:lang w:val="en-GB"/>
        </w:rPr>
        <w:t xml:space="preserve"> is, in most cases, not considered sufficient to permit the assessment of foreign qualifications. An updated DS containing more </w:t>
      </w:r>
      <w:r w:rsidR="0082009A">
        <w:rPr>
          <w:rFonts w:ascii="Arial" w:hAnsi="Arial" w:cs="Arial"/>
          <w:lang w:val="en-GB"/>
        </w:rPr>
        <w:t xml:space="preserve">and/or more targeted </w:t>
      </w:r>
      <w:r w:rsidRPr="005920B6">
        <w:rPr>
          <w:rFonts w:ascii="Arial" w:hAnsi="Arial" w:cs="Arial"/>
          <w:lang w:val="en-GB"/>
        </w:rPr>
        <w:t>information</w:t>
      </w:r>
      <w:r w:rsidR="00F1508B">
        <w:rPr>
          <w:rFonts w:ascii="Arial" w:hAnsi="Arial" w:cs="Arial"/>
          <w:lang w:val="en-GB"/>
        </w:rPr>
        <w:t>, reducing the variety of information it contains</w:t>
      </w:r>
      <w:r w:rsidRPr="005920B6">
        <w:rPr>
          <w:rFonts w:ascii="Arial" w:hAnsi="Arial" w:cs="Arial"/>
          <w:lang w:val="en-GB"/>
        </w:rPr>
        <w:t xml:space="preserve"> and reflecting the needs of HEIs</w:t>
      </w:r>
      <w:r w:rsidR="00C66BB8">
        <w:rPr>
          <w:rFonts w:ascii="Arial" w:hAnsi="Arial" w:cs="Arial"/>
          <w:lang w:val="en-GB"/>
        </w:rPr>
        <w:t>,</w:t>
      </w:r>
      <w:r w:rsidRPr="005920B6">
        <w:rPr>
          <w:rFonts w:ascii="Arial" w:hAnsi="Arial" w:cs="Arial"/>
          <w:lang w:val="en-GB"/>
        </w:rPr>
        <w:t xml:space="preserve"> could be envisaged.</w:t>
      </w:r>
    </w:p>
    <w:p w:rsidR="00711A03" w:rsidRDefault="00711A03" w:rsidP="00C31F43">
      <w:pPr>
        <w:spacing w:after="0" w:line="240" w:lineRule="auto"/>
        <w:ind w:left="720"/>
        <w:jc w:val="both"/>
        <w:rPr>
          <w:rFonts w:ascii="Arial" w:hAnsi="Arial" w:cs="Arial"/>
          <w:lang w:val="en-GB"/>
        </w:rPr>
      </w:pPr>
    </w:p>
    <w:p w:rsidR="00711A03" w:rsidRDefault="00711A03" w:rsidP="00C31F43">
      <w:pPr>
        <w:numPr>
          <w:ilvl w:val="0"/>
          <w:numId w:val="8"/>
        </w:numPr>
        <w:spacing w:after="0" w:line="240" w:lineRule="auto"/>
        <w:jc w:val="both"/>
        <w:rPr>
          <w:rFonts w:ascii="Arial" w:hAnsi="Arial" w:cs="Arial"/>
          <w:lang w:val="en-GB"/>
        </w:rPr>
      </w:pPr>
      <w:r w:rsidRPr="005920B6">
        <w:rPr>
          <w:rFonts w:ascii="Arial" w:hAnsi="Arial" w:cs="Arial"/>
          <w:lang w:val="en-GB"/>
        </w:rPr>
        <w:t>Appeals are often, but not always, free of charge – and where they aren’t, costs vary strongly. To achieve a more unified framework concerning the legal remedies, a generalised approach of free internal appeals might strengthen the rights of applicants (as well as the correct application of the legal framework in place) throughout countries.</w:t>
      </w:r>
    </w:p>
    <w:p w:rsidR="00C31F43" w:rsidRPr="005920B6" w:rsidRDefault="00C31F43" w:rsidP="00C31F43">
      <w:pPr>
        <w:spacing w:after="0" w:line="240" w:lineRule="auto"/>
        <w:ind w:left="720"/>
        <w:jc w:val="both"/>
        <w:rPr>
          <w:rFonts w:ascii="Arial" w:hAnsi="Arial" w:cs="Arial"/>
          <w:lang w:val="en-GB"/>
        </w:rPr>
      </w:pPr>
    </w:p>
    <w:p w:rsidR="00711A03" w:rsidRPr="00E82AFB" w:rsidRDefault="00C66BB8" w:rsidP="00C31F43">
      <w:pPr>
        <w:numPr>
          <w:ilvl w:val="0"/>
          <w:numId w:val="8"/>
        </w:numPr>
        <w:spacing w:after="0" w:line="240" w:lineRule="auto"/>
        <w:jc w:val="both"/>
        <w:rPr>
          <w:rFonts w:ascii="Arial" w:hAnsi="Arial" w:cs="Arial"/>
          <w:lang w:val="en-GB"/>
        </w:rPr>
      </w:pPr>
      <w:r w:rsidRPr="00E82AFB">
        <w:rPr>
          <w:rFonts w:ascii="Arial" w:hAnsi="Arial" w:cs="Arial"/>
          <w:lang w:val="en-GB"/>
        </w:rPr>
        <w:t xml:space="preserve">National and European </w:t>
      </w:r>
      <w:r w:rsidR="00711A03" w:rsidRPr="00E82AFB">
        <w:rPr>
          <w:rFonts w:ascii="Arial" w:hAnsi="Arial" w:cs="Arial"/>
          <w:lang w:val="en-GB"/>
        </w:rPr>
        <w:t xml:space="preserve">QFs are used during the recognition process in only around 55% of cases and are therefore not yet generally used as a tool to certify skills, knowledge and competences. </w:t>
      </w:r>
      <w:r w:rsidRPr="00E82AFB">
        <w:rPr>
          <w:rFonts w:ascii="Arial" w:hAnsi="Arial" w:cs="Arial"/>
          <w:lang w:val="en-GB"/>
        </w:rPr>
        <w:t>Their use could therefore be better supported.</w:t>
      </w:r>
    </w:p>
    <w:sectPr w:rsidR="00711A03" w:rsidRPr="00E82AFB" w:rsidSect="00546051">
      <w:footerReference w:type="default" r:id="rId34"/>
      <w:pgSz w:w="11906" w:h="16838"/>
      <w:pgMar w:top="1417" w:right="849" w:bottom="1417"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AFB" w:rsidRDefault="00E82AFB" w:rsidP="00776549">
      <w:pPr>
        <w:spacing w:after="0" w:line="240" w:lineRule="auto"/>
      </w:pPr>
      <w:r>
        <w:separator/>
      </w:r>
    </w:p>
  </w:endnote>
  <w:endnote w:type="continuationSeparator" w:id="0">
    <w:p w:rsidR="00E82AFB" w:rsidRDefault="00E82AFB" w:rsidP="00776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AFB" w:rsidRDefault="00E82AFB">
    <w:pPr>
      <w:pStyle w:val="Footer"/>
      <w:jc w:val="right"/>
    </w:pPr>
    <w:r>
      <w:fldChar w:fldCharType="begin"/>
    </w:r>
    <w:r>
      <w:instrText>PAGE   \* MERGEFORMAT</w:instrText>
    </w:r>
    <w:r>
      <w:fldChar w:fldCharType="separate"/>
    </w:r>
    <w:r w:rsidR="00504EBC">
      <w:rPr>
        <w:noProof/>
      </w:rPr>
      <w:t>1</w:t>
    </w:r>
    <w:r>
      <w:rPr>
        <w:noProof/>
      </w:rPr>
      <w:fldChar w:fldCharType="end"/>
    </w:r>
  </w:p>
  <w:p w:rsidR="00E82AFB" w:rsidRDefault="00E82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AFB" w:rsidRDefault="00E82AFB" w:rsidP="00776549">
      <w:pPr>
        <w:spacing w:after="0" w:line="240" w:lineRule="auto"/>
      </w:pPr>
      <w:r>
        <w:separator/>
      </w:r>
    </w:p>
  </w:footnote>
  <w:footnote w:type="continuationSeparator" w:id="0">
    <w:p w:rsidR="00E82AFB" w:rsidRDefault="00E82AFB" w:rsidP="00776549">
      <w:pPr>
        <w:spacing w:after="0" w:line="240" w:lineRule="auto"/>
      </w:pPr>
      <w:r>
        <w:continuationSeparator/>
      </w:r>
    </w:p>
  </w:footnote>
  <w:footnote w:id="1">
    <w:p w:rsidR="00E82AFB" w:rsidRPr="00504EBC" w:rsidRDefault="00E82AFB" w:rsidP="00504EBC">
      <w:pPr>
        <w:spacing w:after="0" w:line="240" w:lineRule="auto"/>
        <w:jc w:val="both"/>
        <w:rPr>
          <w:rFonts w:ascii="Arial" w:hAnsi="Arial" w:cs="Arial"/>
          <w:sz w:val="20"/>
          <w:szCs w:val="20"/>
          <w:lang w:val="en-GB"/>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sz w:val="20"/>
          <w:szCs w:val="20"/>
          <w:lang w:val="en-GB"/>
        </w:rPr>
        <w:t>List of abbreviations:</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HEI = Higher education institution</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LO = Learning Outcomes;</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DS = Diploma Supplement;</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EQF for LLL = European Qualifications Framework for Lifelong Learning;</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EHEA = European Higher Education Area;</w:t>
      </w:r>
    </w:p>
    <w:p w:rsidR="00E82AFB" w:rsidRPr="00504EBC" w:rsidRDefault="00E82AFB" w:rsidP="00504EBC">
      <w:pPr>
        <w:spacing w:after="0" w:line="240" w:lineRule="auto"/>
        <w:jc w:val="both"/>
        <w:rPr>
          <w:rFonts w:ascii="Arial" w:hAnsi="Arial" w:cs="Arial"/>
          <w:sz w:val="20"/>
          <w:szCs w:val="20"/>
          <w:lang w:val="en-GB"/>
        </w:rPr>
      </w:pPr>
      <w:r w:rsidRPr="00504EBC">
        <w:rPr>
          <w:rFonts w:ascii="Arial" w:hAnsi="Arial" w:cs="Arial"/>
          <w:sz w:val="20"/>
          <w:szCs w:val="20"/>
          <w:lang w:val="en-GB"/>
        </w:rPr>
        <w:t>LRC = Lisbon Recognition Convention = Convention on the Recognition of Qualifications concerning Higher Education in the European Region of the Council of Europe and UNESCO</w:t>
      </w:r>
    </w:p>
    <w:p w:rsidR="00E82AFB" w:rsidRPr="00504EBC" w:rsidRDefault="00E82AFB" w:rsidP="00504EBC">
      <w:pPr>
        <w:spacing w:after="0" w:line="240" w:lineRule="auto"/>
        <w:jc w:val="both"/>
        <w:rPr>
          <w:rFonts w:ascii="Arial" w:hAnsi="Arial" w:cs="Arial"/>
          <w:lang w:val="en-GB"/>
        </w:rPr>
      </w:pPr>
      <w:r w:rsidRPr="00504EBC">
        <w:rPr>
          <w:rFonts w:ascii="Arial" w:hAnsi="Arial" w:cs="Arial"/>
          <w:sz w:val="20"/>
          <w:szCs w:val="20"/>
          <w:lang w:val="en-GB"/>
        </w:rPr>
        <w:t>RPL = Recognition of prior learning</w:t>
      </w:r>
    </w:p>
  </w:footnote>
  <w:footnote w:id="2">
    <w:p w:rsidR="00E82AFB" w:rsidRPr="00504EBC" w:rsidRDefault="00E82AFB" w:rsidP="00504EBC">
      <w:pPr>
        <w:pStyle w:val="FootnoteText"/>
        <w:jc w:val="both"/>
        <w:rPr>
          <w:rFonts w:ascii="Arial" w:hAnsi="Arial" w:cs="Arial"/>
        </w:rPr>
      </w:pPr>
      <w:r w:rsidRPr="00504EBC">
        <w:rPr>
          <w:rStyle w:val="FootnoteReference"/>
          <w:rFonts w:ascii="Arial" w:hAnsi="Arial" w:cs="Arial"/>
        </w:rPr>
        <w:footnoteRef/>
      </w:r>
      <w:r w:rsidRPr="00504EBC">
        <w:rPr>
          <w:rFonts w:ascii="Arial" w:hAnsi="Arial" w:cs="Arial"/>
        </w:rPr>
        <w:t xml:space="preserve"> </w:t>
      </w:r>
      <w:hyperlink r:id="rId1" w:history="1">
        <w:r w:rsidRPr="00504EBC">
          <w:rPr>
            <w:rStyle w:val="Hyperlink"/>
            <w:rFonts w:ascii="Arial" w:hAnsi="Arial" w:cs="Arial"/>
          </w:rPr>
          <w:t>http://conventions.coe.int/Treaty/en/Treaties/Html/165.htm</w:t>
        </w:r>
      </w:hyperlink>
      <w:r w:rsidRPr="00504EBC">
        <w:rPr>
          <w:rFonts w:ascii="Arial" w:hAnsi="Arial" w:cs="Arial"/>
        </w:rPr>
        <w:t xml:space="preserve"> </w:t>
      </w:r>
    </w:p>
  </w:footnote>
  <w:footnote w:id="3">
    <w:p w:rsidR="00E82AFB" w:rsidRPr="00504EBC" w:rsidRDefault="00E82AFB" w:rsidP="00504EBC">
      <w:pPr>
        <w:pStyle w:val="FootnoteText"/>
        <w:jc w:val="both"/>
        <w:rPr>
          <w:rFonts w:ascii="Arial" w:hAnsi="Arial" w:cs="Arial"/>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 xml:space="preserve">Before the survey was developed by the </w:t>
      </w:r>
      <w:proofErr w:type="spellStart"/>
      <w:r w:rsidRPr="00504EBC">
        <w:rPr>
          <w:rFonts w:ascii="Arial" w:hAnsi="Arial" w:cs="Arial"/>
          <w:lang w:val="en-GB"/>
        </w:rPr>
        <w:t>PfG</w:t>
      </w:r>
      <w:proofErr w:type="spellEnd"/>
      <w:r w:rsidRPr="00504EBC">
        <w:rPr>
          <w:rFonts w:ascii="Arial" w:hAnsi="Arial" w:cs="Arial"/>
          <w:lang w:val="en-GB"/>
        </w:rPr>
        <w:t xml:space="preserve">, Belgium (French Community) had surveyed its own HEIs on the academic recognition procedures and practices. To avoid carrying out two very similar surveys among HEIs of the French Community, Belgium (French Community) has prepared a compilation of responses for the </w:t>
      </w:r>
      <w:proofErr w:type="spellStart"/>
      <w:r w:rsidRPr="00504EBC">
        <w:rPr>
          <w:rFonts w:ascii="Arial" w:hAnsi="Arial" w:cs="Arial"/>
          <w:lang w:val="en-GB"/>
        </w:rPr>
        <w:t>PfG</w:t>
      </w:r>
      <w:proofErr w:type="spellEnd"/>
      <w:r w:rsidRPr="00504EBC">
        <w:rPr>
          <w:rFonts w:ascii="Arial" w:hAnsi="Arial" w:cs="Arial"/>
          <w:lang w:val="en-GB"/>
        </w:rPr>
        <w:t xml:space="preserve"> survey, based on those of their own survey. It is worth noting that 37 HE</w:t>
      </w:r>
      <w:bookmarkStart w:id="0" w:name="_GoBack"/>
      <w:bookmarkEnd w:id="0"/>
      <w:r w:rsidRPr="00504EBC">
        <w:rPr>
          <w:rFonts w:ascii="Arial" w:hAnsi="Arial" w:cs="Arial"/>
          <w:lang w:val="en-GB"/>
        </w:rPr>
        <w:t>Is participated in this survey (out of a total of 42 HEIs).</w:t>
      </w:r>
    </w:p>
  </w:footnote>
  <w:footnote w:id="4">
    <w:p w:rsidR="00E82AFB" w:rsidRPr="00504EBC" w:rsidRDefault="00E82AFB" w:rsidP="00504EBC">
      <w:pPr>
        <w:pStyle w:val="FootnoteText"/>
        <w:jc w:val="both"/>
        <w:rPr>
          <w:rFonts w:ascii="Arial" w:hAnsi="Arial" w:cs="Arial"/>
          <w:lang w:val="en-GB"/>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 xml:space="preserve">Answers were not always </w:t>
      </w:r>
      <w:proofErr w:type="spellStart"/>
      <w:r w:rsidRPr="00504EBC">
        <w:rPr>
          <w:rFonts w:ascii="Arial" w:hAnsi="Arial" w:cs="Arial"/>
          <w:lang w:val="en-GB"/>
        </w:rPr>
        <w:t>clearcut</w:t>
      </w:r>
      <w:proofErr w:type="spellEnd"/>
      <w:r w:rsidRPr="00504EBC">
        <w:rPr>
          <w:rFonts w:ascii="Arial" w:hAnsi="Arial" w:cs="Arial"/>
          <w:lang w:val="en-GB"/>
        </w:rPr>
        <w:t xml:space="preserve">. Some indicated yes, accepting all EHEA Bachelor degrees, but with exceptions when there was a specific reason not to accept a degree; others indicated no, but with the same meaning: they would exclude some degrees if there were specific reasons to do so. </w:t>
      </w:r>
    </w:p>
  </w:footnote>
  <w:footnote w:id="5">
    <w:p w:rsidR="00E82AFB" w:rsidRPr="00504EBC" w:rsidRDefault="00E82AFB" w:rsidP="00504EBC">
      <w:pPr>
        <w:pStyle w:val="FootnoteText"/>
        <w:jc w:val="both"/>
        <w:rPr>
          <w:rFonts w:ascii="Arial" w:hAnsi="Arial" w:cs="Arial"/>
          <w:lang w:val="en-GB"/>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 xml:space="preserve">Conducted for the </w:t>
      </w:r>
      <w:proofErr w:type="spellStart"/>
      <w:r w:rsidRPr="00504EBC">
        <w:rPr>
          <w:rFonts w:ascii="Arial" w:hAnsi="Arial" w:cs="Arial"/>
          <w:lang w:val="en-GB"/>
        </w:rPr>
        <w:t>PfG</w:t>
      </w:r>
      <w:proofErr w:type="spellEnd"/>
      <w:r w:rsidRPr="00504EBC">
        <w:rPr>
          <w:rFonts w:ascii="Arial" w:hAnsi="Arial" w:cs="Arial"/>
          <w:lang w:val="en-GB"/>
        </w:rPr>
        <w:t xml:space="preserve"> by the </w:t>
      </w:r>
      <w:proofErr w:type="spellStart"/>
      <w:r w:rsidRPr="00504EBC">
        <w:rPr>
          <w:rFonts w:ascii="Arial" w:hAnsi="Arial" w:cs="Arial"/>
          <w:lang w:val="en-GB"/>
        </w:rPr>
        <w:t>Vlaams</w:t>
      </w:r>
      <w:proofErr w:type="spellEnd"/>
      <w:r w:rsidRPr="00504EBC">
        <w:rPr>
          <w:rFonts w:ascii="Arial" w:hAnsi="Arial" w:cs="Arial"/>
          <w:lang w:val="en-GB"/>
        </w:rPr>
        <w:t xml:space="preserve"> </w:t>
      </w:r>
      <w:proofErr w:type="spellStart"/>
      <w:r w:rsidRPr="00504EBC">
        <w:rPr>
          <w:rFonts w:ascii="Arial" w:hAnsi="Arial" w:cs="Arial"/>
          <w:lang w:val="en-GB"/>
        </w:rPr>
        <w:t>Ministerie</w:t>
      </w:r>
      <w:proofErr w:type="spellEnd"/>
      <w:r w:rsidRPr="00504EBC">
        <w:rPr>
          <w:rFonts w:ascii="Arial" w:hAnsi="Arial" w:cs="Arial"/>
          <w:lang w:val="en-GB"/>
        </w:rPr>
        <w:t xml:space="preserve"> van </w:t>
      </w:r>
      <w:proofErr w:type="spellStart"/>
      <w:r w:rsidRPr="00504EBC">
        <w:rPr>
          <w:rFonts w:ascii="Arial" w:hAnsi="Arial" w:cs="Arial"/>
          <w:lang w:val="en-GB"/>
        </w:rPr>
        <w:t>Onderwijs</w:t>
      </w:r>
      <w:proofErr w:type="spellEnd"/>
      <w:r w:rsidRPr="00504EBC">
        <w:rPr>
          <w:rFonts w:ascii="Arial" w:hAnsi="Arial" w:cs="Arial"/>
          <w:lang w:val="en-GB"/>
        </w:rPr>
        <w:t xml:space="preserve"> en </w:t>
      </w:r>
      <w:proofErr w:type="spellStart"/>
      <w:r w:rsidRPr="00504EBC">
        <w:rPr>
          <w:rFonts w:ascii="Arial" w:hAnsi="Arial" w:cs="Arial"/>
          <w:lang w:val="en-GB"/>
        </w:rPr>
        <w:t>Vorming</w:t>
      </w:r>
      <w:proofErr w:type="spellEnd"/>
      <w:r w:rsidRPr="00504EBC">
        <w:rPr>
          <w:rFonts w:ascii="Arial" w:hAnsi="Arial" w:cs="Arial"/>
          <w:lang w:val="en-GB"/>
        </w:rPr>
        <w:t>, 2013.</w:t>
      </w:r>
    </w:p>
  </w:footnote>
  <w:footnote w:id="6">
    <w:p w:rsidR="00E82AFB" w:rsidRPr="00504EBC" w:rsidRDefault="00E82AFB" w:rsidP="00504EBC">
      <w:pPr>
        <w:pStyle w:val="FootnoteText"/>
        <w:jc w:val="both"/>
        <w:rPr>
          <w:rFonts w:ascii="Arial" w:hAnsi="Arial" w:cs="Arial"/>
          <w:lang w:val="en-GB"/>
        </w:rPr>
      </w:pPr>
      <w:r w:rsidRPr="00504EBC">
        <w:rPr>
          <w:rFonts w:ascii="Arial" w:hAnsi="Arial" w:cs="Arial"/>
          <w:sz w:val="18"/>
          <w:lang w:val="en-GB"/>
        </w:rPr>
        <w:footnoteRef/>
      </w:r>
      <w:r w:rsidRPr="00504EBC">
        <w:rPr>
          <w:rFonts w:ascii="Arial" w:hAnsi="Arial" w:cs="Arial"/>
          <w:sz w:val="18"/>
          <w:lang w:val="en-GB"/>
        </w:rPr>
        <w:t xml:space="preserve"> </w:t>
      </w:r>
      <w:r w:rsidRPr="00504EBC">
        <w:rPr>
          <w:rFonts w:ascii="Arial" w:hAnsi="Arial" w:cs="Arial"/>
          <w:lang w:val="en-GB"/>
        </w:rPr>
        <w:t>Not all responses by HEIs could be taken into account to answer this question as a total of 16 HEIs replied by indicating how many minutes/hours their staff would need to process one single application, but not referring to the whole recognition process.</w:t>
      </w:r>
    </w:p>
  </w:footnote>
  <w:footnote w:id="7">
    <w:p w:rsidR="00E82AFB" w:rsidRPr="00504EBC" w:rsidRDefault="00E82AFB" w:rsidP="00504EBC">
      <w:pPr>
        <w:pStyle w:val="FootnoteText"/>
        <w:jc w:val="both"/>
        <w:rPr>
          <w:rFonts w:ascii="Arial" w:hAnsi="Arial" w:cs="Arial"/>
          <w:lang w:val="en-GB"/>
        </w:rPr>
      </w:pPr>
      <w:r w:rsidRPr="00504EBC">
        <w:rPr>
          <w:rFonts w:ascii="Arial" w:hAnsi="Arial" w:cs="Arial"/>
          <w:lang w:val="en-GB"/>
        </w:rPr>
        <w:footnoteRef/>
      </w:r>
      <w:r w:rsidRPr="00504EBC">
        <w:rPr>
          <w:rFonts w:ascii="Arial" w:hAnsi="Arial" w:cs="Arial"/>
          <w:lang w:val="en-GB"/>
        </w:rPr>
        <w:t xml:space="preserve"> E.g. in Luxembourg, where a higher percentage rate of EHEA applications is accepted than domestic applications.</w:t>
      </w:r>
    </w:p>
  </w:footnote>
  <w:footnote w:id="8">
    <w:p w:rsidR="00E82AFB" w:rsidRPr="00504EBC" w:rsidRDefault="00E82AFB" w:rsidP="00504EBC">
      <w:pPr>
        <w:pStyle w:val="FootnoteText"/>
        <w:jc w:val="both"/>
        <w:rPr>
          <w:rFonts w:ascii="Arial" w:hAnsi="Arial" w:cs="Arial"/>
        </w:rPr>
      </w:pPr>
      <w:r w:rsidRPr="00504EBC">
        <w:rPr>
          <w:rFonts w:ascii="Arial" w:hAnsi="Arial" w:cs="Arial"/>
          <w:lang w:val="en-GB"/>
        </w:rPr>
        <w:footnoteRef/>
      </w:r>
      <w:r w:rsidRPr="00504EBC">
        <w:rPr>
          <w:rFonts w:ascii="Arial" w:hAnsi="Arial" w:cs="Arial"/>
          <w:lang w:val="en-GB"/>
        </w:rPr>
        <w:t xml:space="preserve"> These figures are based on responses from 42 of the respondents. These respondents indicated % domestic applications selected from all domestic applications received; and % of EHEA applications selected from all EHEA applications received. This was the only clear basis on which the rate of selection could be compared</w:t>
      </w:r>
      <w:r w:rsidRPr="00504EBC">
        <w:rPr>
          <w:rFonts w:ascii="Arial" w:hAnsi="Arial" w:cs="Arial"/>
        </w:rPr>
        <w:t>. .</w:t>
      </w:r>
    </w:p>
  </w:footnote>
  <w:footnote w:id="9">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US"/>
        </w:rPr>
        <w:footnoteRef/>
      </w:r>
      <w:r w:rsidRPr="00504EBC">
        <w:rPr>
          <w:rFonts w:ascii="Arial" w:hAnsi="Arial" w:cs="Arial"/>
          <w:lang w:val="en-US"/>
        </w:rPr>
        <w:t xml:space="preserve"> </w:t>
      </w:r>
      <w:r w:rsidRPr="00504EBC">
        <w:rPr>
          <w:rFonts w:ascii="Arial" w:hAnsi="Arial" w:cs="Arial"/>
          <w:lang w:val="en-GB"/>
        </w:rPr>
        <w:t>The reference to the countries is made when an institution from a country provided such an explanation. Although it does not necessarily mean that certain practice is nation-wide, it may provide interesting information about the difference between countries. These references are used only when there is a national pattern.</w:t>
      </w:r>
    </w:p>
  </w:footnote>
  <w:footnote w:id="10">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GB"/>
        </w:rPr>
        <w:footnoteRef/>
      </w:r>
      <w:r w:rsidRPr="00504EBC">
        <w:rPr>
          <w:rFonts w:ascii="Arial" w:hAnsi="Arial" w:cs="Arial"/>
          <w:lang w:val="en-GB"/>
        </w:rPr>
        <w:t xml:space="preserve"> That is what it is apparent from the name of the university.</w:t>
      </w:r>
    </w:p>
  </w:footnote>
  <w:footnote w:id="11">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GB"/>
        </w:rPr>
        <w:footnoteRef/>
      </w:r>
      <w:r w:rsidRPr="00504EBC">
        <w:rPr>
          <w:rFonts w:ascii="Arial" w:hAnsi="Arial" w:cs="Arial"/>
          <w:lang w:val="en-GB"/>
        </w:rPr>
        <w:t xml:space="preserve"> When referring to national standards and criteria, institutions sometimes considered that they have publicly available strategy for the assessment of foreign degrees, although it is not their own institutional strategy, and thus responded positively to the question No.3, while some other replied negatively, in the same situation.</w:t>
      </w:r>
    </w:p>
  </w:footnote>
  <w:footnote w:id="12">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GB"/>
        </w:rPr>
        <w:footnoteRef/>
      </w:r>
      <w:r w:rsidRPr="00504EBC">
        <w:rPr>
          <w:rFonts w:ascii="Arial" w:hAnsi="Arial" w:cs="Arial"/>
          <w:lang w:val="en-GB"/>
        </w:rPr>
        <w:t xml:space="preserve"> Majority of German HEIs use ANABIN website.</w:t>
      </w:r>
    </w:p>
  </w:footnote>
  <w:footnote w:id="13">
    <w:p w:rsidR="00E82AFB" w:rsidRPr="00504EBC" w:rsidRDefault="00E82AFB" w:rsidP="00504EBC">
      <w:pPr>
        <w:pStyle w:val="FootnoteText"/>
        <w:jc w:val="both"/>
        <w:rPr>
          <w:rFonts w:ascii="Arial" w:hAnsi="Arial" w:cs="Arial"/>
          <w:lang w:val="en-GB"/>
        </w:rPr>
      </w:pPr>
      <w:r w:rsidRPr="00504EBC">
        <w:rPr>
          <w:rStyle w:val="FootnoteReference"/>
          <w:rFonts w:ascii="Arial" w:hAnsi="Arial" w:cs="Arial"/>
          <w:lang w:val="en-US"/>
        </w:rPr>
        <w:footnoteRef/>
      </w:r>
      <w:r w:rsidRPr="00504EBC">
        <w:rPr>
          <w:rFonts w:ascii="Arial" w:hAnsi="Arial" w:cs="Arial"/>
          <w:lang w:val="en-US"/>
        </w:rPr>
        <w:t xml:space="preserve"> </w:t>
      </w:r>
      <w:r w:rsidRPr="00504EBC">
        <w:rPr>
          <w:rFonts w:ascii="Arial" w:hAnsi="Arial" w:cs="Arial"/>
          <w:lang w:val="en-GB"/>
        </w:rPr>
        <w:t>A central administration of a university, for example, does not know if the faculties apply the same criteria for assessment of foreign qualifications.</w:t>
      </w:r>
    </w:p>
  </w:footnote>
  <w:footnote w:id="14">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US"/>
        </w:rPr>
        <w:footnoteRef/>
      </w:r>
      <w:r w:rsidRPr="00504EBC">
        <w:rPr>
          <w:rFonts w:ascii="Arial" w:hAnsi="Arial" w:cs="Arial"/>
          <w:lang w:val="en-US"/>
        </w:rPr>
        <w:t xml:space="preserve"> </w:t>
      </w:r>
      <w:r w:rsidRPr="00504EBC">
        <w:rPr>
          <w:rFonts w:ascii="Arial" w:hAnsi="Arial" w:cs="Arial"/>
          <w:lang w:val="en-GB"/>
        </w:rPr>
        <w:t>A university replied negatively, but explained that "there are main criteria that are the same for all academic units” and that “in addition, every faculty can propose additional requirements that, however, need to be approved by the University Council”.</w:t>
      </w:r>
      <w:r w:rsidRPr="00504EBC">
        <w:rPr>
          <w:rFonts w:ascii="Arial" w:hAnsi="Arial" w:cs="Arial"/>
          <w:lang w:val="en-US"/>
        </w:rPr>
        <w:t xml:space="preserve"> </w:t>
      </w:r>
    </w:p>
  </w:footnote>
  <w:footnote w:id="15">
    <w:p w:rsidR="00E82AFB" w:rsidRPr="00504EBC" w:rsidRDefault="00E82AFB" w:rsidP="00504EBC">
      <w:pPr>
        <w:pStyle w:val="FootnoteText"/>
        <w:jc w:val="both"/>
        <w:rPr>
          <w:rFonts w:ascii="Arial" w:hAnsi="Arial" w:cs="Arial"/>
        </w:rPr>
      </w:pPr>
      <w:r w:rsidRPr="00504EBC">
        <w:rPr>
          <w:rStyle w:val="FootnoteReference"/>
          <w:rFonts w:ascii="Arial" w:hAnsi="Arial" w:cs="Arial"/>
          <w:lang w:val="en-US"/>
        </w:rPr>
        <w:footnoteRef/>
      </w:r>
      <w:r w:rsidRPr="00504EBC">
        <w:rPr>
          <w:rFonts w:ascii="Arial" w:hAnsi="Arial" w:cs="Arial"/>
          <w:lang w:val="en-US"/>
        </w:rPr>
        <w:t xml:space="preserve"> </w:t>
      </w:r>
      <w:r w:rsidRPr="00504EBC">
        <w:rPr>
          <w:rFonts w:ascii="Arial" w:hAnsi="Arial" w:cs="Arial"/>
          <w:lang w:val="en-GB"/>
        </w:rPr>
        <w:t>The majority of respondents made it clear that there is a difference between access and a formal recognition procedure that are done centrally, and admission procedures which are under the responsibility of academic units. However, some respondents may have interpreted the question differently, as implying that access and admission both equal a recognition process.</w:t>
      </w:r>
      <w:r w:rsidRPr="00504EBC">
        <w:rPr>
          <w:rFonts w:ascii="Arial" w:hAnsi="Arial" w:cs="Arial"/>
          <w:lang w:val="en-US"/>
        </w:rPr>
        <w:t xml:space="preserve"> </w:t>
      </w:r>
    </w:p>
  </w:footnote>
  <w:footnote w:id="16">
    <w:p w:rsidR="00E82AFB" w:rsidRPr="00504EBC" w:rsidRDefault="00E82AFB" w:rsidP="00504EBC">
      <w:pPr>
        <w:pStyle w:val="FootnoteText"/>
        <w:jc w:val="both"/>
        <w:rPr>
          <w:rFonts w:ascii="Arial" w:hAnsi="Arial" w:cs="Arial"/>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Not all responses by HEIs could be taken into account to answer this question as a total of 16 HEIs replied by indicating how many minutes/hours their staff would need to process one single application, but not referring to the whole recognition process.</w:t>
      </w:r>
    </w:p>
  </w:footnote>
  <w:footnote w:id="17">
    <w:p w:rsidR="00E82AFB" w:rsidRPr="00504EBC" w:rsidRDefault="00E82AFB" w:rsidP="00504EBC">
      <w:pPr>
        <w:pStyle w:val="FootnoteText"/>
        <w:jc w:val="both"/>
        <w:rPr>
          <w:rFonts w:ascii="Arial" w:hAnsi="Arial" w:cs="Arial"/>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While in the other countries surveyed, access/admission-fees are either in place or not, in Belgium (French Community) registration and tuition fees are combined and these are only requested from an applicant once he/she is admitted. So, there is no fee requested for an admission application.</w:t>
      </w:r>
    </w:p>
  </w:footnote>
  <w:footnote w:id="18">
    <w:p w:rsidR="00E82AFB" w:rsidRPr="00504EBC" w:rsidRDefault="00E82AFB" w:rsidP="00504EBC">
      <w:pPr>
        <w:pStyle w:val="FootnoteText"/>
        <w:jc w:val="both"/>
        <w:rPr>
          <w:rFonts w:ascii="Arial" w:hAnsi="Arial" w:cs="Arial"/>
        </w:rPr>
      </w:pPr>
      <w:r w:rsidRPr="00504EBC">
        <w:rPr>
          <w:rStyle w:val="FootnoteReference"/>
          <w:rFonts w:ascii="Arial" w:hAnsi="Arial" w:cs="Arial"/>
        </w:rPr>
        <w:footnoteRef/>
      </w:r>
      <w:r w:rsidRPr="00504EBC">
        <w:rPr>
          <w:rFonts w:ascii="Arial" w:hAnsi="Arial" w:cs="Arial"/>
        </w:rPr>
        <w:t xml:space="preserve"> </w:t>
      </w:r>
      <w:r w:rsidRPr="00504EBC">
        <w:rPr>
          <w:rFonts w:ascii="Arial" w:hAnsi="Arial" w:cs="Arial"/>
          <w:lang w:val="en-GB"/>
        </w:rPr>
        <w:t>In addition, in one case the respondent stated that the DS would not be sufficient due to legal reasons, as the applicable law required other supplements as well.</w:t>
      </w:r>
    </w:p>
  </w:footnote>
  <w:footnote w:id="19">
    <w:p w:rsidR="00E82AFB" w:rsidRPr="00504EBC" w:rsidRDefault="00E82AFB" w:rsidP="00504EBC">
      <w:pPr>
        <w:pStyle w:val="FootnoteText"/>
        <w:jc w:val="both"/>
        <w:rPr>
          <w:rFonts w:ascii="Arial" w:hAnsi="Arial" w:cs="Arial"/>
        </w:rPr>
      </w:pPr>
      <w:r w:rsidRPr="00504EBC">
        <w:rPr>
          <w:rStyle w:val="FootnoteReference"/>
          <w:rFonts w:ascii="Arial" w:hAnsi="Arial" w:cs="Arial"/>
          <w:sz w:val="18"/>
          <w:szCs w:val="18"/>
        </w:rPr>
        <w:footnoteRef/>
      </w:r>
      <w:r w:rsidRPr="00504EBC">
        <w:rPr>
          <w:rFonts w:ascii="Arial" w:hAnsi="Arial" w:cs="Arial"/>
          <w:sz w:val="18"/>
          <w:szCs w:val="18"/>
        </w:rPr>
        <w:t xml:space="preserve"> </w:t>
      </w:r>
      <w:r w:rsidRPr="00504EBC">
        <w:rPr>
          <w:rFonts w:ascii="Arial" w:hAnsi="Arial" w:cs="Arial"/>
          <w:lang w:val="en-GB"/>
        </w:rPr>
        <w:t>Paragraph 16 of the Revised Recommendation on Criteria and Procedures for the Assessment of Foreign Qualifications, adopted by the Lisbon Recognition Convention Committee on 23rd June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A30A9"/>
    <w:multiLevelType w:val="hybridMultilevel"/>
    <w:tmpl w:val="4308F1C8"/>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nsid w:val="16FA2035"/>
    <w:multiLevelType w:val="hybridMultilevel"/>
    <w:tmpl w:val="765AB862"/>
    <w:lvl w:ilvl="0" w:tplc="3FF88CDC">
      <w:start w:val="10"/>
      <w:numFmt w:val="bullet"/>
      <w:lvlText w:val="-"/>
      <w:lvlJc w:val="left"/>
      <w:pPr>
        <w:ind w:left="720" w:hanging="360"/>
      </w:pPr>
      <w:rPr>
        <w:rFonts w:ascii="Arial" w:eastAsia="Times New Roman" w:hAnsi="Arial" w:hint="default"/>
        <w:b/>
        <w:sz w:val="27"/>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89E2578"/>
    <w:multiLevelType w:val="hybridMultilevel"/>
    <w:tmpl w:val="712C46BC"/>
    <w:lvl w:ilvl="0" w:tplc="F344FD80">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AA84340"/>
    <w:multiLevelType w:val="hybridMultilevel"/>
    <w:tmpl w:val="5452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DD0F1A"/>
    <w:multiLevelType w:val="hybridMultilevel"/>
    <w:tmpl w:val="F0DCAE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60A14247"/>
    <w:multiLevelType w:val="hybridMultilevel"/>
    <w:tmpl w:val="8E700078"/>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nsid w:val="61E7336B"/>
    <w:multiLevelType w:val="hybridMultilevel"/>
    <w:tmpl w:val="90267E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6DE35A2A"/>
    <w:multiLevelType w:val="multilevel"/>
    <w:tmpl w:val="6C742C5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70A37344"/>
    <w:multiLevelType w:val="multilevel"/>
    <w:tmpl w:val="A690540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0CB59B8"/>
    <w:multiLevelType w:val="hybridMultilevel"/>
    <w:tmpl w:val="4720F2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75DA75CA"/>
    <w:multiLevelType w:val="hybridMultilevel"/>
    <w:tmpl w:val="0A106FF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8"/>
  </w:num>
  <w:num w:numId="4">
    <w:abstractNumId w:val="5"/>
  </w:num>
  <w:num w:numId="5">
    <w:abstractNumId w:val="7"/>
  </w:num>
  <w:num w:numId="6">
    <w:abstractNumId w:val="1"/>
  </w:num>
  <w:num w:numId="7">
    <w:abstractNumId w:val="2"/>
  </w:num>
  <w:num w:numId="8">
    <w:abstractNumId w:val="6"/>
  </w:num>
  <w:num w:numId="9">
    <w:abstractNumId w:val="1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49"/>
    <w:rsid w:val="00000414"/>
    <w:rsid w:val="00002451"/>
    <w:rsid w:val="00004615"/>
    <w:rsid w:val="00005663"/>
    <w:rsid w:val="000244C5"/>
    <w:rsid w:val="00024F66"/>
    <w:rsid w:val="00025DA7"/>
    <w:rsid w:val="00032C29"/>
    <w:rsid w:val="00034D23"/>
    <w:rsid w:val="00037CC1"/>
    <w:rsid w:val="00042076"/>
    <w:rsid w:val="00042261"/>
    <w:rsid w:val="00042C6A"/>
    <w:rsid w:val="00044553"/>
    <w:rsid w:val="00044BCA"/>
    <w:rsid w:val="00050BD9"/>
    <w:rsid w:val="00052905"/>
    <w:rsid w:val="00053BC6"/>
    <w:rsid w:val="00083DC0"/>
    <w:rsid w:val="0009507D"/>
    <w:rsid w:val="00095ADB"/>
    <w:rsid w:val="000A20B1"/>
    <w:rsid w:val="000A5046"/>
    <w:rsid w:val="000B0F5A"/>
    <w:rsid w:val="000B79D7"/>
    <w:rsid w:val="000C089F"/>
    <w:rsid w:val="000C4B70"/>
    <w:rsid w:val="000D3DCD"/>
    <w:rsid w:val="000D3FF4"/>
    <w:rsid w:val="000D4B0D"/>
    <w:rsid w:val="000E1250"/>
    <w:rsid w:val="000E1D70"/>
    <w:rsid w:val="000E4A57"/>
    <w:rsid w:val="000E5B2A"/>
    <w:rsid w:val="000F25BE"/>
    <w:rsid w:val="000F2EF5"/>
    <w:rsid w:val="000F3EE9"/>
    <w:rsid w:val="000F66F6"/>
    <w:rsid w:val="00100672"/>
    <w:rsid w:val="00106A4D"/>
    <w:rsid w:val="001150F0"/>
    <w:rsid w:val="00123631"/>
    <w:rsid w:val="001340AD"/>
    <w:rsid w:val="0013654F"/>
    <w:rsid w:val="00145BE8"/>
    <w:rsid w:val="00146478"/>
    <w:rsid w:val="001517FE"/>
    <w:rsid w:val="00152B31"/>
    <w:rsid w:val="0015396A"/>
    <w:rsid w:val="00165993"/>
    <w:rsid w:val="00166F98"/>
    <w:rsid w:val="00167029"/>
    <w:rsid w:val="00171B9B"/>
    <w:rsid w:val="00171C22"/>
    <w:rsid w:val="00176FD6"/>
    <w:rsid w:val="0017725A"/>
    <w:rsid w:val="00192FAB"/>
    <w:rsid w:val="001A4761"/>
    <w:rsid w:val="001A51BF"/>
    <w:rsid w:val="001A5E36"/>
    <w:rsid w:val="001B14DB"/>
    <w:rsid w:val="001B5C59"/>
    <w:rsid w:val="001D1117"/>
    <w:rsid w:val="001E7433"/>
    <w:rsid w:val="001E7D7C"/>
    <w:rsid w:val="001F3749"/>
    <w:rsid w:val="001F6A2D"/>
    <w:rsid w:val="00202F4A"/>
    <w:rsid w:val="00206997"/>
    <w:rsid w:val="0021313E"/>
    <w:rsid w:val="00221C18"/>
    <w:rsid w:val="00224B9D"/>
    <w:rsid w:val="00227673"/>
    <w:rsid w:val="00230BC3"/>
    <w:rsid w:val="0023122D"/>
    <w:rsid w:val="00231844"/>
    <w:rsid w:val="00232CC2"/>
    <w:rsid w:val="00245069"/>
    <w:rsid w:val="00247A66"/>
    <w:rsid w:val="00251D20"/>
    <w:rsid w:val="0025291F"/>
    <w:rsid w:val="00257EBA"/>
    <w:rsid w:val="00266B64"/>
    <w:rsid w:val="00267A85"/>
    <w:rsid w:val="00270AC3"/>
    <w:rsid w:val="002745A9"/>
    <w:rsid w:val="0028128E"/>
    <w:rsid w:val="00283D51"/>
    <w:rsid w:val="002A10D9"/>
    <w:rsid w:val="002A43F4"/>
    <w:rsid w:val="002A683C"/>
    <w:rsid w:val="002B7821"/>
    <w:rsid w:val="002E2B08"/>
    <w:rsid w:val="002E2CF0"/>
    <w:rsid w:val="002F070E"/>
    <w:rsid w:val="002F1E87"/>
    <w:rsid w:val="002F230F"/>
    <w:rsid w:val="002F305C"/>
    <w:rsid w:val="002F70D3"/>
    <w:rsid w:val="00307AA6"/>
    <w:rsid w:val="00312484"/>
    <w:rsid w:val="003166DC"/>
    <w:rsid w:val="00322908"/>
    <w:rsid w:val="00327B3F"/>
    <w:rsid w:val="00335FF2"/>
    <w:rsid w:val="00347973"/>
    <w:rsid w:val="00354C0D"/>
    <w:rsid w:val="00357797"/>
    <w:rsid w:val="003658CA"/>
    <w:rsid w:val="00372CE7"/>
    <w:rsid w:val="003774D7"/>
    <w:rsid w:val="00380B01"/>
    <w:rsid w:val="003902D0"/>
    <w:rsid w:val="0039441B"/>
    <w:rsid w:val="0039500E"/>
    <w:rsid w:val="003955B9"/>
    <w:rsid w:val="00395A03"/>
    <w:rsid w:val="003A7DA5"/>
    <w:rsid w:val="003B06AE"/>
    <w:rsid w:val="003B1C3F"/>
    <w:rsid w:val="003C0901"/>
    <w:rsid w:val="003C1D15"/>
    <w:rsid w:val="003D3A4E"/>
    <w:rsid w:val="003D598B"/>
    <w:rsid w:val="003E2A3F"/>
    <w:rsid w:val="003E4711"/>
    <w:rsid w:val="003F284D"/>
    <w:rsid w:val="003F76E8"/>
    <w:rsid w:val="00401699"/>
    <w:rsid w:val="0040244D"/>
    <w:rsid w:val="004100EA"/>
    <w:rsid w:val="0041291C"/>
    <w:rsid w:val="00417FB4"/>
    <w:rsid w:val="00421EAD"/>
    <w:rsid w:val="004332FC"/>
    <w:rsid w:val="00453A8E"/>
    <w:rsid w:val="00456F68"/>
    <w:rsid w:val="004714ED"/>
    <w:rsid w:val="00473521"/>
    <w:rsid w:val="00480AA3"/>
    <w:rsid w:val="004850E1"/>
    <w:rsid w:val="00490140"/>
    <w:rsid w:val="004A2953"/>
    <w:rsid w:val="004B2B92"/>
    <w:rsid w:val="004C0C80"/>
    <w:rsid w:val="004C764F"/>
    <w:rsid w:val="004D0B14"/>
    <w:rsid w:val="004D6A92"/>
    <w:rsid w:val="004D7B40"/>
    <w:rsid w:val="004F33C2"/>
    <w:rsid w:val="004F7849"/>
    <w:rsid w:val="0050193D"/>
    <w:rsid w:val="00502188"/>
    <w:rsid w:val="00504EBC"/>
    <w:rsid w:val="00511C7A"/>
    <w:rsid w:val="00512068"/>
    <w:rsid w:val="00521272"/>
    <w:rsid w:val="00522818"/>
    <w:rsid w:val="005266BF"/>
    <w:rsid w:val="005273D6"/>
    <w:rsid w:val="00531E51"/>
    <w:rsid w:val="0053426B"/>
    <w:rsid w:val="005361FD"/>
    <w:rsid w:val="005440E6"/>
    <w:rsid w:val="00545B0B"/>
    <w:rsid w:val="00546051"/>
    <w:rsid w:val="005464FD"/>
    <w:rsid w:val="005555A5"/>
    <w:rsid w:val="005564A9"/>
    <w:rsid w:val="005661CB"/>
    <w:rsid w:val="00567E1B"/>
    <w:rsid w:val="0057399C"/>
    <w:rsid w:val="00585281"/>
    <w:rsid w:val="00585EA3"/>
    <w:rsid w:val="005920B6"/>
    <w:rsid w:val="00593AEE"/>
    <w:rsid w:val="00594289"/>
    <w:rsid w:val="005A2FCE"/>
    <w:rsid w:val="005B0384"/>
    <w:rsid w:val="005B3AB1"/>
    <w:rsid w:val="005B4DF4"/>
    <w:rsid w:val="005C3B60"/>
    <w:rsid w:val="005C5B12"/>
    <w:rsid w:val="005D0E2F"/>
    <w:rsid w:val="005E140B"/>
    <w:rsid w:val="005E7618"/>
    <w:rsid w:val="005F3A27"/>
    <w:rsid w:val="005F3B7B"/>
    <w:rsid w:val="005F6C5C"/>
    <w:rsid w:val="00602448"/>
    <w:rsid w:val="006077F5"/>
    <w:rsid w:val="006117A0"/>
    <w:rsid w:val="006125D6"/>
    <w:rsid w:val="006201A4"/>
    <w:rsid w:val="00623201"/>
    <w:rsid w:val="00632B38"/>
    <w:rsid w:val="0063746A"/>
    <w:rsid w:val="006449DF"/>
    <w:rsid w:val="006458CB"/>
    <w:rsid w:val="0064702A"/>
    <w:rsid w:val="00654265"/>
    <w:rsid w:val="00660A85"/>
    <w:rsid w:val="00665909"/>
    <w:rsid w:val="00666AEE"/>
    <w:rsid w:val="00667E4D"/>
    <w:rsid w:val="0067497C"/>
    <w:rsid w:val="00680472"/>
    <w:rsid w:val="00680A0D"/>
    <w:rsid w:val="00682FAB"/>
    <w:rsid w:val="0068558E"/>
    <w:rsid w:val="006905FE"/>
    <w:rsid w:val="0069209D"/>
    <w:rsid w:val="00697527"/>
    <w:rsid w:val="006A2800"/>
    <w:rsid w:val="006A7DC6"/>
    <w:rsid w:val="006B3647"/>
    <w:rsid w:val="006B4C0A"/>
    <w:rsid w:val="006C0D0D"/>
    <w:rsid w:val="006C77D3"/>
    <w:rsid w:val="006D09CE"/>
    <w:rsid w:val="006D69AA"/>
    <w:rsid w:val="006E1ECC"/>
    <w:rsid w:val="006E2B27"/>
    <w:rsid w:val="006E6DEE"/>
    <w:rsid w:val="006F61F2"/>
    <w:rsid w:val="0070461A"/>
    <w:rsid w:val="0070644D"/>
    <w:rsid w:val="00711A03"/>
    <w:rsid w:val="007141D8"/>
    <w:rsid w:val="007142BE"/>
    <w:rsid w:val="00717591"/>
    <w:rsid w:val="007356BF"/>
    <w:rsid w:val="007368C4"/>
    <w:rsid w:val="0073715A"/>
    <w:rsid w:val="007371D8"/>
    <w:rsid w:val="00740E6E"/>
    <w:rsid w:val="007415FF"/>
    <w:rsid w:val="007453C5"/>
    <w:rsid w:val="00751457"/>
    <w:rsid w:val="00751515"/>
    <w:rsid w:val="00752E07"/>
    <w:rsid w:val="00753074"/>
    <w:rsid w:val="007714DB"/>
    <w:rsid w:val="00775212"/>
    <w:rsid w:val="00776549"/>
    <w:rsid w:val="00776F7E"/>
    <w:rsid w:val="007913B0"/>
    <w:rsid w:val="007928CA"/>
    <w:rsid w:val="007945BC"/>
    <w:rsid w:val="007946F6"/>
    <w:rsid w:val="00794915"/>
    <w:rsid w:val="007A6AB6"/>
    <w:rsid w:val="007B3190"/>
    <w:rsid w:val="007C3548"/>
    <w:rsid w:val="007C6769"/>
    <w:rsid w:val="007D74E5"/>
    <w:rsid w:val="007D7ED9"/>
    <w:rsid w:val="007E117D"/>
    <w:rsid w:val="007E28E1"/>
    <w:rsid w:val="007E47AA"/>
    <w:rsid w:val="007E678A"/>
    <w:rsid w:val="007E7272"/>
    <w:rsid w:val="007F0516"/>
    <w:rsid w:val="007F5692"/>
    <w:rsid w:val="008039F2"/>
    <w:rsid w:val="00815175"/>
    <w:rsid w:val="00816A90"/>
    <w:rsid w:val="0082009A"/>
    <w:rsid w:val="00823F28"/>
    <w:rsid w:val="00831741"/>
    <w:rsid w:val="0083600A"/>
    <w:rsid w:val="00840614"/>
    <w:rsid w:val="00842032"/>
    <w:rsid w:val="008465FF"/>
    <w:rsid w:val="00847FE1"/>
    <w:rsid w:val="008513F2"/>
    <w:rsid w:val="00867802"/>
    <w:rsid w:val="0087023E"/>
    <w:rsid w:val="00870E6E"/>
    <w:rsid w:val="008741B4"/>
    <w:rsid w:val="00885501"/>
    <w:rsid w:val="008873EC"/>
    <w:rsid w:val="00894C6D"/>
    <w:rsid w:val="008A05DB"/>
    <w:rsid w:val="008A0F4E"/>
    <w:rsid w:val="008A439A"/>
    <w:rsid w:val="008A6AF3"/>
    <w:rsid w:val="008B2217"/>
    <w:rsid w:val="008E2345"/>
    <w:rsid w:val="008F73E0"/>
    <w:rsid w:val="00901A06"/>
    <w:rsid w:val="00903860"/>
    <w:rsid w:val="00905F09"/>
    <w:rsid w:val="00906147"/>
    <w:rsid w:val="009116F3"/>
    <w:rsid w:val="00913BF7"/>
    <w:rsid w:val="0092053D"/>
    <w:rsid w:val="00922B1E"/>
    <w:rsid w:val="009254CE"/>
    <w:rsid w:val="00935CDE"/>
    <w:rsid w:val="00945679"/>
    <w:rsid w:val="00946709"/>
    <w:rsid w:val="009502E2"/>
    <w:rsid w:val="00950BDB"/>
    <w:rsid w:val="00966036"/>
    <w:rsid w:val="00970A43"/>
    <w:rsid w:val="00972019"/>
    <w:rsid w:val="00982538"/>
    <w:rsid w:val="00986F62"/>
    <w:rsid w:val="009922F7"/>
    <w:rsid w:val="009A6BB2"/>
    <w:rsid w:val="009A6BF8"/>
    <w:rsid w:val="009D4133"/>
    <w:rsid w:val="009D731D"/>
    <w:rsid w:val="009E453F"/>
    <w:rsid w:val="009F350A"/>
    <w:rsid w:val="009F6179"/>
    <w:rsid w:val="00A16343"/>
    <w:rsid w:val="00A26507"/>
    <w:rsid w:val="00A27202"/>
    <w:rsid w:val="00A35BE2"/>
    <w:rsid w:val="00A42C0F"/>
    <w:rsid w:val="00A43DC3"/>
    <w:rsid w:val="00A46785"/>
    <w:rsid w:val="00A474CD"/>
    <w:rsid w:val="00A525E8"/>
    <w:rsid w:val="00A565EF"/>
    <w:rsid w:val="00A6651D"/>
    <w:rsid w:val="00A66F48"/>
    <w:rsid w:val="00A701AF"/>
    <w:rsid w:val="00A70952"/>
    <w:rsid w:val="00A70C39"/>
    <w:rsid w:val="00A744ED"/>
    <w:rsid w:val="00A81D17"/>
    <w:rsid w:val="00A8202B"/>
    <w:rsid w:val="00A82D21"/>
    <w:rsid w:val="00A84A6F"/>
    <w:rsid w:val="00A84C62"/>
    <w:rsid w:val="00A9069C"/>
    <w:rsid w:val="00A9536C"/>
    <w:rsid w:val="00A96A45"/>
    <w:rsid w:val="00AA1C38"/>
    <w:rsid w:val="00AA25B7"/>
    <w:rsid w:val="00AA38E1"/>
    <w:rsid w:val="00AA4B5A"/>
    <w:rsid w:val="00AB73CA"/>
    <w:rsid w:val="00AC47A5"/>
    <w:rsid w:val="00AC6CCA"/>
    <w:rsid w:val="00AD3B28"/>
    <w:rsid w:val="00AD3B36"/>
    <w:rsid w:val="00AE0A4D"/>
    <w:rsid w:val="00AF2183"/>
    <w:rsid w:val="00AF4DC7"/>
    <w:rsid w:val="00B15C74"/>
    <w:rsid w:val="00B20F74"/>
    <w:rsid w:val="00B33AD1"/>
    <w:rsid w:val="00B40F47"/>
    <w:rsid w:val="00B5456F"/>
    <w:rsid w:val="00B63CA3"/>
    <w:rsid w:val="00B67E50"/>
    <w:rsid w:val="00B71AE8"/>
    <w:rsid w:val="00B76485"/>
    <w:rsid w:val="00B8189D"/>
    <w:rsid w:val="00B81F46"/>
    <w:rsid w:val="00B92713"/>
    <w:rsid w:val="00BB0B59"/>
    <w:rsid w:val="00BE269C"/>
    <w:rsid w:val="00BE4B00"/>
    <w:rsid w:val="00BE778E"/>
    <w:rsid w:val="00BE7A68"/>
    <w:rsid w:val="00BF046D"/>
    <w:rsid w:val="00BF6ADC"/>
    <w:rsid w:val="00C1416E"/>
    <w:rsid w:val="00C173C3"/>
    <w:rsid w:val="00C31F43"/>
    <w:rsid w:val="00C35A18"/>
    <w:rsid w:val="00C45CFA"/>
    <w:rsid w:val="00C4718A"/>
    <w:rsid w:val="00C536CD"/>
    <w:rsid w:val="00C62AAF"/>
    <w:rsid w:val="00C644E1"/>
    <w:rsid w:val="00C664D5"/>
    <w:rsid w:val="00C66BB8"/>
    <w:rsid w:val="00C742D9"/>
    <w:rsid w:val="00C82BBB"/>
    <w:rsid w:val="00C84473"/>
    <w:rsid w:val="00C9468D"/>
    <w:rsid w:val="00C97DD8"/>
    <w:rsid w:val="00CA1283"/>
    <w:rsid w:val="00CB005C"/>
    <w:rsid w:val="00CB5675"/>
    <w:rsid w:val="00CB6B48"/>
    <w:rsid w:val="00CD1CCC"/>
    <w:rsid w:val="00CD41F6"/>
    <w:rsid w:val="00CD78E4"/>
    <w:rsid w:val="00CE4591"/>
    <w:rsid w:val="00CF1AD4"/>
    <w:rsid w:val="00CF52A7"/>
    <w:rsid w:val="00D0717B"/>
    <w:rsid w:val="00D10565"/>
    <w:rsid w:val="00D1389E"/>
    <w:rsid w:val="00D25B04"/>
    <w:rsid w:val="00D26ED4"/>
    <w:rsid w:val="00D35594"/>
    <w:rsid w:val="00D419BC"/>
    <w:rsid w:val="00D57CBF"/>
    <w:rsid w:val="00D606D5"/>
    <w:rsid w:val="00D61616"/>
    <w:rsid w:val="00D64EA9"/>
    <w:rsid w:val="00D66936"/>
    <w:rsid w:val="00D70F4A"/>
    <w:rsid w:val="00D717BF"/>
    <w:rsid w:val="00D736B1"/>
    <w:rsid w:val="00D74756"/>
    <w:rsid w:val="00D877DD"/>
    <w:rsid w:val="00DA420F"/>
    <w:rsid w:val="00DB255D"/>
    <w:rsid w:val="00DB642C"/>
    <w:rsid w:val="00DC6153"/>
    <w:rsid w:val="00DD1447"/>
    <w:rsid w:val="00DD16B7"/>
    <w:rsid w:val="00DE2520"/>
    <w:rsid w:val="00DF0BFB"/>
    <w:rsid w:val="00DF447F"/>
    <w:rsid w:val="00E009CD"/>
    <w:rsid w:val="00E02EDC"/>
    <w:rsid w:val="00E13730"/>
    <w:rsid w:val="00E217D5"/>
    <w:rsid w:val="00E22209"/>
    <w:rsid w:val="00E2435F"/>
    <w:rsid w:val="00E248F5"/>
    <w:rsid w:val="00E312F3"/>
    <w:rsid w:val="00E321FF"/>
    <w:rsid w:val="00E3226C"/>
    <w:rsid w:val="00E3366E"/>
    <w:rsid w:val="00E344DA"/>
    <w:rsid w:val="00E36188"/>
    <w:rsid w:val="00E40F62"/>
    <w:rsid w:val="00E51622"/>
    <w:rsid w:val="00E55B8E"/>
    <w:rsid w:val="00E82AFB"/>
    <w:rsid w:val="00E82C29"/>
    <w:rsid w:val="00E92095"/>
    <w:rsid w:val="00EA7F9A"/>
    <w:rsid w:val="00EB463F"/>
    <w:rsid w:val="00ED6141"/>
    <w:rsid w:val="00EE07F8"/>
    <w:rsid w:val="00EE1F7B"/>
    <w:rsid w:val="00EE4C67"/>
    <w:rsid w:val="00EF1C36"/>
    <w:rsid w:val="00F00B6B"/>
    <w:rsid w:val="00F01C8D"/>
    <w:rsid w:val="00F01D4A"/>
    <w:rsid w:val="00F04C1A"/>
    <w:rsid w:val="00F053DA"/>
    <w:rsid w:val="00F0693B"/>
    <w:rsid w:val="00F1106B"/>
    <w:rsid w:val="00F1508B"/>
    <w:rsid w:val="00F3113D"/>
    <w:rsid w:val="00F31ABF"/>
    <w:rsid w:val="00F32326"/>
    <w:rsid w:val="00F349B9"/>
    <w:rsid w:val="00F40A89"/>
    <w:rsid w:val="00F446CE"/>
    <w:rsid w:val="00F46032"/>
    <w:rsid w:val="00F472F8"/>
    <w:rsid w:val="00F529E8"/>
    <w:rsid w:val="00F61212"/>
    <w:rsid w:val="00F70088"/>
    <w:rsid w:val="00F77B12"/>
    <w:rsid w:val="00F81516"/>
    <w:rsid w:val="00F91C71"/>
    <w:rsid w:val="00FB41A9"/>
    <w:rsid w:val="00FB6F91"/>
    <w:rsid w:val="00FC7F1E"/>
    <w:rsid w:val="00FD6C3C"/>
    <w:rsid w:val="00FD7489"/>
    <w:rsid w:val="00FE6707"/>
    <w:rsid w:val="00FF1342"/>
    <w:rsid w:val="00FF184C"/>
    <w:rsid w:val="00FF4A29"/>
    <w:rsid w:val="00FF514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1D"/>
    <w:pPr>
      <w:spacing w:after="200" w:line="276" w:lineRule="auto"/>
    </w:pPr>
    <w:rPr>
      <w:lang w:val="hr-H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76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6549"/>
    <w:rPr>
      <w:rFonts w:ascii="Tahoma" w:hAnsi="Tahoma" w:cs="Tahoma"/>
      <w:sz w:val="16"/>
      <w:szCs w:val="16"/>
    </w:rPr>
  </w:style>
  <w:style w:type="paragraph" w:styleId="FootnoteText">
    <w:name w:val="footnote text"/>
    <w:basedOn w:val="Normal"/>
    <w:link w:val="FootnoteTextChar"/>
    <w:uiPriority w:val="99"/>
    <w:rsid w:val="00776549"/>
    <w:pPr>
      <w:spacing w:after="0" w:line="240" w:lineRule="auto"/>
    </w:pPr>
    <w:rPr>
      <w:sz w:val="20"/>
      <w:szCs w:val="20"/>
    </w:rPr>
  </w:style>
  <w:style w:type="character" w:customStyle="1" w:styleId="FootnoteTextChar">
    <w:name w:val="Footnote Text Char"/>
    <w:basedOn w:val="DefaultParagraphFont"/>
    <w:link w:val="FootnoteText"/>
    <w:uiPriority w:val="99"/>
    <w:locked/>
    <w:rsid w:val="00776549"/>
    <w:rPr>
      <w:rFonts w:cs="Times New Roman"/>
      <w:sz w:val="20"/>
      <w:szCs w:val="20"/>
    </w:rPr>
  </w:style>
  <w:style w:type="character" w:styleId="FootnoteReference">
    <w:name w:val="footnote reference"/>
    <w:basedOn w:val="DefaultParagraphFont"/>
    <w:uiPriority w:val="99"/>
    <w:semiHidden/>
    <w:rsid w:val="00776549"/>
    <w:rPr>
      <w:rFonts w:cs="Times New Roman"/>
      <w:vertAlign w:val="superscript"/>
    </w:rPr>
  </w:style>
  <w:style w:type="paragraph" w:styleId="ListParagraph">
    <w:name w:val="List Paragraph"/>
    <w:basedOn w:val="Normal"/>
    <w:uiPriority w:val="99"/>
    <w:qFormat/>
    <w:rsid w:val="00052905"/>
    <w:pPr>
      <w:ind w:left="720"/>
      <w:contextualSpacing/>
    </w:pPr>
  </w:style>
  <w:style w:type="character" w:styleId="Hyperlink">
    <w:name w:val="Hyperlink"/>
    <w:basedOn w:val="DefaultParagraphFont"/>
    <w:uiPriority w:val="99"/>
    <w:rsid w:val="00052905"/>
    <w:rPr>
      <w:rFonts w:cs="Times New Roman"/>
      <w:color w:val="0000FF"/>
      <w:u w:val="single"/>
    </w:rPr>
  </w:style>
  <w:style w:type="paragraph" w:styleId="Header">
    <w:name w:val="header"/>
    <w:basedOn w:val="Normal"/>
    <w:link w:val="HeaderChar"/>
    <w:uiPriority w:val="99"/>
    <w:rsid w:val="005E140B"/>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E140B"/>
    <w:rPr>
      <w:rFonts w:cs="Times New Roman"/>
    </w:rPr>
  </w:style>
  <w:style w:type="paragraph" w:styleId="Footer">
    <w:name w:val="footer"/>
    <w:basedOn w:val="Normal"/>
    <w:link w:val="FooterChar"/>
    <w:uiPriority w:val="99"/>
    <w:rsid w:val="005E140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E140B"/>
    <w:rPr>
      <w:rFonts w:cs="Times New Roman"/>
    </w:rPr>
  </w:style>
  <w:style w:type="character" w:styleId="CommentReference">
    <w:name w:val="annotation reference"/>
    <w:basedOn w:val="DefaultParagraphFont"/>
    <w:uiPriority w:val="99"/>
    <w:semiHidden/>
    <w:rsid w:val="00A9069C"/>
    <w:rPr>
      <w:rFonts w:cs="Times New Roman"/>
      <w:sz w:val="16"/>
      <w:szCs w:val="16"/>
    </w:rPr>
  </w:style>
  <w:style w:type="paragraph" w:styleId="CommentText">
    <w:name w:val="annotation text"/>
    <w:basedOn w:val="Normal"/>
    <w:link w:val="CommentTextChar"/>
    <w:uiPriority w:val="99"/>
    <w:semiHidden/>
    <w:rsid w:val="00A9069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9069C"/>
    <w:rPr>
      <w:rFonts w:cs="Times New Roman"/>
      <w:sz w:val="20"/>
      <w:szCs w:val="20"/>
    </w:rPr>
  </w:style>
  <w:style w:type="paragraph" w:styleId="CommentSubject">
    <w:name w:val="annotation subject"/>
    <w:basedOn w:val="CommentText"/>
    <w:next w:val="CommentText"/>
    <w:link w:val="CommentSubjectChar"/>
    <w:uiPriority w:val="99"/>
    <w:semiHidden/>
    <w:rsid w:val="00A9069C"/>
    <w:rPr>
      <w:b/>
      <w:bCs/>
    </w:rPr>
  </w:style>
  <w:style w:type="character" w:customStyle="1" w:styleId="CommentSubjectChar">
    <w:name w:val="Comment Subject Char"/>
    <w:basedOn w:val="CommentTextChar"/>
    <w:link w:val="CommentSubject"/>
    <w:uiPriority w:val="99"/>
    <w:semiHidden/>
    <w:locked/>
    <w:rsid w:val="00A9069C"/>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51D"/>
    <w:pPr>
      <w:spacing w:after="200" w:line="276" w:lineRule="auto"/>
    </w:pPr>
    <w:rPr>
      <w:lang w:val="hr-H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76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6549"/>
    <w:rPr>
      <w:rFonts w:ascii="Tahoma" w:hAnsi="Tahoma" w:cs="Tahoma"/>
      <w:sz w:val="16"/>
      <w:szCs w:val="16"/>
    </w:rPr>
  </w:style>
  <w:style w:type="paragraph" w:styleId="FootnoteText">
    <w:name w:val="footnote text"/>
    <w:basedOn w:val="Normal"/>
    <w:link w:val="FootnoteTextChar"/>
    <w:uiPriority w:val="99"/>
    <w:rsid w:val="00776549"/>
    <w:pPr>
      <w:spacing w:after="0" w:line="240" w:lineRule="auto"/>
    </w:pPr>
    <w:rPr>
      <w:sz w:val="20"/>
      <w:szCs w:val="20"/>
    </w:rPr>
  </w:style>
  <w:style w:type="character" w:customStyle="1" w:styleId="FootnoteTextChar">
    <w:name w:val="Footnote Text Char"/>
    <w:basedOn w:val="DefaultParagraphFont"/>
    <w:link w:val="FootnoteText"/>
    <w:uiPriority w:val="99"/>
    <w:locked/>
    <w:rsid w:val="00776549"/>
    <w:rPr>
      <w:rFonts w:cs="Times New Roman"/>
      <w:sz w:val="20"/>
      <w:szCs w:val="20"/>
    </w:rPr>
  </w:style>
  <w:style w:type="character" w:styleId="FootnoteReference">
    <w:name w:val="footnote reference"/>
    <w:basedOn w:val="DefaultParagraphFont"/>
    <w:uiPriority w:val="99"/>
    <w:semiHidden/>
    <w:rsid w:val="00776549"/>
    <w:rPr>
      <w:rFonts w:cs="Times New Roman"/>
      <w:vertAlign w:val="superscript"/>
    </w:rPr>
  </w:style>
  <w:style w:type="paragraph" w:styleId="ListParagraph">
    <w:name w:val="List Paragraph"/>
    <w:basedOn w:val="Normal"/>
    <w:uiPriority w:val="99"/>
    <w:qFormat/>
    <w:rsid w:val="00052905"/>
    <w:pPr>
      <w:ind w:left="720"/>
      <w:contextualSpacing/>
    </w:pPr>
  </w:style>
  <w:style w:type="character" w:styleId="Hyperlink">
    <w:name w:val="Hyperlink"/>
    <w:basedOn w:val="DefaultParagraphFont"/>
    <w:uiPriority w:val="99"/>
    <w:rsid w:val="00052905"/>
    <w:rPr>
      <w:rFonts w:cs="Times New Roman"/>
      <w:color w:val="0000FF"/>
      <w:u w:val="single"/>
    </w:rPr>
  </w:style>
  <w:style w:type="paragraph" w:styleId="Header">
    <w:name w:val="header"/>
    <w:basedOn w:val="Normal"/>
    <w:link w:val="HeaderChar"/>
    <w:uiPriority w:val="99"/>
    <w:rsid w:val="005E140B"/>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E140B"/>
    <w:rPr>
      <w:rFonts w:cs="Times New Roman"/>
    </w:rPr>
  </w:style>
  <w:style w:type="paragraph" w:styleId="Footer">
    <w:name w:val="footer"/>
    <w:basedOn w:val="Normal"/>
    <w:link w:val="FooterChar"/>
    <w:uiPriority w:val="99"/>
    <w:rsid w:val="005E140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E140B"/>
    <w:rPr>
      <w:rFonts w:cs="Times New Roman"/>
    </w:rPr>
  </w:style>
  <w:style w:type="character" w:styleId="CommentReference">
    <w:name w:val="annotation reference"/>
    <w:basedOn w:val="DefaultParagraphFont"/>
    <w:uiPriority w:val="99"/>
    <w:semiHidden/>
    <w:rsid w:val="00A9069C"/>
    <w:rPr>
      <w:rFonts w:cs="Times New Roman"/>
      <w:sz w:val="16"/>
      <w:szCs w:val="16"/>
    </w:rPr>
  </w:style>
  <w:style w:type="paragraph" w:styleId="CommentText">
    <w:name w:val="annotation text"/>
    <w:basedOn w:val="Normal"/>
    <w:link w:val="CommentTextChar"/>
    <w:uiPriority w:val="99"/>
    <w:semiHidden/>
    <w:rsid w:val="00A9069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9069C"/>
    <w:rPr>
      <w:rFonts w:cs="Times New Roman"/>
      <w:sz w:val="20"/>
      <w:szCs w:val="20"/>
    </w:rPr>
  </w:style>
  <w:style w:type="paragraph" w:styleId="CommentSubject">
    <w:name w:val="annotation subject"/>
    <w:basedOn w:val="CommentText"/>
    <w:next w:val="CommentText"/>
    <w:link w:val="CommentSubjectChar"/>
    <w:uiPriority w:val="99"/>
    <w:semiHidden/>
    <w:rsid w:val="00A9069C"/>
    <w:rPr>
      <w:b/>
      <w:bCs/>
    </w:rPr>
  </w:style>
  <w:style w:type="character" w:customStyle="1" w:styleId="CommentSubjectChar">
    <w:name w:val="Comment Subject Char"/>
    <w:basedOn w:val="CommentTextChar"/>
    <w:link w:val="CommentSubject"/>
    <w:uiPriority w:val="99"/>
    <w:semiHidden/>
    <w:locked/>
    <w:rsid w:val="00A9069C"/>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466403">
      <w:marLeft w:val="0"/>
      <w:marRight w:val="0"/>
      <w:marTop w:val="0"/>
      <w:marBottom w:val="0"/>
      <w:divBdr>
        <w:top w:val="none" w:sz="0" w:space="0" w:color="auto"/>
        <w:left w:val="none" w:sz="0" w:space="0" w:color="auto"/>
        <w:bottom w:val="none" w:sz="0" w:space="0" w:color="auto"/>
        <w:right w:val="none" w:sz="0" w:space="0" w:color="auto"/>
      </w:divBdr>
    </w:div>
    <w:div w:id="1051466404">
      <w:marLeft w:val="0"/>
      <w:marRight w:val="0"/>
      <w:marTop w:val="0"/>
      <w:marBottom w:val="0"/>
      <w:divBdr>
        <w:top w:val="none" w:sz="0" w:space="0" w:color="auto"/>
        <w:left w:val="none" w:sz="0" w:space="0" w:color="auto"/>
        <w:bottom w:val="none" w:sz="0" w:space="0" w:color="auto"/>
        <w:right w:val="none" w:sz="0" w:space="0" w:color="auto"/>
      </w:divBdr>
    </w:div>
    <w:div w:id="1051466405">
      <w:marLeft w:val="0"/>
      <w:marRight w:val="0"/>
      <w:marTop w:val="0"/>
      <w:marBottom w:val="0"/>
      <w:divBdr>
        <w:top w:val="none" w:sz="0" w:space="0" w:color="auto"/>
        <w:left w:val="none" w:sz="0" w:space="0" w:color="auto"/>
        <w:bottom w:val="none" w:sz="0" w:space="0" w:color="auto"/>
        <w:right w:val="none" w:sz="0" w:space="0" w:color="auto"/>
      </w:divBdr>
    </w:div>
    <w:div w:id="1051466406">
      <w:marLeft w:val="0"/>
      <w:marRight w:val="0"/>
      <w:marTop w:val="0"/>
      <w:marBottom w:val="0"/>
      <w:divBdr>
        <w:top w:val="none" w:sz="0" w:space="0" w:color="auto"/>
        <w:left w:val="none" w:sz="0" w:space="0" w:color="auto"/>
        <w:bottom w:val="none" w:sz="0" w:space="0" w:color="auto"/>
        <w:right w:val="none" w:sz="0" w:space="0" w:color="auto"/>
      </w:divBdr>
    </w:div>
    <w:div w:id="1051466407">
      <w:marLeft w:val="0"/>
      <w:marRight w:val="0"/>
      <w:marTop w:val="0"/>
      <w:marBottom w:val="0"/>
      <w:divBdr>
        <w:top w:val="none" w:sz="0" w:space="0" w:color="auto"/>
        <w:left w:val="none" w:sz="0" w:space="0" w:color="auto"/>
        <w:bottom w:val="none" w:sz="0" w:space="0" w:color="auto"/>
        <w:right w:val="none" w:sz="0" w:space="0" w:color="auto"/>
      </w:divBdr>
    </w:div>
    <w:div w:id="1051466408">
      <w:marLeft w:val="0"/>
      <w:marRight w:val="0"/>
      <w:marTop w:val="0"/>
      <w:marBottom w:val="0"/>
      <w:divBdr>
        <w:top w:val="none" w:sz="0" w:space="0" w:color="auto"/>
        <w:left w:val="none" w:sz="0" w:space="0" w:color="auto"/>
        <w:bottom w:val="none" w:sz="0" w:space="0" w:color="auto"/>
        <w:right w:val="none" w:sz="0" w:space="0" w:color="auto"/>
      </w:divBdr>
    </w:div>
    <w:div w:id="10514664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image" Target="media/image9.png"/><Relationship Id="rId39" Type="http://schemas.openxmlformats.org/officeDocument/2006/relationships/customXml" Target="../customXml/item4.xml"/><Relationship Id="rId21" Type="http://schemas.openxmlformats.org/officeDocument/2006/relationships/chart" Target="charts/chart5.xm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image" Target="media/image12.png"/><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chart" Target="charts/chart4.xml"/><Relationship Id="rId29" Type="http://schemas.openxmlformats.org/officeDocument/2006/relationships/hyperlink" Target="http://www.isep.org/students/placed/country_handbooks.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hart" Target="charts/chart8.xml"/><Relationship Id="rId32" Type="http://schemas.openxmlformats.org/officeDocument/2006/relationships/chart" Target="charts/chart12.xml"/><Relationship Id="rId37"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hart" Target="charts/chart7.xml"/><Relationship Id="rId28" Type="http://schemas.openxmlformats.org/officeDocument/2006/relationships/chart" Target="charts/chart10.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hart" Target="charts/chart3.xml"/><Relationship Id="rId31"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hart" Target="charts/chart6.xml"/><Relationship Id="rId27" Type="http://schemas.openxmlformats.org/officeDocument/2006/relationships/image" Target="media/image10.png"/><Relationship Id="rId30" Type="http://schemas.openxmlformats.org/officeDocument/2006/relationships/image" Target="media/image11.png"/><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conventions.coe.int/Treaty/en/Treaties/Html/165.h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32</c:v>
                </c:pt>
                <c:pt idx="1">
                  <c:v>16</c:v>
                </c:pt>
                <c:pt idx="2">
                  <c:v>14</c:v>
                </c:pt>
                <c:pt idx="3">
                  <c:v>13</c:v>
                </c:pt>
                <c:pt idx="4">
                  <c:v>13</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3937408"/>
        <c:axId val="285209344"/>
      </c:barChart>
      <c:catAx>
        <c:axId val="283937408"/>
        <c:scaling>
          <c:orientation val="minMax"/>
        </c:scaling>
        <c:delete val="0"/>
        <c:axPos val="l"/>
        <c:numFmt formatCode="General" sourceLinked="1"/>
        <c:majorTickMark val="out"/>
        <c:minorTickMark val="none"/>
        <c:tickLblPos val="nextTo"/>
        <c:crossAx val="285209344"/>
        <c:crosses val="autoZero"/>
        <c:auto val="1"/>
        <c:lblAlgn val="ctr"/>
        <c:lblOffset val="100"/>
        <c:noMultiLvlLbl val="0"/>
      </c:catAx>
      <c:valAx>
        <c:axId val="285209344"/>
        <c:scaling>
          <c:orientation val="minMax"/>
        </c:scaling>
        <c:delete val="0"/>
        <c:axPos val="b"/>
        <c:majorGridlines/>
        <c:numFmt formatCode="General" sourceLinked="1"/>
        <c:majorTickMark val="out"/>
        <c:minorTickMark val="none"/>
        <c:tickLblPos val="nextTo"/>
        <c:crossAx val="283937408"/>
        <c:crosses val="autoZero"/>
        <c:crossBetween val="between"/>
      </c:valAx>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4"/>
                <c:pt idx="0">
                  <c:v>Higher education databases</c:v>
                </c:pt>
                <c:pt idx="1">
                  <c:v>ENIC-NARIC offices based in other countires</c:v>
                </c:pt>
                <c:pt idx="2">
                  <c:v>Other Higher Education Institutions</c:v>
                </c:pt>
                <c:pt idx="3">
                  <c:v>Other (please specify below)</c:v>
                </c:pt>
              </c:strCache>
            </c:strRef>
          </c:cat>
          <c:val>
            <c:numRef>
              <c:f>List1!$B$2:$B$6</c:f>
              <c:numCache>
                <c:formatCode>General</c:formatCode>
                <c:ptCount val="5"/>
                <c:pt idx="0">
                  <c:v>59</c:v>
                </c:pt>
                <c:pt idx="1">
                  <c:v>28</c:v>
                </c:pt>
                <c:pt idx="2">
                  <c:v>34</c:v>
                </c:pt>
                <c:pt idx="3">
                  <c:v>30</c:v>
                </c:pt>
              </c:numCache>
            </c:numRef>
          </c:val>
        </c:ser>
        <c:ser>
          <c:idx val="1"/>
          <c:order val="1"/>
          <c:tx>
            <c:strRef>
              <c:f>List1!$C$1</c:f>
              <c:strCache>
                <c:ptCount val="1"/>
                <c:pt idx="0">
                  <c:v>Skup 2</c:v>
                </c:pt>
              </c:strCache>
            </c:strRef>
          </c:tx>
          <c:invertIfNegative val="0"/>
          <c:cat>
            <c:strRef>
              <c:f>List1!$A$2:$A$6</c:f>
              <c:strCache>
                <c:ptCount val="4"/>
                <c:pt idx="0">
                  <c:v>Higher education databases</c:v>
                </c:pt>
                <c:pt idx="1">
                  <c:v>ENIC-NARIC offices based in other countires</c:v>
                </c:pt>
                <c:pt idx="2">
                  <c:v>Other Higher Education Institutions</c:v>
                </c:pt>
                <c:pt idx="3">
                  <c:v>Other (please specify below)</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4"/>
                <c:pt idx="0">
                  <c:v>Higher education databases</c:v>
                </c:pt>
                <c:pt idx="1">
                  <c:v>ENIC-NARIC offices based in other countires</c:v>
                </c:pt>
                <c:pt idx="2">
                  <c:v>Other Higher Education Institutions</c:v>
                </c:pt>
                <c:pt idx="3">
                  <c:v>Other (please specify below)</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6300800"/>
        <c:axId val="286310784"/>
      </c:barChart>
      <c:catAx>
        <c:axId val="286300800"/>
        <c:scaling>
          <c:orientation val="minMax"/>
        </c:scaling>
        <c:delete val="0"/>
        <c:axPos val="l"/>
        <c:numFmt formatCode="General" sourceLinked="1"/>
        <c:majorTickMark val="out"/>
        <c:minorTickMark val="none"/>
        <c:tickLblPos val="nextTo"/>
        <c:crossAx val="286310784"/>
        <c:crosses val="autoZero"/>
        <c:auto val="1"/>
        <c:lblAlgn val="ctr"/>
        <c:lblOffset val="100"/>
        <c:noMultiLvlLbl val="0"/>
      </c:catAx>
      <c:valAx>
        <c:axId val="286310784"/>
        <c:scaling>
          <c:orientation val="minMax"/>
        </c:scaling>
        <c:delete val="0"/>
        <c:axPos val="b"/>
        <c:majorGridlines/>
        <c:numFmt formatCode="General" sourceLinked="1"/>
        <c:majorTickMark val="out"/>
        <c:minorTickMark val="none"/>
        <c:tickLblPos val="nextTo"/>
        <c:crossAx val="286300800"/>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22989101670934"/>
          <c:y val="0.46031746031746057"/>
          <c:w val="0.82768348400894343"/>
          <c:h val="0.44027121609798775"/>
        </c:manualLayout>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2"/>
              </a:solidFill>
            </c:spPr>
          </c:dPt>
          <c:cat>
            <c:strRef>
              <c:f>List1!$A$2:$A$5</c:f>
              <c:strCache>
                <c:ptCount val="2"/>
                <c:pt idx="0">
                  <c:v>Internal</c:v>
                </c:pt>
                <c:pt idx="1">
                  <c:v>External</c:v>
                </c:pt>
              </c:strCache>
            </c:strRef>
          </c:cat>
          <c:val>
            <c:numRef>
              <c:f>List1!$B$2:$B$5</c:f>
              <c:numCache>
                <c:formatCode>General</c:formatCode>
                <c:ptCount val="4"/>
                <c:pt idx="0">
                  <c:v>54</c:v>
                </c:pt>
                <c:pt idx="1">
                  <c:v>21</c:v>
                </c:pt>
              </c:numCache>
            </c:numRef>
          </c:val>
        </c:ser>
        <c:ser>
          <c:idx val="1"/>
          <c:order val="1"/>
          <c:tx>
            <c:strRef>
              <c:f>List1!$C$1</c:f>
              <c:strCache>
                <c:ptCount val="1"/>
                <c:pt idx="0">
                  <c:v>Skup 2</c:v>
                </c:pt>
              </c:strCache>
            </c:strRef>
          </c:tx>
          <c:invertIfNegative val="0"/>
          <c:cat>
            <c:strRef>
              <c:f>List1!$A$2:$A$5</c:f>
              <c:strCache>
                <c:ptCount val="2"/>
                <c:pt idx="0">
                  <c:v>Internal</c:v>
                </c:pt>
                <c:pt idx="1">
                  <c:v>External</c:v>
                </c:pt>
              </c:strCache>
            </c:strRef>
          </c:cat>
          <c:val>
            <c:numRef>
              <c:f>List1!$C$2:$C$5</c:f>
              <c:numCache>
                <c:formatCode>General</c:formatCode>
                <c:ptCount val="4"/>
              </c:numCache>
            </c:numRef>
          </c:val>
        </c:ser>
        <c:ser>
          <c:idx val="2"/>
          <c:order val="2"/>
          <c:tx>
            <c:strRef>
              <c:f>List1!$D$1</c:f>
              <c:strCache>
                <c:ptCount val="1"/>
                <c:pt idx="0">
                  <c:v>Stupac1</c:v>
                </c:pt>
              </c:strCache>
            </c:strRef>
          </c:tx>
          <c:invertIfNegative val="0"/>
          <c:cat>
            <c:strRef>
              <c:f>List1!$A$2:$A$5</c:f>
              <c:strCache>
                <c:ptCount val="2"/>
                <c:pt idx="0">
                  <c:v>Internal</c:v>
                </c:pt>
                <c:pt idx="1">
                  <c:v>External</c:v>
                </c:pt>
              </c:strCache>
            </c:strRef>
          </c:cat>
          <c:val>
            <c:numRef>
              <c:f>List1!$D$2:$D$5</c:f>
              <c:numCache>
                <c:formatCode>General</c:formatCode>
                <c:ptCount val="4"/>
              </c:numCache>
            </c:numRef>
          </c:val>
        </c:ser>
        <c:dLbls>
          <c:showLegendKey val="0"/>
          <c:showVal val="0"/>
          <c:showCatName val="0"/>
          <c:showSerName val="0"/>
          <c:showPercent val="0"/>
          <c:showBubbleSize val="0"/>
        </c:dLbls>
        <c:gapWidth val="150"/>
        <c:overlap val="100"/>
        <c:axId val="296462208"/>
        <c:axId val="296463744"/>
      </c:barChart>
      <c:catAx>
        <c:axId val="296462208"/>
        <c:scaling>
          <c:orientation val="minMax"/>
        </c:scaling>
        <c:delete val="0"/>
        <c:axPos val="l"/>
        <c:numFmt formatCode="General" sourceLinked="1"/>
        <c:majorTickMark val="out"/>
        <c:minorTickMark val="none"/>
        <c:tickLblPos val="nextTo"/>
        <c:crossAx val="296463744"/>
        <c:crosses val="autoZero"/>
        <c:auto val="1"/>
        <c:lblAlgn val="ctr"/>
        <c:lblOffset val="100"/>
        <c:tickLblSkip val="1"/>
        <c:tickMarkSkip val="1"/>
        <c:noMultiLvlLbl val="0"/>
      </c:catAx>
      <c:valAx>
        <c:axId val="296463744"/>
        <c:scaling>
          <c:orientation val="minMax"/>
        </c:scaling>
        <c:delete val="0"/>
        <c:axPos val="b"/>
        <c:majorGridlines/>
        <c:numFmt formatCode="General" sourceLinked="1"/>
        <c:majorTickMark val="out"/>
        <c:minorTickMark val="none"/>
        <c:tickLblPos val="nextTo"/>
        <c:crossAx val="296462208"/>
        <c:crosses val="autoZero"/>
        <c:crossBetween val="between"/>
      </c:valAx>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2"/>
              </a:solidFill>
            </c:spPr>
          </c:dPt>
          <c:cat>
            <c:strRef>
              <c:f>List1!$A$2:$A$5</c:f>
              <c:strCache>
                <c:ptCount val="2"/>
                <c:pt idx="0">
                  <c:v>Yes</c:v>
                </c:pt>
                <c:pt idx="1">
                  <c:v>No</c:v>
                </c:pt>
              </c:strCache>
            </c:strRef>
          </c:cat>
          <c:val>
            <c:numRef>
              <c:f>List1!$B$2:$B$5</c:f>
              <c:numCache>
                <c:formatCode>General</c:formatCode>
                <c:ptCount val="4"/>
                <c:pt idx="0">
                  <c:v>60</c:v>
                </c:pt>
                <c:pt idx="1">
                  <c:v>12</c:v>
                </c:pt>
              </c:numCache>
            </c:numRef>
          </c:val>
        </c:ser>
        <c:ser>
          <c:idx val="1"/>
          <c:order val="1"/>
          <c:tx>
            <c:strRef>
              <c:f>List1!$C$1</c:f>
              <c:strCache>
                <c:ptCount val="1"/>
                <c:pt idx="0">
                  <c:v>Skup 2</c:v>
                </c:pt>
              </c:strCache>
            </c:strRef>
          </c:tx>
          <c:invertIfNegative val="0"/>
          <c:cat>
            <c:strRef>
              <c:f>List1!$A$2:$A$5</c:f>
              <c:strCache>
                <c:ptCount val="2"/>
                <c:pt idx="0">
                  <c:v>Yes</c:v>
                </c:pt>
                <c:pt idx="1">
                  <c:v>No</c:v>
                </c:pt>
              </c:strCache>
            </c:strRef>
          </c:cat>
          <c:val>
            <c:numRef>
              <c:f>List1!$C$2:$C$5</c:f>
              <c:numCache>
                <c:formatCode>General</c:formatCode>
                <c:ptCount val="4"/>
              </c:numCache>
            </c:numRef>
          </c:val>
        </c:ser>
        <c:ser>
          <c:idx val="2"/>
          <c:order val="2"/>
          <c:tx>
            <c:strRef>
              <c:f>List1!$D$1</c:f>
              <c:strCache>
                <c:ptCount val="1"/>
                <c:pt idx="0">
                  <c:v>Skup 3</c:v>
                </c:pt>
              </c:strCache>
            </c:strRef>
          </c:tx>
          <c:invertIfNegative val="0"/>
          <c:cat>
            <c:strRef>
              <c:f>List1!$A$2:$A$5</c:f>
              <c:strCache>
                <c:ptCount val="2"/>
                <c:pt idx="0">
                  <c:v>Yes</c:v>
                </c:pt>
                <c:pt idx="1">
                  <c:v>No</c:v>
                </c:pt>
              </c:strCache>
            </c:strRef>
          </c:cat>
          <c:val>
            <c:numRef>
              <c:f>List1!$D$2:$D$5</c:f>
              <c:numCache>
                <c:formatCode>General</c:formatCode>
                <c:ptCount val="4"/>
              </c:numCache>
            </c:numRef>
          </c:val>
        </c:ser>
        <c:dLbls>
          <c:showLegendKey val="0"/>
          <c:showVal val="0"/>
          <c:showCatName val="0"/>
          <c:showSerName val="0"/>
          <c:showPercent val="0"/>
          <c:showBubbleSize val="0"/>
        </c:dLbls>
        <c:gapWidth val="150"/>
        <c:overlap val="100"/>
        <c:axId val="298902272"/>
        <c:axId val="298903808"/>
      </c:barChart>
      <c:catAx>
        <c:axId val="298902272"/>
        <c:scaling>
          <c:orientation val="minMax"/>
        </c:scaling>
        <c:delete val="0"/>
        <c:axPos val="l"/>
        <c:numFmt formatCode="General" sourceLinked="1"/>
        <c:majorTickMark val="out"/>
        <c:minorTickMark val="none"/>
        <c:tickLblPos val="nextTo"/>
        <c:crossAx val="298903808"/>
        <c:crosses val="autoZero"/>
        <c:auto val="1"/>
        <c:lblAlgn val="ctr"/>
        <c:lblOffset val="100"/>
        <c:noMultiLvlLbl val="0"/>
      </c:catAx>
      <c:valAx>
        <c:axId val="298903808"/>
        <c:scaling>
          <c:orientation val="minMax"/>
        </c:scaling>
        <c:delete val="0"/>
        <c:axPos val="b"/>
        <c:majorGridlines/>
        <c:numFmt formatCode="General" sourceLinked="1"/>
        <c:majorTickMark val="out"/>
        <c:minorTickMark val="none"/>
        <c:tickLblPos val="nextTo"/>
        <c:crossAx val="298902272"/>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60</c:v>
                </c:pt>
                <c:pt idx="1">
                  <c:v>16</c:v>
                </c:pt>
                <c:pt idx="2">
                  <c:v>5</c:v>
                </c:pt>
                <c:pt idx="3">
                  <c:v>4</c:v>
                </c:pt>
                <c:pt idx="4">
                  <c:v>2</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397613312"/>
        <c:axId val="407576960"/>
      </c:barChart>
      <c:catAx>
        <c:axId val="397613312"/>
        <c:scaling>
          <c:orientation val="minMax"/>
        </c:scaling>
        <c:delete val="0"/>
        <c:axPos val="l"/>
        <c:numFmt formatCode="General" sourceLinked="1"/>
        <c:majorTickMark val="out"/>
        <c:minorTickMark val="none"/>
        <c:tickLblPos val="nextTo"/>
        <c:crossAx val="407576960"/>
        <c:crosses val="autoZero"/>
        <c:auto val="1"/>
        <c:lblAlgn val="ctr"/>
        <c:lblOffset val="100"/>
        <c:noMultiLvlLbl val="0"/>
      </c:catAx>
      <c:valAx>
        <c:axId val="407576960"/>
        <c:scaling>
          <c:orientation val="minMax"/>
        </c:scaling>
        <c:delete val="0"/>
        <c:axPos val="b"/>
        <c:majorGridlines/>
        <c:numFmt formatCode="General" sourceLinked="1"/>
        <c:majorTickMark val="out"/>
        <c:minorTickMark val="none"/>
        <c:tickLblPos val="nextTo"/>
        <c:crossAx val="397613312"/>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58</c:v>
                </c:pt>
                <c:pt idx="1">
                  <c:v>15</c:v>
                </c:pt>
                <c:pt idx="2">
                  <c:v>10</c:v>
                </c:pt>
                <c:pt idx="3">
                  <c:v>3</c:v>
                </c:pt>
                <c:pt idx="4">
                  <c:v>1</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182753920"/>
        <c:axId val="182759808"/>
      </c:barChart>
      <c:catAx>
        <c:axId val="182753920"/>
        <c:scaling>
          <c:orientation val="minMax"/>
        </c:scaling>
        <c:delete val="0"/>
        <c:axPos val="l"/>
        <c:numFmt formatCode="General" sourceLinked="1"/>
        <c:majorTickMark val="out"/>
        <c:minorTickMark val="none"/>
        <c:tickLblPos val="nextTo"/>
        <c:crossAx val="182759808"/>
        <c:crosses val="autoZero"/>
        <c:auto val="1"/>
        <c:lblAlgn val="ctr"/>
        <c:lblOffset val="100"/>
        <c:noMultiLvlLbl val="0"/>
      </c:catAx>
      <c:valAx>
        <c:axId val="182759808"/>
        <c:scaling>
          <c:orientation val="minMax"/>
        </c:scaling>
        <c:delete val="0"/>
        <c:axPos val="b"/>
        <c:majorGridlines/>
        <c:numFmt formatCode="General" sourceLinked="1"/>
        <c:majorTickMark val="out"/>
        <c:minorTickMark val="none"/>
        <c:tickLblPos val="nextTo"/>
        <c:crossAx val="18275392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55</c:v>
                </c:pt>
                <c:pt idx="1">
                  <c:v>17</c:v>
                </c:pt>
                <c:pt idx="2">
                  <c:v>12</c:v>
                </c:pt>
                <c:pt idx="3">
                  <c:v>2</c:v>
                </c:pt>
                <c:pt idx="4">
                  <c:v>1</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184007296"/>
        <c:axId val="184009088"/>
      </c:barChart>
      <c:catAx>
        <c:axId val="184007296"/>
        <c:scaling>
          <c:orientation val="minMax"/>
        </c:scaling>
        <c:delete val="0"/>
        <c:axPos val="l"/>
        <c:numFmt formatCode="General" sourceLinked="1"/>
        <c:majorTickMark val="out"/>
        <c:minorTickMark val="none"/>
        <c:tickLblPos val="nextTo"/>
        <c:crossAx val="184009088"/>
        <c:crosses val="autoZero"/>
        <c:auto val="1"/>
        <c:lblAlgn val="ctr"/>
        <c:lblOffset val="100"/>
        <c:noMultiLvlLbl val="0"/>
      </c:catAx>
      <c:valAx>
        <c:axId val="184009088"/>
        <c:scaling>
          <c:orientation val="minMax"/>
        </c:scaling>
        <c:delete val="0"/>
        <c:axPos val="b"/>
        <c:majorGridlines/>
        <c:numFmt formatCode="General" sourceLinked="1"/>
        <c:majorTickMark val="out"/>
        <c:minorTickMark val="none"/>
        <c:tickLblPos val="nextTo"/>
        <c:crossAx val="184007296"/>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30</c:v>
                </c:pt>
                <c:pt idx="1">
                  <c:v>29</c:v>
                </c:pt>
                <c:pt idx="2">
                  <c:v>19</c:v>
                </c:pt>
                <c:pt idx="3">
                  <c:v>4</c:v>
                </c:pt>
                <c:pt idx="4">
                  <c:v>5</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65828992"/>
        <c:axId val="267252096"/>
      </c:barChart>
      <c:catAx>
        <c:axId val="265828992"/>
        <c:scaling>
          <c:orientation val="minMax"/>
        </c:scaling>
        <c:delete val="0"/>
        <c:axPos val="l"/>
        <c:numFmt formatCode="General" sourceLinked="1"/>
        <c:majorTickMark val="out"/>
        <c:minorTickMark val="none"/>
        <c:tickLblPos val="nextTo"/>
        <c:crossAx val="267252096"/>
        <c:crosses val="autoZero"/>
        <c:auto val="1"/>
        <c:lblAlgn val="ctr"/>
        <c:lblOffset val="100"/>
        <c:noMultiLvlLbl val="0"/>
      </c:catAx>
      <c:valAx>
        <c:axId val="267252096"/>
        <c:scaling>
          <c:orientation val="minMax"/>
        </c:scaling>
        <c:delete val="0"/>
        <c:axPos val="b"/>
        <c:majorGridlines/>
        <c:numFmt formatCode="General" sourceLinked="1"/>
        <c:majorTickMark val="out"/>
        <c:minorTickMark val="none"/>
        <c:tickLblPos val="nextTo"/>
        <c:crossAx val="265828992"/>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66</c:v>
                </c:pt>
                <c:pt idx="1">
                  <c:v>16</c:v>
                </c:pt>
                <c:pt idx="2">
                  <c:v>4</c:v>
                </c:pt>
                <c:pt idx="3">
                  <c:v>0</c:v>
                </c:pt>
                <c:pt idx="4">
                  <c:v>1</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0120320"/>
        <c:axId val="280126208"/>
      </c:barChart>
      <c:catAx>
        <c:axId val="280120320"/>
        <c:scaling>
          <c:orientation val="minMax"/>
        </c:scaling>
        <c:delete val="0"/>
        <c:axPos val="l"/>
        <c:numFmt formatCode="General" sourceLinked="1"/>
        <c:majorTickMark val="out"/>
        <c:minorTickMark val="none"/>
        <c:tickLblPos val="nextTo"/>
        <c:crossAx val="280126208"/>
        <c:crosses val="autoZero"/>
        <c:auto val="1"/>
        <c:lblAlgn val="ctr"/>
        <c:lblOffset val="100"/>
        <c:noMultiLvlLbl val="0"/>
      </c:catAx>
      <c:valAx>
        <c:axId val="280126208"/>
        <c:scaling>
          <c:orientation val="minMax"/>
        </c:scaling>
        <c:delete val="0"/>
        <c:axPos val="b"/>
        <c:majorGridlines/>
        <c:numFmt formatCode="General" sourceLinked="1"/>
        <c:majorTickMark val="out"/>
        <c:minorTickMark val="none"/>
        <c:tickLblPos val="nextTo"/>
        <c:crossAx val="280120320"/>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40</c:v>
                </c:pt>
                <c:pt idx="1">
                  <c:v>23</c:v>
                </c:pt>
                <c:pt idx="2">
                  <c:v>15</c:v>
                </c:pt>
                <c:pt idx="3">
                  <c:v>7</c:v>
                </c:pt>
                <c:pt idx="4">
                  <c:v>2</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0268160"/>
        <c:axId val="280269952"/>
      </c:barChart>
      <c:catAx>
        <c:axId val="280268160"/>
        <c:scaling>
          <c:orientation val="minMax"/>
        </c:scaling>
        <c:delete val="0"/>
        <c:axPos val="l"/>
        <c:numFmt formatCode="General" sourceLinked="1"/>
        <c:majorTickMark val="out"/>
        <c:minorTickMark val="none"/>
        <c:tickLblPos val="nextTo"/>
        <c:crossAx val="280269952"/>
        <c:crosses val="autoZero"/>
        <c:auto val="1"/>
        <c:lblAlgn val="ctr"/>
        <c:lblOffset val="100"/>
        <c:noMultiLvlLbl val="0"/>
      </c:catAx>
      <c:valAx>
        <c:axId val="280269952"/>
        <c:scaling>
          <c:orientation val="minMax"/>
        </c:scaling>
        <c:delete val="0"/>
        <c:axPos val="b"/>
        <c:majorGridlines/>
        <c:numFmt formatCode="General" sourceLinked="1"/>
        <c:majorTickMark val="out"/>
        <c:minorTickMark val="none"/>
        <c:tickLblPos val="nextTo"/>
        <c:crossAx val="280268160"/>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47</c:v>
                </c:pt>
                <c:pt idx="1">
                  <c:v>17</c:v>
                </c:pt>
                <c:pt idx="2">
                  <c:v>16</c:v>
                </c:pt>
                <c:pt idx="3">
                  <c:v>4</c:v>
                </c:pt>
                <c:pt idx="4">
                  <c:v>3</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0280448"/>
        <c:axId val="280282240"/>
      </c:barChart>
      <c:catAx>
        <c:axId val="280280448"/>
        <c:scaling>
          <c:orientation val="minMax"/>
        </c:scaling>
        <c:delete val="0"/>
        <c:axPos val="l"/>
        <c:numFmt formatCode="General" sourceLinked="1"/>
        <c:majorTickMark val="out"/>
        <c:minorTickMark val="none"/>
        <c:tickLblPos val="nextTo"/>
        <c:crossAx val="280282240"/>
        <c:crosses val="autoZero"/>
        <c:auto val="1"/>
        <c:lblAlgn val="ctr"/>
        <c:lblOffset val="100"/>
        <c:noMultiLvlLbl val="0"/>
      </c:catAx>
      <c:valAx>
        <c:axId val="280282240"/>
        <c:scaling>
          <c:orientation val="minMax"/>
        </c:scaling>
        <c:delete val="0"/>
        <c:axPos val="b"/>
        <c:majorGridlines/>
        <c:numFmt formatCode="General" sourceLinked="1"/>
        <c:majorTickMark val="out"/>
        <c:minorTickMark val="none"/>
        <c:tickLblPos val="nextTo"/>
        <c:crossAx val="280280448"/>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List1!$B$1</c:f>
              <c:strCache>
                <c:ptCount val="1"/>
                <c:pt idx="0">
                  <c:v>Skup 1</c:v>
                </c:pt>
              </c:strCache>
            </c:strRef>
          </c:tx>
          <c:invertIfNegative val="0"/>
          <c:dPt>
            <c:idx val="1"/>
            <c:invertIfNegative val="0"/>
            <c:bubble3D val="0"/>
            <c:spPr>
              <a:solidFill>
                <a:schemeClr val="accent6">
                  <a:lumMod val="50000"/>
                </a:schemeClr>
              </a:solidFill>
            </c:spPr>
          </c:dPt>
          <c:dPt>
            <c:idx val="2"/>
            <c:invertIfNegative val="0"/>
            <c:bubble3D val="0"/>
            <c:spPr>
              <a:solidFill>
                <a:srgbClr val="92D050"/>
              </a:solidFill>
            </c:spPr>
          </c:dPt>
          <c:dPt>
            <c:idx val="3"/>
            <c:invertIfNegative val="0"/>
            <c:bubble3D val="0"/>
            <c:spPr>
              <a:solidFill>
                <a:srgbClr val="FFC000"/>
              </a:solidFill>
            </c:spPr>
          </c:dPt>
          <c:dPt>
            <c:idx val="4"/>
            <c:invertIfNegative val="0"/>
            <c:bubble3D val="0"/>
            <c:spPr>
              <a:solidFill>
                <a:srgbClr val="C00000"/>
              </a:solidFill>
            </c:spPr>
          </c:dPt>
          <c:cat>
            <c:strRef>
              <c:f>List1!$A$2:$A$6</c:f>
              <c:strCache>
                <c:ptCount val="5"/>
                <c:pt idx="0">
                  <c:v>Always used</c:v>
                </c:pt>
                <c:pt idx="1">
                  <c:v>Often used</c:v>
                </c:pt>
                <c:pt idx="2">
                  <c:v>Seldom used</c:v>
                </c:pt>
                <c:pt idx="3">
                  <c:v>Never used</c:v>
                </c:pt>
                <c:pt idx="4">
                  <c:v>Not known/Not applicable</c:v>
                </c:pt>
              </c:strCache>
            </c:strRef>
          </c:cat>
          <c:val>
            <c:numRef>
              <c:f>List1!$B$2:$B$6</c:f>
              <c:numCache>
                <c:formatCode>General</c:formatCode>
                <c:ptCount val="5"/>
                <c:pt idx="0">
                  <c:v>10</c:v>
                </c:pt>
                <c:pt idx="1">
                  <c:v>14</c:v>
                </c:pt>
                <c:pt idx="2">
                  <c:v>32</c:v>
                </c:pt>
                <c:pt idx="3">
                  <c:v>25</c:v>
                </c:pt>
                <c:pt idx="4">
                  <c:v>6</c:v>
                </c:pt>
              </c:numCache>
            </c:numRef>
          </c:val>
        </c:ser>
        <c:ser>
          <c:idx val="1"/>
          <c:order val="1"/>
          <c:tx>
            <c:strRef>
              <c:f>List1!$C$1</c:f>
              <c:strCache>
                <c:ptCount val="1"/>
                <c:pt idx="0">
                  <c:v>Skup 2</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List1!$C$2:$C$6</c:f>
              <c:numCache>
                <c:formatCode>General</c:formatCode>
                <c:ptCount val="5"/>
              </c:numCache>
            </c:numRef>
          </c:val>
        </c:ser>
        <c:ser>
          <c:idx val="2"/>
          <c:order val="2"/>
          <c:tx>
            <c:strRef>
              <c:f>List1!$D$1</c:f>
              <c:strCache>
                <c:ptCount val="1"/>
                <c:pt idx="0">
                  <c:v>Skup 3</c:v>
                </c:pt>
              </c:strCache>
            </c:strRef>
          </c:tx>
          <c:invertIfNegative val="0"/>
          <c:cat>
            <c:strRef>
              <c:f>List1!$A$2:$A$6</c:f>
              <c:strCache>
                <c:ptCount val="5"/>
                <c:pt idx="0">
                  <c:v>Always used</c:v>
                </c:pt>
                <c:pt idx="1">
                  <c:v>Often used</c:v>
                </c:pt>
                <c:pt idx="2">
                  <c:v>Seldom used</c:v>
                </c:pt>
                <c:pt idx="3">
                  <c:v>Never used</c:v>
                </c:pt>
                <c:pt idx="4">
                  <c:v>Not known/Not applicable</c:v>
                </c:pt>
              </c:strCache>
            </c:strRef>
          </c:cat>
          <c:val>
            <c:numRef>
              <c:f>List1!$D$2:$D$6</c:f>
              <c:numCache>
                <c:formatCode>General</c:formatCode>
                <c:ptCount val="5"/>
              </c:numCache>
            </c:numRef>
          </c:val>
        </c:ser>
        <c:dLbls>
          <c:showLegendKey val="0"/>
          <c:showVal val="0"/>
          <c:showCatName val="0"/>
          <c:showSerName val="0"/>
          <c:showPercent val="0"/>
          <c:showBubbleSize val="0"/>
        </c:dLbls>
        <c:gapWidth val="150"/>
        <c:overlap val="100"/>
        <c:axId val="284867584"/>
        <c:axId val="284869376"/>
      </c:barChart>
      <c:catAx>
        <c:axId val="284867584"/>
        <c:scaling>
          <c:orientation val="minMax"/>
        </c:scaling>
        <c:delete val="0"/>
        <c:axPos val="l"/>
        <c:numFmt formatCode="General" sourceLinked="1"/>
        <c:majorTickMark val="out"/>
        <c:minorTickMark val="none"/>
        <c:tickLblPos val="nextTo"/>
        <c:crossAx val="284869376"/>
        <c:crosses val="autoZero"/>
        <c:auto val="1"/>
        <c:lblAlgn val="ctr"/>
        <c:lblOffset val="100"/>
        <c:noMultiLvlLbl val="0"/>
      </c:catAx>
      <c:valAx>
        <c:axId val="284869376"/>
        <c:scaling>
          <c:orientation val="minMax"/>
        </c:scaling>
        <c:delete val="0"/>
        <c:axPos val="b"/>
        <c:majorGridlines/>
        <c:numFmt formatCode="General" sourceLinked="1"/>
        <c:majorTickMark val="out"/>
        <c:minorTickMark val="none"/>
        <c:tickLblPos val="nextTo"/>
        <c:crossAx val="28486758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A204B7-3854-4FAA-9DF9-EABC16AEFD72}"/>
</file>

<file path=customXml/itemProps2.xml><?xml version="1.0" encoding="utf-8"?>
<ds:datastoreItem xmlns:ds="http://schemas.openxmlformats.org/officeDocument/2006/customXml" ds:itemID="{2095B714-47FE-4969-9130-DC4F185D0C26}"/>
</file>

<file path=customXml/itemProps3.xml><?xml version="1.0" encoding="utf-8"?>
<ds:datastoreItem xmlns:ds="http://schemas.openxmlformats.org/officeDocument/2006/customXml" ds:itemID="{5ADE0139-1FB0-4A6B-A4B3-F8F6E97B8C0C}"/>
</file>

<file path=customXml/itemProps4.xml><?xml version="1.0" encoding="utf-8"?>
<ds:datastoreItem xmlns:ds="http://schemas.openxmlformats.org/officeDocument/2006/customXml" ds:itemID="{F8FF9785-5055-47C1-915E-F856ACC340BC}"/>
</file>

<file path=docProps/app.xml><?xml version="1.0" encoding="utf-8"?>
<Properties xmlns="http://schemas.openxmlformats.org/officeDocument/2006/extended-properties" xmlns:vt="http://schemas.openxmlformats.org/officeDocument/2006/docPropsVTypes">
  <Template>Normal.dotm</Template>
  <TotalTime>16</TotalTime>
  <Pages>21</Pages>
  <Words>5291</Words>
  <Characters>29188</Characters>
  <Application>Microsoft Office Word</Application>
  <DocSecurity>0</DocSecurity>
  <Lines>243</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Pathfinder Group on Automatic Recognition</vt:lpstr>
      <vt:lpstr>Pathfinder Group on Automatic Recognition</vt:lpstr>
    </vt:vector>
  </TitlesOfParts>
  <Company>MZOŠ</Company>
  <LinksUpToDate>false</LinksUpToDate>
  <CharactersWithSpaces>34411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Pathfinder Group on Automatic Recognition</dc:title>
  <dc:creator>agorsic</dc:creator>
  <cp:lastModifiedBy>GOHRING Daniel (EAC)</cp:lastModifiedBy>
  <cp:revision>6</cp:revision>
  <cp:lastPrinted>2014-02-17T13:16:00Z</cp:lastPrinted>
  <dcterms:created xsi:type="dcterms:W3CDTF">2014-09-26T11:23:00Z</dcterms:created>
  <dcterms:modified xsi:type="dcterms:W3CDTF">2014-10-14T16:25:00Z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