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Default Extension="doc" ContentType="application/msword"/>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30E3" w:rsidRPr="00511B0C" w:rsidRDefault="006630E3" w:rsidP="006630E3">
      <w:pPr>
        <w:tabs>
          <w:tab w:val="left" w:pos="1005"/>
          <w:tab w:val="right" w:pos="9360"/>
        </w:tabs>
        <w:rPr>
          <w:rFonts w:ascii="Arial" w:hAnsi="Arial" w:cs="Arial"/>
          <w:color w:val="333333"/>
          <w:sz w:val="23"/>
          <w:szCs w:val="23"/>
          <w:lang w:eastAsia="en-GB"/>
        </w:rPr>
      </w:pPr>
      <w:r>
        <w:rPr>
          <w:rFonts w:ascii="Arial" w:hAnsi="Arial" w:cs="Arial"/>
          <w:noProof/>
          <w:color w:val="333333"/>
          <w:sz w:val="23"/>
          <w:szCs w:val="23"/>
          <w:lang w:val="ru-RU" w:eastAsia="ru-RU"/>
        </w:rPr>
        <w:drawing>
          <wp:anchor distT="0" distB="0" distL="114300" distR="114300" simplePos="0" relativeHeight="251658240" behindDoc="0" locked="0" layoutInCell="1" allowOverlap="1" wp14:anchorId="5B2892AD" wp14:editId="3E8FDC3A">
            <wp:simplePos x="0" y="0"/>
            <wp:positionH relativeFrom="column">
              <wp:posOffset>4989830</wp:posOffset>
            </wp:positionH>
            <wp:positionV relativeFrom="paragraph">
              <wp:posOffset>34290</wp:posOffset>
            </wp:positionV>
            <wp:extent cx="1010920" cy="139065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P logo vertical1551x2133.bmp"/>
                    <pic:cNvPicPr/>
                  </pic:nvPicPr>
                  <pic:blipFill>
                    <a:blip r:embed="rId9">
                      <a:extLst>
                        <a:ext uri="{28A0092B-C50C-407E-A947-70E740481C1C}">
                          <a14:useLocalDpi xmlns:a14="http://schemas.microsoft.com/office/drawing/2010/main" val="0"/>
                        </a:ext>
                      </a:extLst>
                    </a:blip>
                    <a:stretch>
                      <a:fillRect/>
                    </a:stretch>
                  </pic:blipFill>
                  <pic:spPr>
                    <a:xfrm>
                      <a:off x="0" y="0"/>
                      <a:ext cx="1010920" cy="1390650"/>
                    </a:xfrm>
                    <a:prstGeom prst="rect">
                      <a:avLst/>
                    </a:prstGeom>
                  </pic:spPr>
                </pic:pic>
              </a:graphicData>
            </a:graphic>
          </wp:anchor>
        </w:drawing>
      </w:r>
      <w:r>
        <w:rPr>
          <w:rFonts w:ascii="Arial" w:hAnsi="Arial" w:cs="Arial"/>
          <w:noProof/>
          <w:color w:val="333333"/>
          <w:sz w:val="23"/>
          <w:szCs w:val="23"/>
          <w:lang w:val="ru-RU" w:eastAsia="ru-RU"/>
        </w:rPr>
        <w:drawing>
          <wp:inline distT="0" distB="0" distL="0" distR="0" wp14:anchorId="5C0B799B" wp14:editId="3F452851">
            <wp:extent cx="2124075" cy="1416504"/>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ying_european.bmp"/>
                    <pic:cNvPicPr/>
                  </pic:nvPicPr>
                  <pic:blipFill>
                    <a:blip r:embed="rId10">
                      <a:extLst>
                        <a:ext uri="{28A0092B-C50C-407E-A947-70E740481C1C}">
                          <a14:useLocalDpi xmlns:a14="http://schemas.microsoft.com/office/drawing/2010/main" val="0"/>
                        </a:ext>
                      </a:extLst>
                    </a:blip>
                    <a:stretch>
                      <a:fillRect/>
                    </a:stretch>
                  </pic:blipFill>
                  <pic:spPr>
                    <a:xfrm>
                      <a:off x="0" y="0"/>
                      <a:ext cx="2126992" cy="1418450"/>
                    </a:xfrm>
                    <a:prstGeom prst="rect">
                      <a:avLst/>
                    </a:prstGeom>
                  </pic:spPr>
                </pic:pic>
              </a:graphicData>
            </a:graphic>
          </wp:inline>
        </w:drawing>
      </w:r>
      <w:r>
        <w:rPr>
          <w:rFonts w:ascii="Arial" w:hAnsi="Arial" w:cs="Arial"/>
          <w:color w:val="333333"/>
          <w:sz w:val="23"/>
          <w:szCs w:val="23"/>
          <w:lang w:eastAsia="en-GB"/>
        </w:rPr>
        <w:tab/>
      </w:r>
    </w:p>
    <w:p w:rsidR="006630E3" w:rsidRPr="00511B0C" w:rsidRDefault="006630E3" w:rsidP="006630E3">
      <w:pPr>
        <w:rPr>
          <w:rFonts w:ascii="Arial" w:hAnsi="Arial" w:cs="Arial"/>
          <w:color w:val="333333"/>
          <w:sz w:val="23"/>
          <w:szCs w:val="23"/>
          <w:lang w:eastAsia="en-GB"/>
        </w:rPr>
      </w:pPr>
    </w:p>
    <w:p w:rsidR="006630E3" w:rsidRDefault="006630E3" w:rsidP="006630E3">
      <w:pPr>
        <w:jc w:val="right"/>
        <w:rPr>
          <w:rFonts w:ascii="Arial" w:hAnsi="Arial" w:cs="Arial"/>
          <w:color w:val="333333"/>
          <w:sz w:val="23"/>
          <w:szCs w:val="23"/>
          <w:lang w:eastAsia="en-GB"/>
        </w:rPr>
      </w:pPr>
    </w:p>
    <w:p w:rsidR="006630E3" w:rsidRPr="00511B0C" w:rsidRDefault="00F22B15" w:rsidP="006630E3">
      <w:pPr>
        <w:jc w:val="right"/>
        <w:rPr>
          <w:rFonts w:ascii="Arial" w:hAnsi="Arial" w:cs="Arial"/>
          <w:color w:val="333333"/>
          <w:sz w:val="23"/>
          <w:szCs w:val="23"/>
          <w:lang w:eastAsia="en-GB"/>
        </w:rPr>
      </w:pPr>
      <w:r>
        <w:rPr>
          <w:rFonts w:ascii="Arial" w:hAnsi="Arial" w:cs="Arial"/>
          <w:color w:val="333333"/>
          <w:sz w:val="23"/>
          <w:szCs w:val="23"/>
          <w:lang w:eastAsia="en-GB"/>
        </w:rPr>
        <w:t>20</w:t>
      </w:r>
      <w:r w:rsidR="002C57DF">
        <w:rPr>
          <w:rFonts w:ascii="Arial" w:hAnsi="Arial" w:cs="Arial"/>
          <w:color w:val="333333"/>
          <w:sz w:val="23"/>
          <w:szCs w:val="23"/>
          <w:lang w:eastAsia="en-GB"/>
        </w:rPr>
        <w:t xml:space="preserve"> November 2014</w:t>
      </w:r>
    </w:p>
    <w:p w:rsidR="006630E3" w:rsidRPr="00511B0C" w:rsidRDefault="006630E3" w:rsidP="006630E3">
      <w:pPr>
        <w:jc w:val="center"/>
        <w:rPr>
          <w:rFonts w:ascii="Arial" w:hAnsi="Arial" w:cs="Arial"/>
          <w:color w:val="333333"/>
          <w:sz w:val="23"/>
          <w:szCs w:val="23"/>
          <w:lang w:eastAsia="en-GB"/>
        </w:rPr>
      </w:pPr>
    </w:p>
    <w:p w:rsidR="006630E3" w:rsidRPr="00511B0C" w:rsidRDefault="006630E3" w:rsidP="006630E3">
      <w:r>
        <w:br w:type="textWrapping" w:clear="all"/>
      </w:r>
    </w:p>
    <w:p w:rsidR="006630E3" w:rsidRPr="00511B0C" w:rsidRDefault="006630E3" w:rsidP="006630E3"/>
    <w:p w:rsidR="006630E3" w:rsidRPr="00511B0C" w:rsidRDefault="006630E3" w:rsidP="006630E3"/>
    <w:p w:rsidR="006630E3" w:rsidRPr="006630E3" w:rsidRDefault="006630E3" w:rsidP="006630E3">
      <w:pPr>
        <w:jc w:val="center"/>
        <w:rPr>
          <w:sz w:val="40"/>
          <w:szCs w:val="40"/>
        </w:rPr>
      </w:pPr>
      <w:r w:rsidRPr="006630E3">
        <w:rPr>
          <w:rFonts w:ascii="Verdana" w:hAnsi="Verdana"/>
          <w:b/>
          <w:sz w:val="40"/>
          <w:szCs w:val="40"/>
          <w:lang w:val="en-GB"/>
        </w:rPr>
        <w:t>REPORT OF THE 2012-2015 BFUG WORKING GROUP ON MOBILITY AND INTERNATIONALISATION</w:t>
      </w:r>
    </w:p>
    <w:p w:rsidR="006630E3" w:rsidRPr="00511B0C" w:rsidRDefault="006630E3" w:rsidP="006630E3"/>
    <w:p w:rsidR="006630E3" w:rsidRDefault="006630E3" w:rsidP="00EA374D">
      <w:pPr>
        <w:spacing w:line="312" w:lineRule="auto"/>
        <w:jc w:val="center"/>
        <w:rPr>
          <w:b/>
          <w:bCs/>
          <w:sz w:val="72"/>
          <w:szCs w:val="72"/>
        </w:rPr>
      </w:pPr>
    </w:p>
    <w:p w:rsidR="006630E3" w:rsidRDefault="006630E3" w:rsidP="00EA374D">
      <w:pPr>
        <w:spacing w:line="312" w:lineRule="auto"/>
        <w:jc w:val="center"/>
        <w:rPr>
          <w:b/>
          <w:bCs/>
          <w:sz w:val="72"/>
          <w:szCs w:val="72"/>
        </w:rPr>
      </w:pPr>
    </w:p>
    <w:p w:rsidR="006630E3" w:rsidRDefault="006630E3" w:rsidP="004B4CB4">
      <w:pPr>
        <w:spacing w:after="0" w:line="240" w:lineRule="auto"/>
        <w:rPr>
          <w:rFonts w:ascii="Verdana" w:hAnsi="Verdana"/>
          <w:b/>
          <w:sz w:val="24"/>
          <w:szCs w:val="24"/>
          <w:lang w:val="en-GB"/>
        </w:rPr>
      </w:pPr>
    </w:p>
    <w:p w:rsidR="006630E3" w:rsidRDefault="006630E3" w:rsidP="004B4CB4">
      <w:pPr>
        <w:spacing w:after="0" w:line="240" w:lineRule="auto"/>
        <w:rPr>
          <w:rFonts w:ascii="Verdana" w:hAnsi="Verdana"/>
          <w:b/>
          <w:sz w:val="24"/>
          <w:szCs w:val="24"/>
          <w:lang w:val="en-GB"/>
        </w:rPr>
      </w:pPr>
    </w:p>
    <w:p w:rsidR="006630E3" w:rsidRDefault="006630E3" w:rsidP="004B4CB4">
      <w:pPr>
        <w:spacing w:after="0" w:line="240" w:lineRule="auto"/>
        <w:rPr>
          <w:rFonts w:ascii="Verdana" w:hAnsi="Verdana"/>
          <w:b/>
          <w:sz w:val="24"/>
          <w:szCs w:val="24"/>
          <w:lang w:val="en-GB"/>
        </w:rPr>
      </w:pPr>
    </w:p>
    <w:p w:rsidR="006630E3" w:rsidRDefault="006630E3" w:rsidP="004B4CB4">
      <w:pPr>
        <w:spacing w:after="0" w:line="240" w:lineRule="auto"/>
        <w:rPr>
          <w:rFonts w:ascii="Verdana" w:hAnsi="Verdana"/>
          <w:b/>
          <w:sz w:val="24"/>
          <w:szCs w:val="24"/>
          <w:lang w:val="en-GB"/>
        </w:rPr>
      </w:pPr>
    </w:p>
    <w:p w:rsidR="006630E3" w:rsidRDefault="006630E3" w:rsidP="004B4CB4">
      <w:pPr>
        <w:spacing w:after="0" w:line="240" w:lineRule="auto"/>
        <w:rPr>
          <w:rFonts w:ascii="Verdana" w:hAnsi="Verdana"/>
          <w:b/>
          <w:sz w:val="24"/>
          <w:szCs w:val="24"/>
          <w:lang w:val="en-GB"/>
        </w:rPr>
      </w:pPr>
    </w:p>
    <w:p w:rsidR="00E33D68" w:rsidRPr="00C31021" w:rsidRDefault="00E33D68" w:rsidP="004B4CB4">
      <w:pPr>
        <w:spacing w:after="0" w:line="240" w:lineRule="auto"/>
        <w:rPr>
          <w:rFonts w:ascii="Verdana" w:hAnsi="Verdana"/>
          <w:b/>
          <w:sz w:val="24"/>
          <w:szCs w:val="24"/>
          <w:lang w:val="en-GB"/>
        </w:rPr>
      </w:pPr>
      <w:r w:rsidRPr="00C31021">
        <w:rPr>
          <w:rFonts w:ascii="Verdana" w:hAnsi="Verdana"/>
          <w:b/>
          <w:sz w:val="24"/>
          <w:szCs w:val="24"/>
          <w:lang w:val="en-GB"/>
        </w:rPr>
        <w:lastRenderedPageBreak/>
        <w:t>PART I</w:t>
      </w:r>
    </w:p>
    <w:p w:rsidR="00E33D68" w:rsidRPr="00C31021" w:rsidRDefault="00E33D68" w:rsidP="004B4CB4">
      <w:pPr>
        <w:spacing w:after="0" w:line="240" w:lineRule="auto"/>
        <w:rPr>
          <w:rFonts w:ascii="Verdana" w:hAnsi="Verdana"/>
          <w:b/>
          <w:sz w:val="20"/>
          <w:szCs w:val="20"/>
          <w:lang w:val="en-GB"/>
        </w:rPr>
      </w:pPr>
      <w:r w:rsidRPr="00C31021">
        <w:rPr>
          <w:rFonts w:ascii="Verdana" w:hAnsi="Verdana"/>
          <w:b/>
          <w:sz w:val="24"/>
          <w:szCs w:val="24"/>
          <w:lang w:val="en-GB"/>
        </w:rPr>
        <w:t>INTRODUCTION</w:t>
      </w:r>
    </w:p>
    <w:p w:rsidR="00E33D68" w:rsidRPr="00C31021" w:rsidRDefault="00E33D68" w:rsidP="00C85433">
      <w:pPr>
        <w:spacing w:line="312" w:lineRule="auto"/>
        <w:ind w:firstLine="720"/>
        <w:jc w:val="both"/>
        <w:rPr>
          <w:rFonts w:ascii="Verdana" w:hAnsi="Verdana"/>
          <w:b/>
          <w:sz w:val="20"/>
          <w:szCs w:val="20"/>
          <w:lang w:val="en-GB"/>
        </w:rPr>
      </w:pPr>
    </w:p>
    <w:p w:rsidR="00E33D68" w:rsidRPr="00A97169" w:rsidRDefault="00E33D68" w:rsidP="00A97169">
      <w:pPr>
        <w:spacing w:line="312" w:lineRule="auto"/>
        <w:rPr>
          <w:rFonts w:ascii="Verdana" w:hAnsi="Verdana"/>
          <w:b/>
          <w:lang w:val="en-GB"/>
        </w:rPr>
      </w:pPr>
      <w:r w:rsidRPr="00C31021">
        <w:rPr>
          <w:rFonts w:ascii="Verdana" w:hAnsi="Verdana"/>
          <w:b/>
          <w:lang w:val="en-GB"/>
        </w:rPr>
        <w:t xml:space="preserve">I.I </w:t>
      </w:r>
      <w:r w:rsidRPr="00A97169">
        <w:rPr>
          <w:rFonts w:ascii="Verdana" w:hAnsi="Verdana"/>
          <w:b/>
          <w:lang w:val="en-GB"/>
        </w:rPr>
        <w:t>Background</w:t>
      </w:r>
    </w:p>
    <w:p w:rsidR="00E33D68" w:rsidRPr="00D30EE1" w:rsidRDefault="000A45C6" w:rsidP="003A217B">
      <w:pPr>
        <w:pStyle w:val="Default"/>
        <w:spacing w:line="312" w:lineRule="auto"/>
        <w:jc w:val="both"/>
        <w:rPr>
          <w:rFonts w:ascii="Verdana" w:hAnsi="Verdana"/>
          <w:sz w:val="20"/>
          <w:szCs w:val="20"/>
          <w:lang w:val="en-GB"/>
        </w:rPr>
      </w:pPr>
      <w:r>
        <w:rPr>
          <w:rFonts w:ascii="Verdana" w:hAnsi="Verdana" w:cs="Times New Roman"/>
          <w:sz w:val="20"/>
          <w:szCs w:val="20"/>
          <w:lang w:val="en-GB"/>
        </w:rPr>
        <w:t>M</w:t>
      </w:r>
      <w:r w:rsidR="00E33D68" w:rsidRPr="00C31021">
        <w:rPr>
          <w:rFonts w:ascii="Verdana" w:hAnsi="Verdana" w:cs="Times New Roman"/>
          <w:sz w:val="20"/>
          <w:szCs w:val="20"/>
          <w:lang w:val="en-GB"/>
        </w:rPr>
        <w:t xml:space="preserve">obility and internationalisation </w:t>
      </w:r>
      <w:r w:rsidR="00E3754B">
        <w:rPr>
          <w:rFonts w:ascii="Verdana" w:hAnsi="Verdana" w:cs="Times New Roman"/>
          <w:sz w:val="20"/>
          <w:szCs w:val="20"/>
          <w:lang w:val="en-GB"/>
        </w:rPr>
        <w:t xml:space="preserve">have been </w:t>
      </w:r>
      <w:r w:rsidR="00E33D68" w:rsidRPr="00844CB9">
        <w:rPr>
          <w:rFonts w:ascii="Verdana" w:hAnsi="Verdana" w:cs="Times New Roman"/>
          <w:sz w:val="20"/>
          <w:szCs w:val="20"/>
          <w:lang w:val="en-GB"/>
        </w:rPr>
        <w:t xml:space="preserve">among the central objectives and main policy areas of the Bologna Process </w:t>
      </w:r>
      <w:r w:rsidR="00E3754B">
        <w:rPr>
          <w:rFonts w:ascii="Verdana" w:hAnsi="Verdana" w:cs="Times New Roman"/>
          <w:sz w:val="20"/>
          <w:szCs w:val="20"/>
          <w:lang w:val="en-GB"/>
        </w:rPr>
        <w:t xml:space="preserve">and </w:t>
      </w:r>
      <w:r w:rsidR="00E3754B" w:rsidRPr="00C31021">
        <w:rPr>
          <w:rFonts w:ascii="Verdana" w:hAnsi="Verdana" w:cs="Times New Roman"/>
          <w:sz w:val="20"/>
          <w:szCs w:val="20"/>
          <w:lang w:val="en-GB"/>
        </w:rPr>
        <w:t>the European Higher Education Area (EHEA)</w:t>
      </w:r>
      <w:r w:rsidR="00E3754B">
        <w:rPr>
          <w:rFonts w:ascii="Verdana" w:hAnsi="Verdana" w:cs="Times New Roman"/>
          <w:sz w:val="20"/>
          <w:szCs w:val="20"/>
          <w:lang w:val="en-GB"/>
        </w:rPr>
        <w:t xml:space="preserve"> </w:t>
      </w:r>
      <w:r w:rsidR="00E33D68" w:rsidRPr="00844CB9">
        <w:rPr>
          <w:rFonts w:ascii="Verdana" w:hAnsi="Verdana" w:cs="Times New Roman"/>
          <w:sz w:val="20"/>
          <w:szCs w:val="20"/>
          <w:lang w:val="en-GB"/>
        </w:rPr>
        <w:t xml:space="preserve">from </w:t>
      </w:r>
      <w:r w:rsidR="00E3754B">
        <w:rPr>
          <w:rFonts w:ascii="Verdana" w:hAnsi="Verdana" w:cs="Times New Roman"/>
          <w:sz w:val="20"/>
          <w:szCs w:val="20"/>
          <w:lang w:val="en-GB"/>
        </w:rPr>
        <w:t>the very beginning</w:t>
      </w:r>
      <w:r w:rsidR="00DE0523">
        <w:rPr>
          <w:rFonts w:ascii="Verdana" w:hAnsi="Verdana" w:cs="Times New Roman"/>
          <w:sz w:val="20"/>
          <w:szCs w:val="20"/>
          <w:lang w:val="en-GB"/>
        </w:rPr>
        <w:t>.</w:t>
      </w:r>
      <w:r w:rsidR="00E33D68" w:rsidRPr="00844CB9">
        <w:rPr>
          <w:rFonts w:ascii="Verdana" w:hAnsi="Verdana" w:cs="Times New Roman"/>
          <w:sz w:val="20"/>
          <w:szCs w:val="20"/>
          <w:lang w:val="en-GB"/>
        </w:rPr>
        <w:t xml:space="preserve"> </w:t>
      </w:r>
      <w:r w:rsidR="00E33D68" w:rsidRPr="00D30EE1">
        <w:rPr>
          <w:rFonts w:ascii="Verdana" w:hAnsi="Verdana"/>
          <w:sz w:val="20"/>
          <w:szCs w:val="20"/>
          <w:lang w:val="en-GB"/>
        </w:rPr>
        <w:t>The Bologna Declaration (1999) set ou</w:t>
      </w:r>
      <w:r w:rsidR="00E33D68">
        <w:rPr>
          <w:rFonts w:ascii="Verdana" w:hAnsi="Verdana"/>
          <w:sz w:val="20"/>
          <w:szCs w:val="20"/>
          <w:lang w:val="en-GB"/>
        </w:rPr>
        <w:t>t “the objective of increasing the international competitiveness of the European system of higher education” and pointed out the need “to ensure that the European higher education system acquires a world-wide degree of attraction”.</w:t>
      </w:r>
    </w:p>
    <w:p w:rsidR="00E33D68" w:rsidRPr="00D30EE1" w:rsidRDefault="00E33D68" w:rsidP="003A217B">
      <w:pPr>
        <w:pStyle w:val="Default"/>
        <w:spacing w:line="312" w:lineRule="auto"/>
        <w:jc w:val="both"/>
        <w:rPr>
          <w:rFonts w:ascii="Verdana" w:hAnsi="Verdana"/>
          <w:sz w:val="20"/>
          <w:szCs w:val="20"/>
          <w:lang w:val="en-GB"/>
        </w:rPr>
      </w:pPr>
    </w:p>
    <w:p w:rsidR="00E33D68" w:rsidRPr="00C31021" w:rsidRDefault="00E33D68" w:rsidP="003A217B">
      <w:pPr>
        <w:pStyle w:val="Default"/>
        <w:spacing w:line="312" w:lineRule="auto"/>
        <w:jc w:val="both"/>
        <w:rPr>
          <w:rFonts w:ascii="Verdana" w:hAnsi="Verdana" w:cs="Times New Roman"/>
          <w:sz w:val="20"/>
          <w:szCs w:val="20"/>
          <w:lang w:val="en-GB"/>
        </w:rPr>
      </w:pPr>
      <w:r>
        <w:rPr>
          <w:rFonts w:ascii="Verdana" w:hAnsi="Verdana"/>
          <w:sz w:val="20"/>
          <w:szCs w:val="20"/>
          <w:lang w:val="en-GB"/>
        </w:rPr>
        <w:t>In the 2009 Leuven/Louvain-la-</w:t>
      </w:r>
      <w:proofErr w:type="spellStart"/>
      <w:r>
        <w:rPr>
          <w:rFonts w:ascii="Verdana" w:hAnsi="Verdana"/>
          <w:sz w:val="20"/>
          <w:szCs w:val="20"/>
          <w:lang w:val="en-GB"/>
        </w:rPr>
        <w:t>Neuve</w:t>
      </w:r>
      <w:proofErr w:type="spellEnd"/>
      <w:r>
        <w:rPr>
          <w:rFonts w:ascii="Verdana" w:hAnsi="Verdana"/>
          <w:sz w:val="20"/>
          <w:szCs w:val="20"/>
          <w:lang w:val="en-GB"/>
        </w:rPr>
        <w:t xml:space="preserve"> Communiqué, the Ministers responsible for higher education </w:t>
      </w:r>
      <w:r w:rsidR="00E3754B">
        <w:rPr>
          <w:rFonts w:ascii="Verdana" w:hAnsi="Verdana"/>
          <w:sz w:val="20"/>
          <w:szCs w:val="20"/>
          <w:lang w:val="en-GB"/>
        </w:rPr>
        <w:t>of</w:t>
      </w:r>
      <w:r>
        <w:rPr>
          <w:rFonts w:ascii="Verdana" w:hAnsi="Verdana"/>
          <w:sz w:val="20"/>
          <w:szCs w:val="20"/>
          <w:lang w:val="en-GB"/>
        </w:rPr>
        <w:t xml:space="preserve"> the countries participating in the Bologna Process </w:t>
      </w:r>
      <w:r w:rsidR="00E3754B">
        <w:rPr>
          <w:rFonts w:ascii="Verdana" w:hAnsi="Verdana"/>
          <w:sz w:val="20"/>
          <w:szCs w:val="20"/>
          <w:lang w:val="en-GB"/>
        </w:rPr>
        <w:t xml:space="preserve">declared international openness to be </w:t>
      </w:r>
      <w:r>
        <w:rPr>
          <w:rFonts w:ascii="Verdana" w:hAnsi="Verdana"/>
          <w:sz w:val="20"/>
          <w:szCs w:val="20"/>
          <w:lang w:val="en-GB"/>
        </w:rPr>
        <w:t xml:space="preserve">one of </w:t>
      </w:r>
      <w:r w:rsidR="000A45C6">
        <w:rPr>
          <w:rFonts w:ascii="Verdana" w:hAnsi="Verdana"/>
          <w:sz w:val="20"/>
          <w:szCs w:val="20"/>
          <w:lang w:val="en-GB"/>
        </w:rPr>
        <w:t xml:space="preserve">the </w:t>
      </w:r>
      <w:r>
        <w:rPr>
          <w:rFonts w:ascii="Verdana" w:hAnsi="Verdana"/>
          <w:sz w:val="20"/>
          <w:szCs w:val="20"/>
          <w:lang w:val="en-GB"/>
        </w:rPr>
        <w:t>higher education priorities for the coming decade</w:t>
      </w:r>
      <w:r w:rsidR="00DE0523">
        <w:rPr>
          <w:rFonts w:ascii="Verdana" w:hAnsi="Verdana"/>
          <w:sz w:val="20"/>
          <w:szCs w:val="20"/>
          <w:lang w:val="en-GB"/>
        </w:rPr>
        <w:t>.</w:t>
      </w:r>
      <w:r>
        <w:rPr>
          <w:rFonts w:ascii="Verdana" w:hAnsi="Verdana"/>
          <w:sz w:val="20"/>
          <w:szCs w:val="20"/>
          <w:lang w:val="en-GB"/>
        </w:rPr>
        <w:t xml:space="preserve"> </w:t>
      </w:r>
      <w:r w:rsidR="00E3754B">
        <w:rPr>
          <w:rFonts w:ascii="Verdana" w:hAnsi="Verdana" w:cs="Times New Roman"/>
          <w:sz w:val="20"/>
          <w:szCs w:val="20"/>
          <w:lang w:val="en-GB"/>
        </w:rPr>
        <w:t>T</w:t>
      </w:r>
      <w:r w:rsidRPr="00C31021">
        <w:rPr>
          <w:rFonts w:ascii="Verdana" w:hAnsi="Verdana" w:cs="Times New Roman"/>
          <w:sz w:val="20"/>
          <w:szCs w:val="20"/>
          <w:lang w:val="en-GB"/>
        </w:rPr>
        <w:t>he Leuven/Louvain-la-</w:t>
      </w:r>
      <w:proofErr w:type="spellStart"/>
      <w:r w:rsidRPr="00C31021">
        <w:rPr>
          <w:rFonts w:ascii="Verdana" w:hAnsi="Verdana" w:cs="Times New Roman"/>
          <w:sz w:val="20"/>
          <w:szCs w:val="20"/>
          <w:lang w:val="en-GB"/>
        </w:rPr>
        <w:t>Neuve</w:t>
      </w:r>
      <w:proofErr w:type="spellEnd"/>
      <w:r w:rsidRPr="00C31021">
        <w:rPr>
          <w:rFonts w:ascii="Verdana" w:hAnsi="Verdana" w:cs="Times New Roman"/>
          <w:sz w:val="20"/>
          <w:szCs w:val="20"/>
          <w:lang w:val="en-GB"/>
        </w:rPr>
        <w:t xml:space="preserve"> Communiqué </w:t>
      </w:r>
      <w:r w:rsidR="00E3754B">
        <w:rPr>
          <w:rFonts w:ascii="Verdana" w:hAnsi="Verdana" w:cs="Times New Roman"/>
          <w:sz w:val="20"/>
          <w:szCs w:val="20"/>
          <w:lang w:val="en-GB"/>
        </w:rPr>
        <w:t>furthermore states that</w:t>
      </w:r>
      <w:r w:rsidRPr="00C31021">
        <w:rPr>
          <w:rFonts w:ascii="Verdana" w:hAnsi="Verdana" w:cs="Times New Roman"/>
          <w:sz w:val="20"/>
          <w:szCs w:val="20"/>
          <w:lang w:val="en-GB"/>
        </w:rPr>
        <w:t xml:space="preserve">: “In 2020, at least 20% of those graduating in the European Higher Education Area should have had a study or training period abroad”. </w:t>
      </w:r>
    </w:p>
    <w:p w:rsidR="00E33D68" w:rsidRPr="00C31021" w:rsidRDefault="00E33D68" w:rsidP="003A217B">
      <w:pPr>
        <w:pStyle w:val="Default"/>
        <w:spacing w:line="312" w:lineRule="auto"/>
        <w:jc w:val="both"/>
        <w:rPr>
          <w:rFonts w:ascii="Verdana" w:hAnsi="Verdana" w:cs="Times New Roman"/>
          <w:sz w:val="20"/>
          <w:szCs w:val="20"/>
          <w:lang w:val="en-GB"/>
        </w:rPr>
      </w:pPr>
    </w:p>
    <w:p w:rsidR="00E33D68" w:rsidRPr="00844CB9" w:rsidRDefault="008736F8" w:rsidP="003A217B">
      <w:pPr>
        <w:pStyle w:val="Default"/>
        <w:spacing w:line="312" w:lineRule="auto"/>
        <w:jc w:val="both"/>
        <w:rPr>
          <w:rFonts w:ascii="Verdana" w:hAnsi="Verdana" w:cs="Times New Roman"/>
          <w:sz w:val="20"/>
          <w:szCs w:val="20"/>
          <w:lang w:val="en-GB"/>
        </w:rPr>
      </w:pPr>
      <w:r>
        <w:rPr>
          <w:rFonts w:ascii="Verdana" w:hAnsi="Verdana" w:cs="Times New Roman"/>
          <w:sz w:val="20"/>
          <w:szCs w:val="20"/>
          <w:lang w:val="en-GB"/>
        </w:rPr>
        <w:t>A</w:t>
      </w:r>
      <w:r w:rsidRPr="003719AD">
        <w:rPr>
          <w:rFonts w:ascii="Verdana" w:hAnsi="Verdana" w:cs="Times New Roman"/>
          <w:sz w:val="20"/>
          <w:szCs w:val="20"/>
          <w:lang w:val="en-GB"/>
        </w:rPr>
        <w:t xml:space="preserve">t the Bucharest Ministerial Conference 2012 </w:t>
      </w:r>
      <w:r w:rsidRPr="00C31021">
        <w:rPr>
          <w:rFonts w:ascii="Verdana" w:hAnsi="Verdana" w:cs="Times New Roman"/>
          <w:sz w:val="20"/>
          <w:szCs w:val="20"/>
          <w:lang w:val="en-GB"/>
        </w:rPr>
        <w:t>the EHEA Strategy “Mobility for Better Learning” was</w:t>
      </w:r>
      <w:r>
        <w:rPr>
          <w:rFonts w:ascii="Verdana" w:hAnsi="Verdana" w:cs="Times New Roman"/>
          <w:sz w:val="20"/>
          <w:szCs w:val="20"/>
          <w:lang w:val="en-GB"/>
        </w:rPr>
        <w:t xml:space="preserve"> </w:t>
      </w:r>
      <w:r w:rsidRPr="00C31021">
        <w:rPr>
          <w:rFonts w:ascii="Verdana" w:hAnsi="Verdana" w:cs="Times New Roman"/>
          <w:sz w:val="20"/>
          <w:szCs w:val="20"/>
          <w:lang w:val="en-GB"/>
        </w:rPr>
        <w:t>launched</w:t>
      </w:r>
      <w:r w:rsidRPr="00844CB9">
        <w:rPr>
          <w:rFonts w:ascii="Verdana" w:hAnsi="Verdana" w:cs="Times New Roman"/>
          <w:sz w:val="20"/>
          <w:szCs w:val="20"/>
          <w:lang w:val="en-GB"/>
        </w:rPr>
        <w:t xml:space="preserve">. </w:t>
      </w:r>
      <w:r>
        <w:rPr>
          <w:rFonts w:ascii="Verdana" w:hAnsi="Verdana" w:cs="Times New Roman"/>
          <w:sz w:val="20"/>
          <w:szCs w:val="20"/>
          <w:lang w:val="en-GB"/>
        </w:rPr>
        <w:t>Its 10 themes, including  the improvement of quality mobility, increasingly mobility into and out of the EHEA and the further internationalisation of the EHEA are the basis for the terms of reference (work plan) of the Bologna working group on mobility and internationalization (M&amp;I WG).</w:t>
      </w:r>
      <w:r w:rsidR="007736E2">
        <w:rPr>
          <w:rFonts w:ascii="Verdana" w:hAnsi="Verdana" w:cs="Times New Roman"/>
          <w:sz w:val="20"/>
          <w:szCs w:val="20"/>
          <w:lang w:val="en-GB"/>
        </w:rPr>
        <w:t xml:space="preserve"> </w:t>
      </w:r>
    </w:p>
    <w:p w:rsidR="00E33D68" w:rsidRPr="00D30EE1" w:rsidRDefault="00E33D68" w:rsidP="003A217B">
      <w:pPr>
        <w:pStyle w:val="Default"/>
        <w:spacing w:line="312" w:lineRule="auto"/>
        <w:jc w:val="both"/>
        <w:rPr>
          <w:rFonts w:ascii="Verdana" w:hAnsi="Verdana"/>
          <w:sz w:val="20"/>
          <w:szCs w:val="20"/>
          <w:lang w:val="en-GB"/>
        </w:rPr>
      </w:pPr>
    </w:p>
    <w:p w:rsidR="00E33D68" w:rsidRPr="00D30EE1" w:rsidRDefault="00E33D68" w:rsidP="003A217B">
      <w:pPr>
        <w:pStyle w:val="Default"/>
        <w:spacing w:line="312" w:lineRule="auto"/>
        <w:jc w:val="both"/>
        <w:rPr>
          <w:rFonts w:ascii="Verdana" w:hAnsi="Verdana"/>
          <w:sz w:val="20"/>
          <w:szCs w:val="20"/>
          <w:lang w:val="en-GB"/>
        </w:rPr>
      </w:pPr>
      <w:r>
        <w:rPr>
          <w:rFonts w:ascii="Verdana" w:hAnsi="Verdana" w:cs="Times New Roman"/>
          <w:sz w:val="20"/>
          <w:szCs w:val="20"/>
          <w:lang w:val="en-GB" w:eastAsia="nl-NL"/>
        </w:rPr>
        <w:t xml:space="preserve">Moreover, to </w:t>
      </w:r>
      <w:r w:rsidRPr="00C31021">
        <w:rPr>
          <w:rFonts w:ascii="Verdana" w:hAnsi="Verdana"/>
          <w:sz w:val="20"/>
          <w:szCs w:val="20"/>
          <w:lang w:val="en-GB"/>
        </w:rPr>
        <w:t>exchange information and to provide assistance in facilitating the portability of grants and loans</w:t>
      </w:r>
      <w:r w:rsidR="00F94F12">
        <w:rPr>
          <w:rFonts w:ascii="Verdana" w:hAnsi="Verdana"/>
          <w:sz w:val="20"/>
          <w:szCs w:val="20"/>
          <w:lang w:val="en-GB"/>
        </w:rPr>
        <w:t>, the</w:t>
      </w:r>
      <w:r w:rsidRPr="00C31021">
        <w:rPr>
          <w:rFonts w:ascii="Verdana" w:hAnsi="Verdana"/>
          <w:sz w:val="20"/>
          <w:szCs w:val="20"/>
          <w:lang w:val="en-GB"/>
        </w:rPr>
        <w:t xml:space="preserve"> </w:t>
      </w:r>
      <w:r w:rsidRPr="00D30EE1">
        <w:rPr>
          <w:rFonts w:ascii="Verdana" w:hAnsi="Verdana"/>
          <w:sz w:val="20"/>
          <w:szCs w:val="20"/>
          <w:lang w:val="en-GB"/>
        </w:rPr>
        <w:t>Netw</w:t>
      </w:r>
      <w:r>
        <w:rPr>
          <w:rFonts w:ascii="Verdana" w:hAnsi="Verdana"/>
          <w:sz w:val="20"/>
          <w:szCs w:val="20"/>
          <w:lang w:val="en-GB"/>
        </w:rPr>
        <w:t>ork of Experts on Student Support in Europe (NESSIE) was set-up as a sub-structure to M&amp;I WG.</w:t>
      </w:r>
    </w:p>
    <w:p w:rsidR="00E33D68" w:rsidRPr="00D30EE1" w:rsidRDefault="00E33D68" w:rsidP="003A217B">
      <w:pPr>
        <w:pStyle w:val="Default"/>
        <w:spacing w:line="312" w:lineRule="auto"/>
        <w:jc w:val="both"/>
        <w:rPr>
          <w:rFonts w:ascii="Verdana" w:hAnsi="Verdana"/>
          <w:sz w:val="20"/>
          <w:szCs w:val="20"/>
          <w:lang w:val="en-GB"/>
        </w:rPr>
      </w:pPr>
    </w:p>
    <w:p w:rsidR="00E33D68" w:rsidRPr="00D30EE1" w:rsidRDefault="00E33D68" w:rsidP="003A217B">
      <w:pPr>
        <w:pStyle w:val="Default"/>
        <w:spacing w:line="312" w:lineRule="auto"/>
        <w:jc w:val="both"/>
        <w:rPr>
          <w:rFonts w:ascii="Verdana" w:hAnsi="Verdana"/>
          <w:sz w:val="20"/>
          <w:szCs w:val="20"/>
          <w:lang w:val="en-GB"/>
        </w:rPr>
      </w:pPr>
      <w:r>
        <w:rPr>
          <w:rFonts w:ascii="Verdana" w:hAnsi="Verdana"/>
          <w:sz w:val="20"/>
          <w:szCs w:val="20"/>
          <w:lang w:val="en-GB"/>
        </w:rPr>
        <w:t>The M&amp;I WG met six times during the period of 2012 – 2015:</w:t>
      </w:r>
    </w:p>
    <w:p w:rsidR="00E33D68" w:rsidRPr="00D30EE1" w:rsidRDefault="00E33D68" w:rsidP="003A217B">
      <w:pPr>
        <w:pStyle w:val="Default"/>
        <w:spacing w:line="312" w:lineRule="auto"/>
        <w:jc w:val="both"/>
        <w:rPr>
          <w:rFonts w:ascii="Verdana" w:hAnsi="Verdana"/>
          <w:sz w:val="20"/>
          <w:szCs w:val="20"/>
          <w:lang w:val="en-GB"/>
        </w:rPr>
      </w:pPr>
    </w:p>
    <w:p w:rsidR="00E33D68" w:rsidRPr="00C31021" w:rsidRDefault="00E33D68" w:rsidP="00B07A9D">
      <w:pPr>
        <w:pStyle w:val="Default"/>
        <w:numPr>
          <w:ilvl w:val="0"/>
          <w:numId w:val="3"/>
        </w:numPr>
        <w:spacing w:line="312" w:lineRule="auto"/>
        <w:jc w:val="both"/>
        <w:rPr>
          <w:rFonts w:ascii="Verdana" w:hAnsi="Verdana" w:cs="Times New Roman"/>
          <w:sz w:val="20"/>
          <w:szCs w:val="20"/>
          <w:lang w:val="en-GB"/>
        </w:rPr>
      </w:pPr>
      <w:r w:rsidRPr="00C31021">
        <w:rPr>
          <w:rFonts w:ascii="Verdana" w:hAnsi="Verdana" w:cs="Times New Roman"/>
          <w:sz w:val="20"/>
          <w:szCs w:val="20"/>
          <w:lang w:val="en-GB"/>
        </w:rPr>
        <w:t xml:space="preserve">6 </w:t>
      </w:r>
      <w:r>
        <w:rPr>
          <w:rFonts w:ascii="Verdana" w:hAnsi="Verdana" w:cs="Times New Roman"/>
          <w:sz w:val="20"/>
          <w:szCs w:val="20"/>
          <w:lang w:val="en-GB"/>
        </w:rPr>
        <w:t>–</w:t>
      </w:r>
      <w:r w:rsidRPr="00C31021">
        <w:rPr>
          <w:rFonts w:ascii="Verdana" w:hAnsi="Verdana" w:cs="Times New Roman"/>
          <w:sz w:val="20"/>
          <w:szCs w:val="20"/>
          <w:lang w:val="en-GB"/>
        </w:rPr>
        <w:t xml:space="preserve"> 7 December, 2012 (Berlin, Germany);</w:t>
      </w:r>
    </w:p>
    <w:p w:rsidR="00E33D68" w:rsidRPr="00C31021" w:rsidRDefault="00E33D68" w:rsidP="00B07A9D">
      <w:pPr>
        <w:pStyle w:val="Default"/>
        <w:numPr>
          <w:ilvl w:val="0"/>
          <w:numId w:val="3"/>
        </w:numPr>
        <w:spacing w:line="312" w:lineRule="auto"/>
        <w:jc w:val="both"/>
        <w:rPr>
          <w:rFonts w:ascii="Verdana" w:hAnsi="Verdana" w:cs="Times New Roman"/>
          <w:sz w:val="20"/>
          <w:szCs w:val="20"/>
          <w:lang w:val="en-GB"/>
        </w:rPr>
      </w:pPr>
      <w:r w:rsidRPr="00C31021">
        <w:rPr>
          <w:rFonts w:ascii="Verdana" w:hAnsi="Verdana" w:cs="Times New Roman"/>
          <w:sz w:val="20"/>
          <w:szCs w:val="20"/>
          <w:lang w:val="en-GB"/>
        </w:rPr>
        <w:t xml:space="preserve">15 </w:t>
      </w:r>
      <w:r>
        <w:rPr>
          <w:rFonts w:ascii="Verdana" w:hAnsi="Verdana" w:cs="Times New Roman"/>
          <w:sz w:val="20"/>
          <w:szCs w:val="20"/>
          <w:lang w:val="en-GB"/>
        </w:rPr>
        <w:t>–</w:t>
      </w:r>
      <w:r w:rsidRPr="00C31021">
        <w:rPr>
          <w:rFonts w:ascii="Verdana" w:hAnsi="Verdana" w:cs="Times New Roman"/>
          <w:sz w:val="20"/>
          <w:szCs w:val="20"/>
          <w:lang w:val="en-GB"/>
        </w:rPr>
        <w:t xml:space="preserve"> 16 April, 2013 (Berlin, Germany);</w:t>
      </w:r>
    </w:p>
    <w:p w:rsidR="00E33D68" w:rsidRPr="00C31021" w:rsidRDefault="00E33D68" w:rsidP="00B07A9D">
      <w:pPr>
        <w:pStyle w:val="Default"/>
        <w:numPr>
          <w:ilvl w:val="0"/>
          <w:numId w:val="3"/>
        </w:numPr>
        <w:spacing w:line="312" w:lineRule="auto"/>
        <w:jc w:val="both"/>
        <w:rPr>
          <w:rFonts w:ascii="Verdana" w:hAnsi="Verdana" w:cs="Times New Roman"/>
          <w:sz w:val="20"/>
          <w:szCs w:val="20"/>
          <w:lang w:val="en-GB"/>
        </w:rPr>
      </w:pPr>
      <w:r w:rsidRPr="00C31021">
        <w:rPr>
          <w:rFonts w:ascii="Verdana" w:hAnsi="Verdana" w:cs="Times New Roman"/>
          <w:sz w:val="20"/>
          <w:szCs w:val="20"/>
          <w:lang w:val="en-GB"/>
        </w:rPr>
        <w:t xml:space="preserve">21 </w:t>
      </w:r>
      <w:r>
        <w:rPr>
          <w:rFonts w:ascii="Verdana" w:hAnsi="Verdana" w:cs="Times New Roman"/>
          <w:sz w:val="20"/>
          <w:szCs w:val="20"/>
          <w:lang w:val="en-GB"/>
        </w:rPr>
        <w:t>–</w:t>
      </w:r>
      <w:r w:rsidRPr="00C31021">
        <w:rPr>
          <w:rFonts w:ascii="Verdana" w:hAnsi="Verdana" w:cs="Times New Roman"/>
          <w:sz w:val="20"/>
          <w:szCs w:val="20"/>
          <w:lang w:val="en-GB"/>
        </w:rPr>
        <w:t xml:space="preserve"> 22 November, 2013 (Madrid, Spain);</w:t>
      </w:r>
    </w:p>
    <w:p w:rsidR="00E33D68" w:rsidRPr="00C31021" w:rsidRDefault="00E33D68" w:rsidP="00B07A9D">
      <w:pPr>
        <w:pStyle w:val="Default"/>
        <w:numPr>
          <w:ilvl w:val="0"/>
          <w:numId w:val="3"/>
        </w:numPr>
        <w:spacing w:line="312" w:lineRule="auto"/>
        <w:jc w:val="both"/>
        <w:rPr>
          <w:rFonts w:ascii="Verdana" w:hAnsi="Verdana" w:cs="Times New Roman"/>
          <w:sz w:val="20"/>
          <w:szCs w:val="20"/>
          <w:lang w:val="en-GB"/>
        </w:rPr>
      </w:pPr>
      <w:r w:rsidRPr="00C31021">
        <w:rPr>
          <w:rFonts w:ascii="Verdana" w:hAnsi="Verdana" w:cs="Times New Roman"/>
          <w:sz w:val="20"/>
          <w:szCs w:val="20"/>
          <w:lang w:val="en-GB"/>
        </w:rPr>
        <w:t xml:space="preserve">23 </w:t>
      </w:r>
      <w:r>
        <w:rPr>
          <w:rFonts w:ascii="Verdana" w:hAnsi="Verdana" w:cs="Times New Roman"/>
          <w:sz w:val="20"/>
          <w:szCs w:val="20"/>
          <w:lang w:val="en-GB"/>
        </w:rPr>
        <w:t>–</w:t>
      </w:r>
      <w:r w:rsidRPr="00C31021">
        <w:rPr>
          <w:rFonts w:ascii="Verdana" w:hAnsi="Verdana" w:cs="Times New Roman"/>
          <w:sz w:val="20"/>
          <w:szCs w:val="20"/>
          <w:lang w:val="en-GB"/>
        </w:rPr>
        <w:t xml:space="preserve"> 24 January, 2014 (Vienna, Austria);</w:t>
      </w:r>
    </w:p>
    <w:p w:rsidR="00E33D68" w:rsidRPr="00C31021" w:rsidRDefault="00E33D68" w:rsidP="00B07A9D">
      <w:pPr>
        <w:pStyle w:val="Default"/>
        <w:numPr>
          <w:ilvl w:val="0"/>
          <w:numId w:val="3"/>
        </w:numPr>
        <w:spacing w:line="312" w:lineRule="auto"/>
        <w:jc w:val="both"/>
        <w:rPr>
          <w:rFonts w:ascii="Verdana" w:hAnsi="Verdana" w:cs="Times New Roman"/>
          <w:sz w:val="20"/>
          <w:szCs w:val="20"/>
          <w:lang w:val="en-GB"/>
        </w:rPr>
      </w:pPr>
      <w:r w:rsidRPr="00C31021">
        <w:rPr>
          <w:rFonts w:ascii="Verdana" w:hAnsi="Verdana" w:cs="Times New Roman"/>
          <w:sz w:val="20"/>
          <w:szCs w:val="20"/>
          <w:lang w:val="en-GB"/>
        </w:rPr>
        <w:t xml:space="preserve">19 </w:t>
      </w:r>
      <w:r>
        <w:rPr>
          <w:rFonts w:ascii="Verdana" w:hAnsi="Verdana" w:cs="Times New Roman"/>
          <w:sz w:val="20"/>
          <w:szCs w:val="20"/>
          <w:lang w:val="en-GB"/>
        </w:rPr>
        <w:t>–</w:t>
      </w:r>
      <w:r w:rsidRPr="00C31021">
        <w:rPr>
          <w:rFonts w:ascii="Verdana" w:hAnsi="Verdana" w:cs="Times New Roman"/>
          <w:sz w:val="20"/>
          <w:szCs w:val="20"/>
          <w:lang w:val="en-GB"/>
        </w:rPr>
        <w:t xml:space="preserve"> 20 May, 2014 (Dublin, Ireland);</w:t>
      </w:r>
    </w:p>
    <w:p w:rsidR="00E33D68" w:rsidRPr="00C31021" w:rsidRDefault="00E33D68" w:rsidP="00B07A9D">
      <w:pPr>
        <w:pStyle w:val="Default"/>
        <w:numPr>
          <w:ilvl w:val="0"/>
          <w:numId w:val="3"/>
        </w:numPr>
        <w:spacing w:line="312" w:lineRule="auto"/>
        <w:jc w:val="both"/>
        <w:rPr>
          <w:rFonts w:ascii="Verdana" w:hAnsi="Verdana" w:cs="Times New Roman"/>
          <w:sz w:val="20"/>
          <w:szCs w:val="20"/>
          <w:lang w:val="en-GB"/>
        </w:rPr>
      </w:pPr>
      <w:r w:rsidRPr="00C31021">
        <w:rPr>
          <w:rFonts w:ascii="Verdana" w:hAnsi="Verdana" w:cs="Times New Roman"/>
          <w:sz w:val="20"/>
          <w:szCs w:val="20"/>
          <w:lang w:val="en-GB"/>
        </w:rPr>
        <w:t xml:space="preserve">8 </w:t>
      </w:r>
      <w:r>
        <w:rPr>
          <w:rFonts w:ascii="Verdana" w:hAnsi="Verdana" w:cs="Times New Roman"/>
          <w:sz w:val="20"/>
          <w:szCs w:val="20"/>
          <w:lang w:val="en-GB"/>
        </w:rPr>
        <w:t>–</w:t>
      </w:r>
      <w:r w:rsidRPr="00C31021">
        <w:rPr>
          <w:rFonts w:ascii="Verdana" w:hAnsi="Verdana" w:cs="Times New Roman"/>
          <w:sz w:val="20"/>
          <w:szCs w:val="20"/>
          <w:lang w:val="en-GB"/>
        </w:rPr>
        <w:t xml:space="preserve"> 9 September, 2014 (Vienna, Austria).</w:t>
      </w:r>
    </w:p>
    <w:p w:rsidR="00E33D68" w:rsidRPr="00C31021" w:rsidRDefault="00E33D68" w:rsidP="003A217B">
      <w:pPr>
        <w:pStyle w:val="Default"/>
        <w:spacing w:line="312" w:lineRule="auto"/>
        <w:jc w:val="both"/>
        <w:rPr>
          <w:rFonts w:ascii="Verdana" w:hAnsi="Verdana" w:cs="Times New Roman"/>
          <w:sz w:val="20"/>
          <w:szCs w:val="20"/>
          <w:lang w:val="en-GB"/>
        </w:rPr>
      </w:pPr>
    </w:p>
    <w:p w:rsidR="00E33D68" w:rsidRPr="00C31021" w:rsidRDefault="00E33D68" w:rsidP="003A217B">
      <w:pPr>
        <w:pStyle w:val="Default"/>
        <w:spacing w:line="312" w:lineRule="auto"/>
        <w:jc w:val="both"/>
        <w:rPr>
          <w:rFonts w:ascii="Verdana" w:hAnsi="Verdana" w:cs="Times New Roman"/>
          <w:sz w:val="20"/>
          <w:szCs w:val="20"/>
          <w:lang w:val="en-GB"/>
        </w:rPr>
      </w:pPr>
      <w:r w:rsidRPr="00C31021">
        <w:rPr>
          <w:rFonts w:ascii="Verdana" w:hAnsi="Verdana" w:cs="Times New Roman"/>
          <w:sz w:val="20"/>
          <w:szCs w:val="20"/>
          <w:lang w:val="en-GB"/>
        </w:rPr>
        <w:t xml:space="preserve">The Work Plan of the M&amp;I WG (attached below) was adopted during the first meeting of the WG in Berlin. </w:t>
      </w:r>
    </w:p>
    <w:p w:rsidR="00E33D68" w:rsidRPr="00C31021" w:rsidRDefault="00E33D68" w:rsidP="0044507F">
      <w:pPr>
        <w:pStyle w:val="Default"/>
        <w:spacing w:line="360" w:lineRule="auto"/>
        <w:jc w:val="both"/>
        <w:rPr>
          <w:rFonts w:ascii="Verdana" w:hAnsi="Verdana" w:cs="Times New Roman"/>
          <w:sz w:val="20"/>
          <w:szCs w:val="20"/>
          <w:lang w:val="en-GB"/>
        </w:rPr>
      </w:pPr>
    </w:p>
    <w:bookmarkStart w:id="0" w:name="_MON_1477452337"/>
    <w:bookmarkEnd w:id="0"/>
    <w:p w:rsidR="00E33D68" w:rsidRPr="00C31021" w:rsidRDefault="00E33D68" w:rsidP="0044507F">
      <w:pPr>
        <w:pStyle w:val="Default"/>
        <w:spacing w:line="360" w:lineRule="auto"/>
        <w:jc w:val="both"/>
        <w:rPr>
          <w:rFonts w:ascii="Verdana" w:hAnsi="Verdana" w:cs="Times New Roman"/>
          <w:sz w:val="20"/>
          <w:szCs w:val="20"/>
          <w:lang w:val="en-GB"/>
        </w:rPr>
      </w:pPr>
      <w:r w:rsidRPr="00D30EE1">
        <w:rPr>
          <w:rFonts w:ascii="Verdana" w:hAnsi="Verdana" w:cs="Times New Roman"/>
          <w:sz w:val="20"/>
          <w:szCs w:val="20"/>
          <w:lang w:val="en-GB"/>
        </w:rPr>
        <w:object w:dxaOrig="1551" w:dyaOrig="100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5pt;height:50.5pt" o:ole="">
            <v:imagedata r:id="rId11" o:title=""/>
          </v:shape>
          <o:OLEObject Type="Embed" ProgID="Word.Document.8" ShapeID="_x0000_i1025" DrawAspect="Icon" ObjectID="_1478000781" r:id="rId12">
            <o:FieldCodes>\s</o:FieldCodes>
          </o:OLEObject>
        </w:object>
      </w:r>
    </w:p>
    <w:p w:rsidR="003A217B" w:rsidRDefault="003A217B" w:rsidP="003A217B">
      <w:pPr>
        <w:spacing w:line="312" w:lineRule="auto"/>
        <w:jc w:val="both"/>
        <w:rPr>
          <w:rFonts w:ascii="Verdana" w:hAnsi="Verdana"/>
          <w:b/>
          <w:sz w:val="20"/>
          <w:szCs w:val="20"/>
        </w:rPr>
      </w:pPr>
    </w:p>
    <w:p w:rsidR="00A97169" w:rsidRPr="00C31021" w:rsidRDefault="00A97169" w:rsidP="00A97169">
      <w:pPr>
        <w:spacing w:line="312" w:lineRule="auto"/>
        <w:rPr>
          <w:rFonts w:ascii="Verdana" w:hAnsi="Verdana"/>
          <w:b/>
          <w:lang w:val="en-GB"/>
        </w:rPr>
      </w:pPr>
      <w:r w:rsidRPr="00C31021">
        <w:rPr>
          <w:rFonts w:ascii="Verdana" w:hAnsi="Verdana"/>
          <w:b/>
          <w:lang w:val="en-GB"/>
        </w:rPr>
        <w:t>I.II Mandate, Membership and Relation to Other WGs</w:t>
      </w:r>
    </w:p>
    <w:p w:rsidR="00A97169" w:rsidRPr="00844CB9" w:rsidRDefault="00A97169" w:rsidP="00A97169">
      <w:pPr>
        <w:spacing w:line="312" w:lineRule="auto"/>
        <w:jc w:val="both"/>
        <w:rPr>
          <w:rFonts w:ascii="Verdana" w:hAnsi="Verdana"/>
          <w:sz w:val="20"/>
          <w:szCs w:val="20"/>
          <w:lang w:val="en-GB"/>
        </w:rPr>
      </w:pPr>
      <w:r w:rsidRPr="00C31021">
        <w:rPr>
          <w:rFonts w:ascii="Verdana" w:hAnsi="Verdana"/>
          <w:sz w:val="20"/>
          <w:szCs w:val="20"/>
          <w:lang w:val="en-GB"/>
        </w:rPr>
        <w:t>T</w:t>
      </w:r>
      <w:r w:rsidRPr="00D30EE1">
        <w:rPr>
          <w:rFonts w:ascii="Verdana" w:hAnsi="Verdana" w:cs="Arial"/>
          <w:sz w:val="20"/>
          <w:szCs w:val="20"/>
          <w:lang w:val="en-GB"/>
        </w:rPr>
        <w:t xml:space="preserve">o reflect the diversity of the EHEA all the Bologna countries, the European Commission and the Consultative members were invited to participate in the M&amp;I WG activities. Through the M&amp;I WG </w:t>
      </w:r>
      <w:proofErr w:type="spellStart"/>
      <w:r w:rsidRPr="00D30EE1">
        <w:rPr>
          <w:rFonts w:ascii="Verdana" w:hAnsi="Verdana" w:cs="Arial"/>
          <w:sz w:val="20"/>
          <w:szCs w:val="20"/>
          <w:lang w:val="en-GB"/>
        </w:rPr>
        <w:t>ToR</w:t>
      </w:r>
      <w:proofErr w:type="spellEnd"/>
      <w:r w:rsidRPr="00D30EE1">
        <w:rPr>
          <w:rFonts w:ascii="Verdana" w:hAnsi="Verdana" w:cs="Arial"/>
          <w:sz w:val="20"/>
          <w:szCs w:val="20"/>
          <w:lang w:val="en-GB"/>
        </w:rPr>
        <w:t xml:space="preserve"> it was </w:t>
      </w:r>
      <w:r>
        <w:rPr>
          <w:rFonts w:ascii="Verdana" w:hAnsi="Verdana" w:cs="Arial"/>
          <w:sz w:val="20"/>
          <w:szCs w:val="20"/>
          <w:lang w:val="en-GB"/>
        </w:rPr>
        <w:t xml:space="preserve">decided that </w:t>
      </w:r>
      <w:r w:rsidRPr="00C31021">
        <w:rPr>
          <w:rFonts w:ascii="Verdana" w:hAnsi="Verdana"/>
          <w:sz w:val="20"/>
          <w:szCs w:val="20"/>
          <w:lang w:val="en-GB"/>
        </w:rPr>
        <w:t xml:space="preserve">three Co-Chairs will coordinate the works of the WG: Peter </w:t>
      </w:r>
      <w:proofErr w:type="spellStart"/>
      <w:r w:rsidRPr="00844CB9">
        <w:rPr>
          <w:rFonts w:ascii="Verdana" w:hAnsi="Verdana"/>
          <w:sz w:val="20"/>
          <w:szCs w:val="20"/>
          <w:lang w:val="en-GB"/>
        </w:rPr>
        <w:t>Greisler</w:t>
      </w:r>
      <w:proofErr w:type="spellEnd"/>
      <w:r w:rsidRPr="00844CB9">
        <w:rPr>
          <w:rFonts w:ascii="Verdana" w:hAnsi="Verdana"/>
          <w:sz w:val="20"/>
          <w:szCs w:val="20"/>
          <w:lang w:val="en-GB"/>
        </w:rPr>
        <w:t xml:space="preserve"> (Germany), Gottfried </w:t>
      </w:r>
      <w:proofErr w:type="spellStart"/>
      <w:r w:rsidRPr="00844CB9">
        <w:rPr>
          <w:rFonts w:ascii="Verdana" w:hAnsi="Verdana"/>
          <w:sz w:val="20"/>
          <w:szCs w:val="20"/>
          <w:lang w:val="en-GB"/>
        </w:rPr>
        <w:t>Bac</w:t>
      </w:r>
      <w:r w:rsidR="00F3082B">
        <w:rPr>
          <w:rFonts w:ascii="Verdana" w:hAnsi="Verdana"/>
          <w:sz w:val="20"/>
          <w:szCs w:val="20"/>
          <w:lang w:val="en-GB"/>
        </w:rPr>
        <w:t>h</w:t>
      </w:r>
      <w:r w:rsidRPr="00844CB9">
        <w:rPr>
          <w:rFonts w:ascii="Verdana" w:hAnsi="Verdana"/>
          <w:sz w:val="20"/>
          <w:szCs w:val="20"/>
          <w:lang w:val="en-GB"/>
        </w:rPr>
        <w:t>er</w:t>
      </w:r>
      <w:proofErr w:type="spellEnd"/>
      <w:r w:rsidRPr="00844CB9">
        <w:rPr>
          <w:rFonts w:ascii="Verdana" w:hAnsi="Verdana"/>
          <w:sz w:val="20"/>
          <w:szCs w:val="20"/>
          <w:lang w:val="en-GB"/>
        </w:rPr>
        <w:t xml:space="preserve"> (Austria) and Luis Delgado (Spain). The </w:t>
      </w:r>
      <w:r w:rsidRPr="00C31021">
        <w:rPr>
          <w:rFonts w:ascii="Verdana" w:hAnsi="Verdana"/>
          <w:sz w:val="20"/>
          <w:szCs w:val="20"/>
          <w:lang w:val="en-GB"/>
        </w:rPr>
        <w:t xml:space="preserve">Co-Chairs ensured the </w:t>
      </w:r>
      <w:r w:rsidRPr="00D30EE1">
        <w:rPr>
          <w:rFonts w:ascii="Verdana" w:hAnsi="Verdana" w:cs="Arial"/>
          <w:sz w:val="20"/>
          <w:szCs w:val="20"/>
          <w:lang w:val="en-GB"/>
        </w:rPr>
        <w:t>coherence of the communication and of the documents discussed by the BFUG</w:t>
      </w:r>
      <w:r w:rsidRPr="00C31021">
        <w:rPr>
          <w:rFonts w:ascii="Verdana" w:hAnsi="Verdana"/>
          <w:sz w:val="20"/>
          <w:szCs w:val="20"/>
          <w:lang w:val="en-GB"/>
        </w:rPr>
        <w:t xml:space="preserve">. </w:t>
      </w:r>
      <w:r>
        <w:rPr>
          <w:rFonts w:ascii="Verdana" w:hAnsi="Verdana"/>
          <w:sz w:val="20"/>
          <w:szCs w:val="20"/>
          <w:lang w:val="en-GB"/>
        </w:rPr>
        <w:t xml:space="preserve">The Co-Chairs took turns in </w:t>
      </w:r>
      <w:r w:rsidRPr="00C31021">
        <w:rPr>
          <w:rFonts w:ascii="Verdana" w:hAnsi="Verdana"/>
          <w:sz w:val="20"/>
          <w:szCs w:val="20"/>
          <w:lang w:val="en-GB"/>
        </w:rPr>
        <w:t>present</w:t>
      </w:r>
      <w:r>
        <w:rPr>
          <w:rFonts w:ascii="Verdana" w:hAnsi="Verdana"/>
          <w:sz w:val="20"/>
          <w:szCs w:val="20"/>
          <w:lang w:val="en-GB"/>
        </w:rPr>
        <w:t>ing</w:t>
      </w:r>
      <w:r w:rsidRPr="00C31021">
        <w:rPr>
          <w:rFonts w:ascii="Verdana" w:hAnsi="Verdana"/>
          <w:sz w:val="20"/>
          <w:szCs w:val="20"/>
          <w:lang w:val="en-GB"/>
        </w:rPr>
        <w:t xml:space="preserve"> the regular reports of the </w:t>
      </w:r>
      <w:r w:rsidRPr="00844CB9">
        <w:rPr>
          <w:rFonts w:ascii="Verdana" w:hAnsi="Verdana"/>
          <w:sz w:val="20"/>
          <w:szCs w:val="20"/>
          <w:lang w:val="en-GB"/>
        </w:rPr>
        <w:t xml:space="preserve">WG at the BFUG </w:t>
      </w:r>
      <w:r>
        <w:rPr>
          <w:rFonts w:ascii="Verdana" w:hAnsi="Verdana"/>
          <w:sz w:val="20"/>
          <w:szCs w:val="20"/>
          <w:lang w:val="en-GB"/>
        </w:rPr>
        <w:t xml:space="preserve">and Board </w:t>
      </w:r>
      <w:r w:rsidRPr="00844CB9">
        <w:rPr>
          <w:rFonts w:ascii="Verdana" w:hAnsi="Verdana"/>
          <w:sz w:val="20"/>
          <w:szCs w:val="20"/>
          <w:lang w:val="en-GB"/>
        </w:rPr>
        <w:t xml:space="preserve">meetings. </w:t>
      </w:r>
    </w:p>
    <w:p w:rsidR="00A97169" w:rsidRPr="00D30EE1" w:rsidRDefault="00A97169" w:rsidP="00A97169">
      <w:pPr>
        <w:spacing w:line="312" w:lineRule="auto"/>
        <w:jc w:val="both"/>
        <w:rPr>
          <w:rFonts w:ascii="Verdana" w:hAnsi="Verdana"/>
          <w:sz w:val="20"/>
          <w:szCs w:val="20"/>
          <w:lang w:val="en-GB"/>
        </w:rPr>
      </w:pPr>
      <w:r w:rsidRPr="00C31021">
        <w:rPr>
          <w:rFonts w:ascii="Verdana" w:hAnsi="Verdana"/>
          <w:sz w:val="20"/>
          <w:szCs w:val="20"/>
          <w:lang w:val="en-GB"/>
        </w:rPr>
        <w:t xml:space="preserve">The Co-Chairs also participated in the </w:t>
      </w:r>
      <w:r w:rsidRPr="00C31021">
        <w:rPr>
          <w:rFonts w:ascii="Verdana" w:hAnsi="Verdana" w:cs="Arial"/>
          <w:color w:val="000000"/>
          <w:sz w:val="20"/>
          <w:szCs w:val="20"/>
          <w:lang w:val="en-GB"/>
        </w:rPr>
        <w:t xml:space="preserve">meetings of the WG on Reporting on the Implementation of the Bologna Process in order to liaise with stocktaking and data collection. </w:t>
      </w:r>
      <w:r>
        <w:rPr>
          <w:rFonts w:ascii="Verdana" w:hAnsi="Verdana" w:cs="Arial"/>
          <w:color w:val="000000"/>
          <w:sz w:val="20"/>
          <w:szCs w:val="20"/>
          <w:lang w:val="en-GB"/>
        </w:rPr>
        <w:t>During</w:t>
      </w:r>
      <w:r w:rsidRPr="00C31021">
        <w:rPr>
          <w:rFonts w:ascii="Verdana" w:hAnsi="Verdana" w:cs="Arial"/>
          <w:color w:val="000000"/>
          <w:sz w:val="20"/>
          <w:szCs w:val="20"/>
          <w:lang w:val="en-GB"/>
        </w:rPr>
        <w:t xml:space="preserve"> the first meeting of the WG in Berlin it was underlined that </w:t>
      </w:r>
      <w:r w:rsidRPr="00844CB9">
        <w:rPr>
          <w:rFonts w:ascii="Verdana" w:hAnsi="Verdana" w:cs="Arial"/>
          <w:color w:val="000000"/>
          <w:sz w:val="20"/>
          <w:szCs w:val="20"/>
          <w:lang w:val="en-GB"/>
        </w:rPr>
        <w:t>there is a</w:t>
      </w:r>
      <w:r w:rsidRPr="00D30EE1">
        <w:rPr>
          <w:rFonts w:ascii="Verdana" w:hAnsi="Verdana"/>
          <w:sz w:val="20"/>
          <w:szCs w:val="20"/>
          <w:lang w:val="en-GB"/>
        </w:rPr>
        <w:t xml:space="preserve"> need to link the works of the WGs on Implementation and </w:t>
      </w:r>
      <w:r>
        <w:rPr>
          <w:rFonts w:ascii="Verdana" w:hAnsi="Verdana"/>
          <w:sz w:val="20"/>
          <w:szCs w:val="20"/>
          <w:lang w:val="en-GB"/>
        </w:rPr>
        <w:t xml:space="preserve">on Mobility and Internationalisation with regards to data on staff mobility as well as input related to the questionnaire. It was agreed that a group of the WG’s members (Denmark, France, Slovenia and EC) draft a questionnaire on mobility and internationalisation and address it to the </w:t>
      </w:r>
      <w:r w:rsidRPr="00C31021">
        <w:rPr>
          <w:rFonts w:ascii="Verdana" w:hAnsi="Verdana" w:cs="Arial"/>
          <w:color w:val="000000"/>
          <w:sz w:val="20"/>
          <w:szCs w:val="20"/>
          <w:lang w:val="en-GB"/>
        </w:rPr>
        <w:t>WG on Reporting on the Implementation of the Bologna Process</w:t>
      </w:r>
      <w:r w:rsidRPr="00D30EE1">
        <w:rPr>
          <w:rFonts w:ascii="Verdana" w:hAnsi="Verdana"/>
          <w:sz w:val="20"/>
          <w:szCs w:val="20"/>
          <w:lang w:val="en-GB"/>
        </w:rPr>
        <w:t>.</w:t>
      </w:r>
    </w:p>
    <w:p w:rsidR="00A97169" w:rsidRPr="00C31021" w:rsidRDefault="00A97169" w:rsidP="00A97169">
      <w:pPr>
        <w:spacing w:after="0" w:line="312" w:lineRule="auto"/>
        <w:jc w:val="both"/>
        <w:rPr>
          <w:rFonts w:ascii="Verdana" w:hAnsi="Verdana" w:cs="Arial"/>
          <w:color w:val="000000"/>
          <w:sz w:val="20"/>
          <w:szCs w:val="20"/>
          <w:lang w:val="en-GB"/>
        </w:rPr>
      </w:pPr>
      <w:r w:rsidRPr="00C31021">
        <w:rPr>
          <w:rFonts w:ascii="Verdana" w:hAnsi="Verdana"/>
          <w:color w:val="000000"/>
          <w:sz w:val="20"/>
          <w:szCs w:val="20"/>
          <w:lang w:val="en-GB"/>
        </w:rPr>
        <w:t>The representative of the</w:t>
      </w:r>
      <w:r>
        <w:rPr>
          <w:rFonts w:ascii="Verdana" w:hAnsi="Verdana"/>
          <w:color w:val="000000"/>
          <w:sz w:val="20"/>
          <w:szCs w:val="20"/>
          <w:lang w:val="en-GB"/>
        </w:rPr>
        <w:t xml:space="preserve"> ad-hoc</w:t>
      </w:r>
      <w:r w:rsidRPr="00C31021">
        <w:rPr>
          <w:rFonts w:ascii="Verdana" w:hAnsi="Verdana"/>
          <w:color w:val="000000"/>
          <w:sz w:val="20"/>
          <w:szCs w:val="20"/>
          <w:lang w:val="en-GB"/>
        </w:rPr>
        <w:t xml:space="preserve"> WG on the Revision of </w:t>
      </w:r>
      <w:r>
        <w:rPr>
          <w:rFonts w:ascii="Verdana" w:hAnsi="Verdana"/>
          <w:color w:val="000000"/>
          <w:sz w:val="20"/>
          <w:szCs w:val="20"/>
          <w:lang w:val="en-GB"/>
        </w:rPr>
        <w:t xml:space="preserve">the </w:t>
      </w:r>
      <w:r w:rsidRPr="00C31021">
        <w:rPr>
          <w:rFonts w:ascii="Verdana" w:hAnsi="Verdana"/>
          <w:color w:val="000000"/>
          <w:sz w:val="20"/>
          <w:szCs w:val="20"/>
          <w:lang w:val="en-GB"/>
        </w:rPr>
        <w:t>ECTS User</w:t>
      </w:r>
      <w:r>
        <w:rPr>
          <w:rFonts w:ascii="Verdana" w:hAnsi="Verdana"/>
          <w:color w:val="000000"/>
          <w:sz w:val="20"/>
          <w:szCs w:val="20"/>
          <w:lang w:val="en-GB"/>
        </w:rPr>
        <w:t>’</w:t>
      </w:r>
      <w:r w:rsidRPr="00C31021">
        <w:rPr>
          <w:rFonts w:ascii="Verdana" w:hAnsi="Verdana"/>
          <w:color w:val="000000"/>
          <w:sz w:val="20"/>
          <w:szCs w:val="20"/>
          <w:lang w:val="en-GB"/>
        </w:rPr>
        <w:t xml:space="preserve">s Guide actively participated in the discussions on the description of Study Programmes, in order to avoid double work on the issue. </w:t>
      </w:r>
      <w:r w:rsidRPr="00C31021">
        <w:rPr>
          <w:rFonts w:ascii="Verdana" w:hAnsi="Verdana" w:cs="Arial"/>
          <w:color w:val="000000"/>
          <w:sz w:val="20"/>
          <w:szCs w:val="20"/>
          <w:lang w:val="en-GB"/>
        </w:rPr>
        <w:t xml:space="preserve">Several consultations were held with the Structural Reforms WG Co-Chairs to avoid the overlap of work done by two WGs. In addition, the work of the WG has been accompanied by and benefited from several inputs and relevant mobility seminars organized by different stakeholders, e.g. the DAAD conference “The External Dimension of Bologna Process” (Dresden, 8 </w:t>
      </w:r>
      <w:r>
        <w:rPr>
          <w:rFonts w:ascii="Verdana" w:hAnsi="Verdana" w:cs="Arial"/>
          <w:color w:val="000000"/>
          <w:sz w:val="20"/>
          <w:szCs w:val="20"/>
          <w:lang w:val="en-GB"/>
        </w:rPr>
        <w:t>–</w:t>
      </w:r>
      <w:r w:rsidRPr="00C31021">
        <w:rPr>
          <w:rFonts w:ascii="Verdana" w:hAnsi="Verdana" w:cs="Arial"/>
          <w:color w:val="000000"/>
          <w:sz w:val="20"/>
          <w:szCs w:val="20"/>
          <w:lang w:val="en-GB"/>
        </w:rPr>
        <w:t xml:space="preserve"> 9 October 2013</w:t>
      </w:r>
      <w:r>
        <w:rPr>
          <w:rFonts w:ascii="Verdana" w:hAnsi="Verdana" w:cs="Arial"/>
          <w:color w:val="000000"/>
          <w:sz w:val="20"/>
          <w:szCs w:val="20"/>
          <w:lang w:val="en-GB"/>
        </w:rPr>
        <w:t>). Moreover, to discuss the mobility of doctoral candidates and exchange information on priorities of each WG a joint session of M&amp;I WG with the ad-hoc WG on Third Cycle was held (Madrid, 22 October 2013).</w:t>
      </w:r>
    </w:p>
    <w:p w:rsidR="00A97169" w:rsidRPr="00D30EE1" w:rsidRDefault="00A97169" w:rsidP="00A97169">
      <w:pPr>
        <w:tabs>
          <w:tab w:val="left" w:pos="5280"/>
        </w:tabs>
        <w:spacing w:after="0" w:line="312" w:lineRule="auto"/>
        <w:jc w:val="both"/>
        <w:rPr>
          <w:rFonts w:ascii="Verdana" w:hAnsi="Verdana" w:cs="Arial"/>
          <w:sz w:val="20"/>
          <w:szCs w:val="20"/>
          <w:lang w:val="en-GB"/>
        </w:rPr>
      </w:pPr>
    </w:p>
    <w:p w:rsidR="00A97169" w:rsidRPr="00D30EE1" w:rsidRDefault="00A97169" w:rsidP="00A97169">
      <w:pPr>
        <w:tabs>
          <w:tab w:val="left" w:pos="5280"/>
        </w:tabs>
        <w:spacing w:after="0" w:line="312" w:lineRule="auto"/>
        <w:jc w:val="both"/>
        <w:rPr>
          <w:rFonts w:ascii="Verdana" w:hAnsi="Verdana" w:cs="Arial"/>
          <w:sz w:val="20"/>
          <w:szCs w:val="20"/>
          <w:lang w:val="en-GB"/>
        </w:rPr>
      </w:pPr>
      <w:r>
        <w:rPr>
          <w:rFonts w:ascii="Verdana" w:hAnsi="Verdana" w:cs="Arial"/>
          <w:sz w:val="20"/>
          <w:szCs w:val="20"/>
          <w:lang w:val="en-GB"/>
        </w:rPr>
        <w:t xml:space="preserve">The specific nature and the precise tasks of the WG were also outlined in the </w:t>
      </w:r>
      <w:proofErr w:type="spellStart"/>
      <w:r>
        <w:rPr>
          <w:rFonts w:ascii="Verdana" w:hAnsi="Verdana" w:cs="Arial"/>
          <w:sz w:val="20"/>
          <w:szCs w:val="20"/>
          <w:lang w:val="en-GB"/>
        </w:rPr>
        <w:t>ToR</w:t>
      </w:r>
      <w:proofErr w:type="spellEnd"/>
      <w:r>
        <w:rPr>
          <w:rFonts w:ascii="Verdana" w:hAnsi="Verdana" w:cs="Arial"/>
          <w:sz w:val="20"/>
          <w:szCs w:val="20"/>
          <w:lang w:val="en-GB"/>
        </w:rPr>
        <w:t xml:space="preserve"> of M&amp;I WG </w:t>
      </w:r>
    </w:p>
    <w:p w:rsidR="00A97169" w:rsidRPr="00D30EE1" w:rsidRDefault="00A97169" w:rsidP="00A97169">
      <w:pPr>
        <w:tabs>
          <w:tab w:val="left" w:pos="5280"/>
        </w:tabs>
        <w:spacing w:after="0" w:line="312" w:lineRule="auto"/>
        <w:jc w:val="both"/>
        <w:rPr>
          <w:rFonts w:ascii="Verdana" w:hAnsi="Verdana" w:cs="Arial"/>
          <w:sz w:val="20"/>
          <w:szCs w:val="20"/>
          <w:lang w:val="en-GB"/>
        </w:rPr>
      </w:pPr>
    </w:p>
    <w:p w:rsidR="00A97169" w:rsidRPr="00D30EE1" w:rsidRDefault="00A97169" w:rsidP="00B07A9D">
      <w:pPr>
        <w:numPr>
          <w:ilvl w:val="0"/>
          <w:numId w:val="1"/>
        </w:numPr>
        <w:spacing w:after="0" w:line="312" w:lineRule="auto"/>
        <w:ind w:left="576" w:hanging="288"/>
        <w:jc w:val="both"/>
        <w:rPr>
          <w:rFonts w:ascii="Verdana" w:hAnsi="Verdana"/>
          <w:sz w:val="20"/>
          <w:szCs w:val="20"/>
          <w:lang w:val="en-GB"/>
        </w:rPr>
      </w:pPr>
      <w:r>
        <w:rPr>
          <w:rFonts w:ascii="Verdana" w:hAnsi="Verdana"/>
          <w:sz w:val="20"/>
          <w:szCs w:val="20"/>
          <w:lang w:val="en-GB"/>
        </w:rPr>
        <w:t>To contribute to the implementation of the EHEA Strategy “Mobility for better Learning” at national and European level and to assist in the reporting to Ministers in 2015 on the progress made;</w:t>
      </w:r>
    </w:p>
    <w:p w:rsidR="00A97169" w:rsidRPr="00D30EE1" w:rsidRDefault="00A97169" w:rsidP="00B07A9D">
      <w:pPr>
        <w:numPr>
          <w:ilvl w:val="0"/>
          <w:numId w:val="1"/>
        </w:numPr>
        <w:spacing w:after="0" w:line="312" w:lineRule="auto"/>
        <w:ind w:left="576" w:hanging="288"/>
        <w:jc w:val="both"/>
        <w:rPr>
          <w:rFonts w:ascii="Verdana" w:hAnsi="Verdana"/>
          <w:sz w:val="20"/>
          <w:szCs w:val="20"/>
          <w:lang w:val="en-GB"/>
        </w:rPr>
      </w:pPr>
      <w:r>
        <w:rPr>
          <w:rFonts w:ascii="Verdana" w:hAnsi="Verdana"/>
          <w:sz w:val="20"/>
          <w:szCs w:val="20"/>
          <w:lang w:val="en-GB"/>
        </w:rPr>
        <w:t>To support countries in their national implementation efforts regarding the mobility strategy;</w:t>
      </w:r>
    </w:p>
    <w:p w:rsidR="00A97169" w:rsidRPr="00D30EE1" w:rsidRDefault="00A97169" w:rsidP="00B07A9D">
      <w:pPr>
        <w:numPr>
          <w:ilvl w:val="0"/>
          <w:numId w:val="1"/>
        </w:numPr>
        <w:spacing w:after="0" w:line="312" w:lineRule="auto"/>
        <w:ind w:left="576" w:hanging="288"/>
        <w:jc w:val="both"/>
        <w:rPr>
          <w:rFonts w:ascii="Verdana" w:hAnsi="Verdana"/>
          <w:sz w:val="20"/>
          <w:szCs w:val="20"/>
          <w:lang w:val="en-GB"/>
        </w:rPr>
      </w:pPr>
      <w:r>
        <w:rPr>
          <w:rFonts w:ascii="Verdana" w:hAnsi="Verdana"/>
          <w:sz w:val="20"/>
          <w:szCs w:val="20"/>
          <w:lang w:val="en-GB"/>
        </w:rPr>
        <w:lastRenderedPageBreak/>
        <w:t>To contribute to the evaluation of the strategy “EHEA in a Global Setting” and to the further internationalisation of the EHEA;</w:t>
      </w:r>
    </w:p>
    <w:p w:rsidR="00A97169" w:rsidRPr="00D30EE1" w:rsidRDefault="00A97169" w:rsidP="00B07A9D">
      <w:pPr>
        <w:numPr>
          <w:ilvl w:val="0"/>
          <w:numId w:val="1"/>
        </w:numPr>
        <w:spacing w:after="0" w:line="312" w:lineRule="auto"/>
        <w:ind w:left="576" w:hanging="288"/>
        <w:jc w:val="both"/>
        <w:rPr>
          <w:rFonts w:ascii="Verdana" w:hAnsi="Verdana"/>
          <w:sz w:val="20"/>
          <w:szCs w:val="20"/>
          <w:lang w:val="en-GB"/>
        </w:rPr>
      </w:pPr>
      <w:r>
        <w:rPr>
          <w:rFonts w:ascii="Verdana" w:hAnsi="Verdana"/>
          <w:sz w:val="20"/>
          <w:szCs w:val="20"/>
          <w:lang w:val="en-GB"/>
        </w:rPr>
        <w:t>To review the Bologna Policy concept with the aim of further improving policy dialogue with non-EHEA countries.</w:t>
      </w:r>
    </w:p>
    <w:p w:rsidR="00A97169" w:rsidRPr="00D30EE1" w:rsidRDefault="00A97169" w:rsidP="00A97169">
      <w:pPr>
        <w:spacing w:after="0" w:line="312" w:lineRule="auto"/>
        <w:jc w:val="both"/>
        <w:rPr>
          <w:rFonts w:ascii="Verdana" w:hAnsi="Verdana"/>
          <w:sz w:val="20"/>
          <w:szCs w:val="20"/>
          <w:lang w:val="en-GB"/>
        </w:rPr>
      </w:pPr>
    </w:p>
    <w:p w:rsidR="00A97169" w:rsidRPr="00D30EE1" w:rsidRDefault="00A97169" w:rsidP="00A97169">
      <w:pPr>
        <w:spacing w:after="0" w:line="312" w:lineRule="auto"/>
        <w:jc w:val="both"/>
        <w:rPr>
          <w:rFonts w:ascii="Verdana" w:hAnsi="Verdana"/>
          <w:sz w:val="20"/>
          <w:szCs w:val="20"/>
          <w:lang w:val="en-GB"/>
        </w:rPr>
      </w:pPr>
      <w:r>
        <w:rPr>
          <w:rFonts w:ascii="Verdana" w:hAnsi="Verdana"/>
          <w:sz w:val="20"/>
          <w:szCs w:val="20"/>
          <w:lang w:val="en-GB"/>
        </w:rPr>
        <w:t xml:space="preserve">The </w:t>
      </w:r>
      <w:proofErr w:type="spellStart"/>
      <w:r>
        <w:rPr>
          <w:rFonts w:ascii="Verdana" w:hAnsi="Verdana"/>
          <w:sz w:val="20"/>
          <w:szCs w:val="20"/>
          <w:lang w:val="en-GB"/>
        </w:rPr>
        <w:t>ToR</w:t>
      </w:r>
      <w:proofErr w:type="spellEnd"/>
      <w:r>
        <w:rPr>
          <w:rFonts w:ascii="Verdana" w:hAnsi="Verdana"/>
          <w:sz w:val="20"/>
          <w:szCs w:val="20"/>
          <w:lang w:val="en-GB"/>
        </w:rPr>
        <w:t xml:space="preserve"> of the WG included the following specific tasks to be carried out by the WG members: </w:t>
      </w:r>
    </w:p>
    <w:p w:rsidR="00A97169" w:rsidRPr="00D30EE1" w:rsidRDefault="00A97169" w:rsidP="00A97169">
      <w:pPr>
        <w:spacing w:after="0" w:line="312" w:lineRule="auto"/>
        <w:jc w:val="both"/>
        <w:rPr>
          <w:rFonts w:ascii="Verdana" w:hAnsi="Verdana"/>
          <w:sz w:val="20"/>
          <w:szCs w:val="20"/>
          <w:lang w:val="en-GB"/>
        </w:rPr>
      </w:pPr>
    </w:p>
    <w:p w:rsidR="00A97169" w:rsidRPr="00D30EE1" w:rsidRDefault="00A97169" w:rsidP="00B07A9D">
      <w:pPr>
        <w:numPr>
          <w:ilvl w:val="0"/>
          <w:numId w:val="1"/>
        </w:numPr>
        <w:spacing w:after="0" w:line="312" w:lineRule="auto"/>
        <w:ind w:left="576" w:hanging="288"/>
        <w:jc w:val="both"/>
        <w:rPr>
          <w:rFonts w:ascii="Verdana" w:hAnsi="Verdana"/>
          <w:sz w:val="20"/>
          <w:szCs w:val="20"/>
          <w:lang w:val="en-GB"/>
        </w:rPr>
      </w:pPr>
      <w:r>
        <w:rPr>
          <w:rFonts w:ascii="Verdana" w:hAnsi="Verdana"/>
          <w:sz w:val="20"/>
          <w:szCs w:val="20"/>
          <w:lang w:val="en-GB"/>
        </w:rPr>
        <w:t xml:space="preserve">To propose to the BFUG guidelines on staff mobility, including a definition of “staff” and an analysis of current barriers to staff mobility, as well as a set of potential measures to overcome them; </w:t>
      </w:r>
    </w:p>
    <w:p w:rsidR="00A97169" w:rsidRPr="00D30EE1" w:rsidRDefault="00A97169" w:rsidP="00B07A9D">
      <w:pPr>
        <w:numPr>
          <w:ilvl w:val="0"/>
          <w:numId w:val="1"/>
        </w:numPr>
        <w:spacing w:after="0" w:line="312" w:lineRule="auto"/>
        <w:ind w:left="576" w:hanging="288"/>
        <w:jc w:val="both"/>
        <w:rPr>
          <w:rFonts w:ascii="Verdana" w:hAnsi="Verdana"/>
          <w:sz w:val="20"/>
          <w:szCs w:val="20"/>
          <w:lang w:val="en-GB"/>
        </w:rPr>
      </w:pPr>
      <w:r>
        <w:rPr>
          <w:rFonts w:ascii="Verdana" w:hAnsi="Verdana"/>
          <w:sz w:val="20"/>
          <w:szCs w:val="20"/>
          <w:lang w:val="en-GB"/>
        </w:rPr>
        <w:t>To contribute to the national implementation of selected measures of the mobility strategy by facilitating peer learning, exchange of good practices and regional cooperation;</w:t>
      </w:r>
    </w:p>
    <w:p w:rsidR="00A97169" w:rsidRPr="00D30EE1" w:rsidRDefault="00A97169" w:rsidP="00B07A9D">
      <w:pPr>
        <w:numPr>
          <w:ilvl w:val="0"/>
          <w:numId w:val="1"/>
        </w:numPr>
        <w:spacing w:after="0" w:line="312" w:lineRule="auto"/>
        <w:ind w:left="576" w:hanging="288"/>
        <w:jc w:val="both"/>
        <w:rPr>
          <w:rFonts w:ascii="Verdana" w:hAnsi="Verdana"/>
          <w:sz w:val="20"/>
          <w:szCs w:val="20"/>
          <w:lang w:val="en-GB"/>
        </w:rPr>
      </w:pPr>
      <w:r>
        <w:rPr>
          <w:rFonts w:ascii="Verdana" w:hAnsi="Verdana"/>
          <w:sz w:val="20"/>
          <w:szCs w:val="20"/>
          <w:lang w:val="en-GB"/>
        </w:rPr>
        <w:t>To examine ways of overcoming existing mobility obstacles, such as the application of transparency instruments and practices relating to joint programmes;</w:t>
      </w:r>
    </w:p>
    <w:p w:rsidR="00A97169" w:rsidRPr="00D30EE1" w:rsidRDefault="00A97169" w:rsidP="00B07A9D">
      <w:pPr>
        <w:numPr>
          <w:ilvl w:val="0"/>
          <w:numId w:val="1"/>
        </w:numPr>
        <w:spacing w:after="0" w:line="312" w:lineRule="auto"/>
        <w:ind w:left="576" w:hanging="288"/>
        <w:jc w:val="both"/>
        <w:rPr>
          <w:rFonts w:ascii="Verdana" w:hAnsi="Verdana"/>
          <w:sz w:val="20"/>
          <w:szCs w:val="20"/>
          <w:lang w:val="en-GB"/>
        </w:rPr>
      </w:pPr>
      <w:r>
        <w:rPr>
          <w:rFonts w:ascii="Verdana" w:hAnsi="Verdana"/>
          <w:sz w:val="20"/>
          <w:szCs w:val="20"/>
          <w:lang w:val="en-GB"/>
        </w:rPr>
        <w:t>To explore options of improving the information on study programmes and admission systems in the EHEA (measure 8 of the mobility strategy);</w:t>
      </w:r>
    </w:p>
    <w:p w:rsidR="00A97169" w:rsidRPr="00D30EE1" w:rsidRDefault="00A97169" w:rsidP="00B07A9D">
      <w:pPr>
        <w:numPr>
          <w:ilvl w:val="0"/>
          <w:numId w:val="1"/>
        </w:numPr>
        <w:spacing w:after="0" w:line="312" w:lineRule="auto"/>
        <w:ind w:left="576" w:hanging="288"/>
        <w:jc w:val="both"/>
        <w:rPr>
          <w:rFonts w:ascii="Verdana" w:hAnsi="Verdana"/>
          <w:sz w:val="20"/>
          <w:szCs w:val="20"/>
          <w:lang w:val="en-GB"/>
        </w:rPr>
      </w:pPr>
      <w:r>
        <w:rPr>
          <w:rFonts w:ascii="Verdana" w:hAnsi="Verdana"/>
          <w:sz w:val="20"/>
          <w:szCs w:val="20"/>
          <w:lang w:val="en-GB"/>
        </w:rPr>
        <w:t>To explore whether a common approach on the portability of grants, loans and scholarships is feasible and to be recommended;</w:t>
      </w:r>
    </w:p>
    <w:p w:rsidR="00A97169" w:rsidRPr="00D30EE1" w:rsidRDefault="00A97169" w:rsidP="00B07A9D">
      <w:pPr>
        <w:numPr>
          <w:ilvl w:val="0"/>
          <w:numId w:val="1"/>
        </w:numPr>
        <w:spacing w:after="0" w:line="312" w:lineRule="auto"/>
        <w:ind w:left="576" w:hanging="288"/>
        <w:jc w:val="both"/>
        <w:rPr>
          <w:rFonts w:ascii="Verdana" w:hAnsi="Verdana"/>
          <w:sz w:val="20"/>
          <w:szCs w:val="20"/>
          <w:lang w:val="en-GB"/>
        </w:rPr>
      </w:pPr>
      <w:r>
        <w:rPr>
          <w:rFonts w:ascii="Verdana" w:hAnsi="Verdana"/>
          <w:sz w:val="20"/>
          <w:szCs w:val="20"/>
          <w:lang w:val="en-GB"/>
        </w:rPr>
        <w:t>To contribute to the reporting exercise on the implementation of the mobility strategy, in particular by assisting the WG on reporting in drafting a suitable questionnaire as well as by proposing conclusions on the progress made and further action;</w:t>
      </w:r>
    </w:p>
    <w:p w:rsidR="00A97169" w:rsidRPr="00D30EE1" w:rsidRDefault="00A97169" w:rsidP="00B07A9D">
      <w:pPr>
        <w:numPr>
          <w:ilvl w:val="0"/>
          <w:numId w:val="1"/>
        </w:numPr>
        <w:spacing w:after="0" w:line="312" w:lineRule="auto"/>
        <w:ind w:left="576" w:hanging="288"/>
        <w:jc w:val="both"/>
        <w:rPr>
          <w:rFonts w:ascii="Verdana" w:hAnsi="Verdana"/>
          <w:sz w:val="20"/>
          <w:szCs w:val="20"/>
          <w:lang w:val="en-GB"/>
        </w:rPr>
      </w:pPr>
      <w:r>
        <w:rPr>
          <w:rFonts w:ascii="Verdana" w:hAnsi="Verdana"/>
          <w:sz w:val="20"/>
          <w:szCs w:val="20"/>
          <w:lang w:val="en-GB"/>
        </w:rPr>
        <w:t>To examine options of assessing and improving the international attractiveness of the EHEA inter alia by examining whether a target on mobility into the EHEA is feasible and to be recommended</w:t>
      </w:r>
      <w:r w:rsidRPr="00D30EE1">
        <w:rPr>
          <w:rFonts w:ascii="Verdana" w:hAnsi="Verdana"/>
          <w:sz w:val="20"/>
          <w:szCs w:val="20"/>
          <w:lang w:val="en-GB"/>
        </w:rPr>
        <w:t>;</w:t>
      </w:r>
    </w:p>
    <w:p w:rsidR="00A97169" w:rsidRPr="00D30EE1" w:rsidRDefault="00A97169" w:rsidP="00B07A9D">
      <w:pPr>
        <w:numPr>
          <w:ilvl w:val="0"/>
          <w:numId w:val="1"/>
        </w:numPr>
        <w:spacing w:after="0" w:line="312" w:lineRule="auto"/>
        <w:ind w:left="576" w:hanging="288"/>
        <w:jc w:val="both"/>
        <w:rPr>
          <w:rFonts w:ascii="Verdana" w:hAnsi="Verdana"/>
          <w:sz w:val="20"/>
          <w:szCs w:val="20"/>
          <w:lang w:val="en-GB"/>
        </w:rPr>
      </w:pPr>
      <w:r>
        <w:rPr>
          <w:rFonts w:ascii="Verdana" w:hAnsi="Verdana"/>
          <w:sz w:val="20"/>
          <w:szCs w:val="20"/>
          <w:lang w:val="en-GB"/>
        </w:rPr>
        <w:t>To propose to the BFUG guidelines for further internationalisation developments in the EHEA.</w:t>
      </w:r>
    </w:p>
    <w:p w:rsidR="00A97169" w:rsidRPr="00D30EE1" w:rsidRDefault="00A97169" w:rsidP="00A97169">
      <w:pPr>
        <w:tabs>
          <w:tab w:val="left" w:pos="5280"/>
        </w:tabs>
        <w:spacing w:after="0" w:line="312" w:lineRule="auto"/>
        <w:jc w:val="both"/>
        <w:rPr>
          <w:rFonts w:ascii="Verdana" w:hAnsi="Verdana" w:cs="Arial"/>
          <w:sz w:val="20"/>
          <w:szCs w:val="20"/>
          <w:lang w:val="en-GB"/>
        </w:rPr>
      </w:pPr>
    </w:p>
    <w:p w:rsidR="00A97169" w:rsidRDefault="00A97169" w:rsidP="00A97169">
      <w:pPr>
        <w:spacing w:line="312" w:lineRule="auto"/>
        <w:jc w:val="both"/>
        <w:rPr>
          <w:rFonts w:ascii="Verdana" w:hAnsi="Verdana"/>
          <w:b/>
          <w:sz w:val="20"/>
          <w:szCs w:val="20"/>
        </w:rPr>
      </w:pPr>
      <w:r>
        <w:rPr>
          <w:rFonts w:ascii="Verdana" w:hAnsi="Verdana" w:cs="Arial"/>
          <w:sz w:val="20"/>
          <w:szCs w:val="20"/>
          <w:lang w:val="en-GB"/>
        </w:rPr>
        <w:t xml:space="preserve">Last but not least, according to the BFUG Work Programme the M&amp;I WG, as one of the main BFUG structures, should suggest policy recommendations, based on the </w:t>
      </w:r>
      <w:proofErr w:type="spellStart"/>
      <w:r>
        <w:rPr>
          <w:rFonts w:ascii="Verdana" w:hAnsi="Verdana" w:cs="Arial"/>
          <w:sz w:val="20"/>
          <w:szCs w:val="20"/>
          <w:lang w:val="en-GB"/>
        </w:rPr>
        <w:t>ToR</w:t>
      </w:r>
      <w:proofErr w:type="spellEnd"/>
      <w:r>
        <w:rPr>
          <w:rFonts w:ascii="Verdana" w:hAnsi="Verdana" w:cs="Arial"/>
          <w:sz w:val="20"/>
          <w:szCs w:val="20"/>
          <w:lang w:val="en-GB"/>
        </w:rPr>
        <w:t xml:space="preserve"> specific tasks and the results of the work accomplished by the Network of Experts on Student Support (NESSIE), through the final report of the M&amp;I WG.</w:t>
      </w:r>
    </w:p>
    <w:p w:rsidR="00AC377C" w:rsidRPr="00A97169" w:rsidRDefault="00A97169" w:rsidP="003171FE">
      <w:pPr>
        <w:spacing w:line="312" w:lineRule="auto"/>
        <w:jc w:val="both"/>
        <w:rPr>
          <w:rFonts w:ascii="Verdana" w:hAnsi="Verdana"/>
          <w:b/>
        </w:rPr>
      </w:pPr>
      <w:r w:rsidRPr="00A97169">
        <w:rPr>
          <w:rFonts w:ascii="Verdana" w:hAnsi="Verdana"/>
          <w:b/>
        </w:rPr>
        <w:t>I.III</w:t>
      </w:r>
      <w:r w:rsidR="00AC377C" w:rsidRPr="00A97169">
        <w:rPr>
          <w:rFonts w:ascii="Verdana" w:hAnsi="Verdana"/>
          <w:b/>
        </w:rPr>
        <w:t xml:space="preserve"> Results </w:t>
      </w:r>
    </w:p>
    <w:p w:rsidR="000323AA" w:rsidRPr="00B416E1" w:rsidRDefault="000323AA" w:rsidP="000323AA">
      <w:pPr>
        <w:spacing w:line="312" w:lineRule="auto"/>
        <w:jc w:val="both"/>
        <w:rPr>
          <w:rFonts w:ascii="Verdana" w:hAnsi="Verdana" w:cs="Arial"/>
          <w:sz w:val="20"/>
          <w:szCs w:val="20"/>
        </w:rPr>
      </w:pPr>
      <w:r w:rsidRPr="00B416E1">
        <w:rPr>
          <w:rFonts w:ascii="Verdana" w:hAnsi="Verdana" w:cs="Arial"/>
          <w:sz w:val="20"/>
          <w:szCs w:val="20"/>
        </w:rPr>
        <w:t xml:space="preserve">The working group devoted special interest to the following issues: Staff mobility, mobility of teacher training students, quality in mobility, </w:t>
      </w:r>
      <w:r>
        <w:rPr>
          <w:rFonts w:ascii="Verdana" w:hAnsi="Verdana" w:cs="Arial"/>
          <w:sz w:val="20"/>
          <w:szCs w:val="20"/>
        </w:rPr>
        <w:t xml:space="preserve">common </w:t>
      </w:r>
      <w:r w:rsidRPr="00B416E1">
        <w:rPr>
          <w:rFonts w:ascii="Verdana" w:hAnsi="Verdana" w:cs="Arial"/>
          <w:sz w:val="20"/>
          <w:szCs w:val="20"/>
        </w:rPr>
        <w:t xml:space="preserve">description of study </w:t>
      </w:r>
      <w:proofErr w:type="spellStart"/>
      <w:r w:rsidRPr="00B416E1">
        <w:rPr>
          <w:rFonts w:ascii="Verdana" w:hAnsi="Verdana" w:cs="Arial"/>
          <w:sz w:val="20"/>
          <w:szCs w:val="20"/>
        </w:rPr>
        <w:t>programmes</w:t>
      </w:r>
      <w:proofErr w:type="spellEnd"/>
      <w:r w:rsidRPr="00B416E1">
        <w:rPr>
          <w:rFonts w:ascii="Verdana" w:hAnsi="Verdana" w:cs="Arial"/>
          <w:sz w:val="20"/>
          <w:szCs w:val="20"/>
        </w:rPr>
        <w:t>, portability of grants and loans</w:t>
      </w:r>
      <w:r>
        <w:rPr>
          <w:rFonts w:ascii="Verdana" w:hAnsi="Verdana" w:cs="Arial"/>
          <w:sz w:val="20"/>
          <w:szCs w:val="20"/>
        </w:rPr>
        <w:t xml:space="preserve">, a potential target for incoming students to the EHEA, quality assurance of joint </w:t>
      </w:r>
      <w:proofErr w:type="spellStart"/>
      <w:r>
        <w:rPr>
          <w:rFonts w:ascii="Verdana" w:hAnsi="Verdana" w:cs="Arial"/>
          <w:sz w:val="20"/>
          <w:szCs w:val="20"/>
        </w:rPr>
        <w:t>programmes</w:t>
      </w:r>
      <w:proofErr w:type="spellEnd"/>
      <w:r>
        <w:rPr>
          <w:rFonts w:ascii="Verdana" w:hAnsi="Verdana" w:cs="Arial"/>
          <w:sz w:val="20"/>
          <w:szCs w:val="20"/>
        </w:rPr>
        <w:t xml:space="preserve">, </w:t>
      </w:r>
      <w:r w:rsidRPr="00B416E1">
        <w:rPr>
          <w:rFonts w:ascii="Verdana" w:hAnsi="Verdana" w:cs="Arial"/>
          <w:sz w:val="20"/>
          <w:szCs w:val="20"/>
        </w:rPr>
        <w:t>mobility of underrepresented groups</w:t>
      </w:r>
      <w:r>
        <w:rPr>
          <w:rFonts w:ascii="Verdana" w:hAnsi="Verdana" w:cs="Arial"/>
          <w:sz w:val="20"/>
          <w:szCs w:val="20"/>
        </w:rPr>
        <w:t xml:space="preserve"> an</w:t>
      </w:r>
      <w:r w:rsidR="00A97169">
        <w:rPr>
          <w:rFonts w:ascii="Verdana" w:hAnsi="Verdana" w:cs="Arial"/>
          <w:sz w:val="20"/>
          <w:szCs w:val="20"/>
        </w:rPr>
        <w:t>d a general review of the 2007 “</w:t>
      </w:r>
      <w:r>
        <w:rPr>
          <w:rFonts w:ascii="Verdana" w:hAnsi="Verdana" w:cs="Arial"/>
          <w:sz w:val="20"/>
          <w:szCs w:val="20"/>
        </w:rPr>
        <w:t>EH</w:t>
      </w:r>
      <w:r w:rsidR="00A97169">
        <w:rPr>
          <w:rFonts w:ascii="Verdana" w:hAnsi="Verdana" w:cs="Arial"/>
          <w:sz w:val="20"/>
          <w:szCs w:val="20"/>
        </w:rPr>
        <w:t>EA in a global setting strategy”</w:t>
      </w:r>
      <w:r w:rsidRPr="00B416E1">
        <w:rPr>
          <w:rFonts w:ascii="Verdana" w:hAnsi="Verdana" w:cs="Arial"/>
          <w:sz w:val="20"/>
          <w:szCs w:val="20"/>
        </w:rPr>
        <w:t xml:space="preserve">. </w:t>
      </w:r>
      <w:r>
        <w:rPr>
          <w:rFonts w:ascii="Verdana" w:hAnsi="Verdana" w:cs="Arial"/>
          <w:sz w:val="20"/>
          <w:szCs w:val="20"/>
        </w:rPr>
        <w:t xml:space="preserve">For each topic, separate papers with </w:t>
      </w:r>
      <w:r>
        <w:rPr>
          <w:rFonts w:ascii="Verdana" w:hAnsi="Verdana" w:cs="Arial"/>
          <w:sz w:val="20"/>
          <w:szCs w:val="20"/>
        </w:rPr>
        <w:lastRenderedPageBreak/>
        <w:t xml:space="preserve">observations, recommendations and in some cases guidelines were produced. </w:t>
      </w:r>
      <w:r w:rsidRPr="00B416E1">
        <w:rPr>
          <w:rFonts w:ascii="Verdana" w:hAnsi="Verdana" w:cs="Arial"/>
          <w:sz w:val="20"/>
          <w:szCs w:val="20"/>
        </w:rPr>
        <w:t xml:space="preserve">The respective </w:t>
      </w:r>
      <w:r>
        <w:rPr>
          <w:rFonts w:ascii="Verdana" w:hAnsi="Verdana" w:cs="Arial"/>
          <w:sz w:val="20"/>
          <w:szCs w:val="20"/>
        </w:rPr>
        <w:t>documents</w:t>
      </w:r>
      <w:r w:rsidRPr="00B416E1">
        <w:rPr>
          <w:rFonts w:ascii="Verdana" w:hAnsi="Verdana" w:cs="Arial"/>
          <w:sz w:val="20"/>
          <w:szCs w:val="20"/>
        </w:rPr>
        <w:t xml:space="preserve"> are listed in the annex to this report. </w:t>
      </w:r>
    </w:p>
    <w:p w:rsidR="00D56355" w:rsidRPr="00B416E1" w:rsidRDefault="00D46FFA" w:rsidP="003171FE">
      <w:pPr>
        <w:spacing w:line="312" w:lineRule="auto"/>
        <w:jc w:val="both"/>
        <w:rPr>
          <w:rFonts w:ascii="Verdana" w:hAnsi="Verdana" w:cs="Arial"/>
          <w:sz w:val="20"/>
          <w:szCs w:val="20"/>
        </w:rPr>
      </w:pPr>
      <w:r>
        <w:rPr>
          <w:rFonts w:ascii="Verdana" w:hAnsi="Verdana" w:cs="Arial"/>
          <w:sz w:val="20"/>
          <w:szCs w:val="20"/>
        </w:rPr>
        <w:t>In addition, d</w:t>
      </w:r>
      <w:r w:rsidR="00AC377C" w:rsidRPr="00B416E1">
        <w:rPr>
          <w:rFonts w:ascii="Verdana" w:hAnsi="Verdana" w:cs="Arial"/>
          <w:sz w:val="20"/>
          <w:szCs w:val="20"/>
        </w:rPr>
        <w:t xml:space="preserve">uring the final session in Vienna, </w:t>
      </w:r>
      <w:r w:rsidR="00ED0E1E" w:rsidRPr="00B416E1">
        <w:rPr>
          <w:rFonts w:ascii="Verdana" w:hAnsi="Verdana" w:cs="Arial"/>
          <w:sz w:val="20"/>
          <w:szCs w:val="20"/>
        </w:rPr>
        <w:t xml:space="preserve">the working group </w:t>
      </w:r>
      <w:r w:rsidR="00D56355" w:rsidRPr="00B416E1">
        <w:rPr>
          <w:rFonts w:ascii="Verdana" w:hAnsi="Verdana" w:cs="Arial"/>
          <w:sz w:val="20"/>
          <w:szCs w:val="20"/>
        </w:rPr>
        <w:t>declared its</w:t>
      </w:r>
      <w:r w:rsidR="00ED0E1E" w:rsidRPr="00B416E1">
        <w:rPr>
          <w:rFonts w:ascii="Verdana" w:hAnsi="Verdana" w:cs="Arial"/>
          <w:sz w:val="20"/>
          <w:szCs w:val="20"/>
        </w:rPr>
        <w:t xml:space="preserve"> </w:t>
      </w:r>
      <w:r w:rsidR="00C41AB8" w:rsidRPr="00B416E1">
        <w:rPr>
          <w:rFonts w:ascii="Verdana" w:hAnsi="Verdana" w:cs="Arial"/>
          <w:sz w:val="20"/>
          <w:szCs w:val="20"/>
        </w:rPr>
        <w:t xml:space="preserve">general </w:t>
      </w:r>
      <w:r w:rsidR="00ED0E1E" w:rsidRPr="00B416E1">
        <w:rPr>
          <w:rFonts w:ascii="Verdana" w:hAnsi="Verdana" w:cs="Arial"/>
          <w:sz w:val="20"/>
          <w:szCs w:val="20"/>
        </w:rPr>
        <w:t xml:space="preserve">support </w:t>
      </w:r>
      <w:r w:rsidR="00F94F12" w:rsidRPr="00B416E1">
        <w:rPr>
          <w:rFonts w:ascii="Verdana" w:hAnsi="Verdana" w:cs="Arial"/>
          <w:sz w:val="20"/>
          <w:szCs w:val="20"/>
        </w:rPr>
        <w:t>to</w:t>
      </w:r>
      <w:r w:rsidR="00ED0E1E" w:rsidRPr="00B416E1">
        <w:rPr>
          <w:rFonts w:ascii="Verdana" w:hAnsi="Verdana" w:cs="Arial"/>
          <w:sz w:val="20"/>
          <w:szCs w:val="20"/>
        </w:rPr>
        <w:t xml:space="preserve"> the revised </w:t>
      </w:r>
      <w:r w:rsidR="00D56355" w:rsidRPr="00B416E1">
        <w:rPr>
          <w:rFonts w:ascii="Verdana" w:hAnsi="Verdana" w:cs="Arial"/>
          <w:sz w:val="20"/>
          <w:szCs w:val="20"/>
        </w:rPr>
        <w:t xml:space="preserve">draft of the </w:t>
      </w:r>
      <w:r w:rsidR="00ED0E1E" w:rsidRPr="00B416E1">
        <w:rPr>
          <w:rFonts w:ascii="Verdana" w:hAnsi="Verdana" w:cs="Arial"/>
          <w:sz w:val="20"/>
          <w:szCs w:val="20"/>
        </w:rPr>
        <w:t xml:space="preserve">European Approach </w:t>
      </w:r>
      <w:r w:rsidR="00D56355" w:rsidRPr="00B416E1">
        <w:rPr>
          <w:rFonts w:ascii="Verdana" w:hAnsi="Verdana" w:cs="Arial"/>
          <w:sz w:val="20"/>
          <w:szCs w:val="20"/>
        </w:rPr>
        <w:t>for</w:t>
      </w:r>
      <w:r w:rsidR="00ED0E1E" w:rsidRPr="00B416E1">
        <w:rPr>
          <w:rFonts w:ascii="Verdana" w:hAnsi="Verdana" w:cs="Arial"/>
          <w:sz w:val="20"/>
          <w:szCs w:val="20"/>
        </w:rPr>
        <w:t xml:space="preserve"> </w:t>
      </w:r>
      <w:r w:rsidR="000B6D3F">
        <w:rPr>
          <w:rFonts w:ascii="Verdana" w:hAnsi="Verdana" w:cs="Arial"/>
          <w:sz w:val="20"/>
          <w:szCs w:val="20"/>
        </w:rPr>
        <w:t>Quality Assurance</w:t>
      </w:r>
      <w:r w:rsidR="00ED0E1E" w:rsidRPr="00B416E1">
        <w:rPr>
          <w:rFonts w:ascii="Verdana" w:hAnsi="Verdana" w:cs="Arial"/>
          <w:sz w:val="20"/>
          <w:szCs w:val="20"/>
        </w:rPr>
        <w:t xml:space="preserve"> of Joint Degrees </w:t>
      </w:r>
      <w:r w:rsidR="00D56355" w:rsidRPr="00B416E1">
        <w:rPr>
          <w:rFonts w:ascii="Verdana" w:hAnsi="Verdana" w:cs="Arial"/>
          <w:sz w:val="20"/>
          <w:szCs w:val="20"/>
        </w:rPr>
        <w:t>which is expected to be endorsed by the Ministers in Yere</w:t>
      </w:r>
      <w:r w:rsidR="00C41AB8" w:rsidRPr="00B416E1">
        <w:rPr>
          <w:rFonts w:ascii="Verdana" w:hAnsi="Verdana" w:cs="Arial"/>
          <w:sz w:val="20"/>
          <w:szCs w:val="20"/>
        </w:rPr>
        <w:t>v</w:t>
      </w:r>
      <w:r w:rsidR="00D56355" w:rsidRPr="00B416E1">
        <w:rPr>
          <w:rFonts w:ascii="Verdana" w:hAnsi="Verdana" w:cs="Arial"/>
          <w:sz w:val="20"/>
          <w:szCs w:val="20"/>
        </w:rPr>
        <w:t xml:space="preserve">an. </w:t>
      </w:r>
    </w:p>
    <w:p w:rsidR="008A27B3" w:rsidRPr="00B416E1" w:rsidRDefault="008A27B3" w:rsidP="008A27B3">
      <w:pPr>
        <w:spacing w:line="312" w:lineRule="auto"/>
        <w:jc w:val="both"/>
        <w:rPr>
          <w:rFonts w:ascii="Verdana" w:hAnsi="Verdana" w:cs="Arial"/>
          <w:sz w:val="20"/>
          <w:szCs w:val="20"/>
        </w:rPr>
      </w:pPr>
      <w:r w:rsidRPr="00B416E1">
        <w:rPr>
          <w:rFonts w:ascii="Verdana" w:hAnsi="Verdana" w:cs="Arial"/>
          <w:sz w:val="20"/>
          <w:szCs w:val="20"/>
        </w:rPr>
        <w:t xml:space="preserve">The participants ranked the importance of the different issues with a view to the Yerevan Communiqué. Thus, </w:t>
      </w:r>
      <w:r w:rsidRPr="00B416E1">
        <w:rPr>
          <w:rFonts w:ascii="Verdana" w:hAnsi="Verdana" w:cs="Arial"/>
          <w:b/>
          <w:sz w:val="20"/>
          <w:szCs w:val="20"/>
        </w:rPr>
        <w:t>staff mobility</w:t>
      </w:r>
      <w:r w:rsidRPr="00B416E1">
        <w:rPr>
          <w:rFonts w:ascii="Verdana" w:hAnsi="Verdana" w:cs="Arial"/>
          <w:sz w:val="20"/>
          <w:szCs w:val="20"/>
        </w:rPr>
        <w:t xml:space="preserve"> has been prioritized as highly pertinent within the mobility strategy according to the Bologna agenda. The decisive aspect in this context is the </w:t>
      </w:r>
      <w:r>
        <w:rPr>
          <w:rFonts w:ascii="Verdana" w:hAnsi="Verdana" w:cs="Arial"/>
          <w:sz w:val="20"/>
          <w:szCs w:val="20"/>
        </w:rPr>
        <w:t>definition of staff mobility which</w:t>
      </w:r>
      <w:r w:rsidRPr="00B416E1">
        <w:rPr>
          <w:rFonts w:ascii="Verdana" w:hAnsi="Verdana" w:cs="Arial"/>
          <w:sz w:val="20"/>
          <w:szCs w:val="20"/>
        </w:rPr>
        <w:t xml:space="preserve"> </w:t>
      </w:r>
      <w:r>
        <w:rPr>
          <w:rFonts w:ascii="Verdana" w:hAnsi="Verdana" w:cs="Arial"/>
          <w:sz w:val="20"/>
          <w:szCs w:val="20"/>
        </w:rPr>
        <w:t xml:space="preserve">includes </w:t>
      </w:r>
      <w:r w:rsidRPr="00B416E1">
        <w:rPr>
          <w:rFonts w:ascii="Verdana" w:hAnsi="Verdana" w:cs="Arial"/>
          <w:sz w:val="20"/>
          <w:szCs w:val="20"/>
        </w:rPr>
        <w:t xml:space="preserve">all groups of staff in higher education systems – the academic as well as the administrative and technical staff. With its recommendations to enhance staff mobility, the working group pays tribute not only to individual mobility but also to the international quality of the higher education institutions as learning </w:t>
      </w:r>
      <w:r>
        <w:rPr>
          <w:rFonts w:ascii="Verdana" w:hAnsi="Verdana" w:cs="Arial"/>
          <w:sz w:val="20"/>
          <w:szCs w:val="20"/>
        </w:rPr>
        <w:t>institutions in a process of continuous development</w:t>
      </w:r>
      <w:r w:rsidRPr="00B416E1">
        <w:rPr>
          <w:rFonts w:ascii="Verdana" w:hAnsi="Verdana" w:cs="Arial"/>
          <w:sz w:val="20"/>
          <w:szCs w:val="20"/>
        </w:rPr>
        <w:t xml:space="preserve">. </w:t>
      </w:r>
    </w:p>
    <w:p w:rsidR="00AC377C" w:rsidRPr="00B416E1" w:rsidRDefault="00AC377C" w:rsidP="003171FE">
      <w:pPr>
        <w:spacing w:line="312" w:lineRule="auto"/>
        <w:jc w:val="both"/>
        <w:rPr>
          <w:rFonts w:ascii="Verdana" w:hAnsi="Verdana" w:cs="Arial"/>
          <w:sz w:val="20"/>
          <w:szCs w:val="20"/>
        </w:rPr>
      </w:pPr>
      <w:r w:rsidRPr="00B416E1">
        <w:rPr>
          <w:rFonts w:ascii="Verdana" w:hAnsi="Verdana" w:cs="Arial"/>
          <w:b/>
          <w:sz w:val="20"/>
          <w:szCs w:val="20"/>
        </w:rPr>
        <w:t>The mobility of teacher training students</w:t>
      </w:r>
      <w:r w:rsidRPr="00B416E1">
        <w:rPr>
          <w:rFonts w:ascii="Verdana" w:hAnsi="Verdana" w:cs="Arial"/>
          <w:sz w:val="20"/>
          <w:szCs w:val="20"/>
        </w:rPr>
        <w:t xml:space="preserve"> is of similar importance</w:t>
      </w:r>
      <w:r w:rsidR="002F213D" w:rsidRPr="00B416E1">
        <w:rPr>
          <w:rFonts w:ascii="Verdana" w:hAnsi="Verdana" w:cs="Arial"/>
          <w:sz w:val="20"/>
          <w:szCs w:val="20"/>
        </w:rPr>
        <w:t xml:space="preserve"> and it </w:t>
      </w:r>
      <w:r w:rsidR="00FC3FAD">
        <w:rPr>
          <w:rFonts w:ascii="Verdana" w:hAnsi="Verdana" w:cs="Arial"/>
          <w:sz w:val="20"/>
          <w:szCs w:val="20"/>
        </w:rPr>
        <w:t>should</w:t>
      </w:r>
      <w:r w:rsidR="002F213D" w:rsidRPr="00B416E1">
        <w:rPr>
          <w:rFonts w:ascii="Verdana" w:hAnsi="Verdana" w:cs="Arial"/>
          <w:sz w:val="20"/>
          <w:szCs w:val="20"/>
        </w:rPr>
        <w:t xml:space="preserve"> clearly</w:t>
      </w:r>
      <w:r w:rsidR="00FC3FAD">
        <w:rPr>
          <w:rFonts w:ascii="Verdana" w:hAnsi="Verdana" w:cs="Arial"/>
          <w:sz w:val="20"/>
          <w:szCs w:val="20"/>
        </w:rPr>
        <w:t xml:space="preserve"> be</w:t>
      </w:r>
      <w:r w:rsidR="002F213D" w:rsidRPr="00B416E1">
        <w:rPr>
          <w:rFonts w:ascii="Verdana" w:hAnsi="Verdana" w:cs="Arial"/>
          <w:sz w:val="20"/>
          <w:szCs w:val="20"/>
        </w:rPr>
        <w:t xml:space="preserve"> a political </w:t>
      </w:r>
      <w:r w:rsidR="00FC3FAD">
        <w:rPr>
          <w:rFonts w:ascii="Verdana" w:hAnsi="Verdana" w:cs="Arial"/>
          <w:sz w:val="20"/>
          <w:szCs w:val="20"/>
        </w:rPr>
        <w:t>priority</w:t>
      </w:r>
      <w:r w:rsidRPr="00B416E1">
        <w:rPr>
          <w:rFonts w:ascii="Verdana" w:hAnsi="Verdana" w:cs="Arial"/>
          <w:sz w:val="20"/>
          <w:szCs w:val="20"/>
        </w:rPr>
        <w:t xml:space="preserve">: </w:t>
      </w:r>
      <w:r w:rsidR="00FC3FAD">
        <w:rPr>
          <w:rFonts w:ascii="Verdana" w:hAnsi="Verdana" w:cs="Arial"/>
          <w:sz w:val="20"/>
          <w:szCs w:val="20"/>
        </w:rPr>
        <w:t>w</w:t>
      </w:r>
      <w:r w:rsidRPr="00B416E1">
        <w:rPr>
          <w:rFonts w:ascii="Verdana" w:hAnsi="Verdana" w:cs="Arial"/>
          <w:sz w:val="20"/>
          <w:szCs w:val="20"/>
        </w:rPr>
        <w:t xml:space="preserve">ith regard to the key role of teachers, the working group came up with a paper appealing for measures to facilitate and support the mobility of this particular group of students. Such a focus takes into account the importance of understanding and promoting the concept of internationalization in the classroom, also based on personal experience. </w:t>
      </w:r>
    </w:p>
    <w:p w:rsidR="00DE18F6" w:rsidRPr="00B416E1" w:rsidRDefault="00AC377C" w:rsidP="003171FE">
      <w:pPr>
        <w:spacing w:line="312" w:lineRule="auto"/>
        <w:jc w:val="both"/>
        <w:rPr>
          <w:rFonts w:ascii="Verdana" w:hAnsi="Verdana" w:cs="Arial"/>
          <w:sz w:val="20"/>
          <w:szCs w:val="20"/>
        </w:rPr>
      </w:pPr>
      <w:r w:rsidRPr="00B416E1">
        <w:rPr>
          <w:rFonts w:ascii="Verdana" w:hAnsi="Verdana" w:cs="Arial"/>
          <w:b/>
          <w:sz w:val="20"/>
          <w:szCs w:val="20"/>
        </w:rPr>
        <w:t>Quality in mobility</w:t>
      </w:r>
      <w:r w:rsidR="00C41AB8" w:rsidRPr="00B416E1">
        <w:rPr>
          <w:rFonts w:ascii="Verdana" w:hAnsi="Verdana" w:cs="Arial"/>
          <w:sz w:val="20"/>
          <w:szCs w:val="20"/>
        </w:rPr>
        <w:t xml:space="preserve"> was ranked next</w:t>
      </w:r>
      <w:r w:rsidR="007E0AEB" w:rsidRPr="00B416E1">
        <w:rPr>
          <w:rFonts w:ascii="Verdana" w:hAnsi="Verdana" w:cs="Arial"/>
          <w:sz w:val="20"/>
          <w:szCs w:val="20"/>
        </w:rPr>
        <w:t xml:space="preserve"> as mobility is undoubtedly on</w:t>
      </w:r>
      <w:r w:rsidR="00DE18F6" w:rsidRPr="00B416E1">
        <w:rPr>
          <w:rFonts w:ascii="Verdana" w:hAnsi="Verdana" w:cs="Arial"/>
          <w:sz w:val="20"/>
          <w:szCs w:val="20"/>
        </w:rPr>
        <w:t>e</w:t>
      </w:r>
      <w:r w:rsidR="007E0AEB" w:rsidRPr="00B416E1">
        <w:rPr>
          <w:rFonts w:ascii="Verdana" w:hAnsi="Verdana" w:cs="Arial"/>
          <w:sz w:val="20"/>
          <w:szCs w:val="20"/>
        </w:rPr>
        <w:t xml:space="preserve"> of the </w:t>
      </w:r>
      <w:r w:rsidR="00DE18F6" w:rsidRPr="00B416E1">
        <w:rPr>
          <w:rFonts w:ascii="Verdana" w:hAnsi="Verdana" w:cs="Arial"/>
          <w:sz w:val="20"/>
          <w:szCs w:val="20"/>
        </w:rPr>
        <w:t xml:space="preserve">main </w:t>
      </w:r>
      <w:r w:rsidR="007E0AEB" w:rsidRPr="00B416E1">
        <w:rPr>
          <w:rFonts w:ascii="Verdana" w:hAnsi="Verdana" w:cs="Arial"/>
          <w:sz w:val="20"/>
          <w:szCs w:val="20"/>
        </w:rPr>
        <w:t>pillars of the European higher education area</w:t>
      </w:r>
      <w:r w:rsidR="0099706A" w:rsidRPr="00B416E1">
        <w:rPr>
          <w:rFonts w:ascii="Verdana" w:hAnsi="Verdana" w:cs="Arial"/>
          <w:sz w:val="20"/>
          <w:szCs w:val="20"/>
        </w:rPr>
        <w:t xml:space="preserve">. </w:t>
      </w:r>
      <w:r w:rsidR="007E0AEB" w:rsidRPr="00B416E1">
        <w:rPr>
          <w:rFonts w:ascii="Verdana" w:hAnsi="Verdana" w:cs="Arial"/>
          <w:sz w:val="20"/>
          <w:szCs w:val="20"/>
        </w:rPr>
        <w:t>Based on the European Quality Charter for Mobility recommendations have been worked out to further develop good practice and to promote dialog</w:t>
      </w:r>
      <w:r w:rsidR="0017622C">
        <w:rPr>
          <w:rFonts w:ascii="Verdana" w:hAnsi="Verdana" w:cs="Arial"/>
          <w:sz w:val="20"/>
          <w:szCs w:val="20"/>
        </w:rPr>
        <w:t>ue</w:t>
      </w:r>
      <w:r w:rsidR="007E0AEB" w:rsidRPr="00B416E1">
        <w:rPr>
          <w:rFonts w:ascii="Verdana" w:hAnsi="Verdana" w:cs="Arial"/>
          <w:sz w:val="20"/>
          <w:szCs w:val="20"/>
        </w:rPr>
        <w:t xml:space="preserve"> within the EHEA. </w:t>
      </w:r>
      <w:r w:rsidR="00DE18F6" w:rsidRPr="00B416E1">
        <w:rPr>
          <w:rFonts w:ascii="Verdana" w:hAnsi="Verdana" w:cs="Arial"/>
          <w:sz w:val="20"/>
          <w:szCs w:val="20"/>
        </w:rPr>
        <w:t>The invaluable horizontal and academic skills and competences to be acquired through mobility experiences by students, teachers, researchers, and staff need to be secured through the best-possible information services,  as well as mentoring and support measures before, during, and after the mobility period.</w:t>
      </w:r>
      <w:r w:rsidR="00344FEE">
        <w:rPr>
          <w:rFonts w:ascii="Verdana" w:hAnsi="Verdana" w:cs="Arial"/>
          <w:sz w:val="20"/>
          <w:szCs w:val="20"/>
        </w:rPr>
        <w:t xml:space="preserve"> The recommendations do not constitute an exhaustive list of the projects and actions which exist but are meant to raise further political and institutional awareness of what quality of mobility means.</w:t>
      </w:r>
    </w:p>
    <w:p w:rsidR="007330C7" w:rsidRPr="00B416E1" w:rsidRDefault="007330C7" w:rsidP="003171FE">
      <w:pPr>
        <w:spacing w:line="312" w:lineRule="auto"/>
        <w:jc w:val="both"/>
        <w:rPr>
          <w:rFonts w:ascii="Verdana" w:hAnsi="Verdana" w:cs="Arial"/>
          <w:sz w:val="20"/>
          <w:szCs w:val="20"/>
        </w:rPr>
      </w:pPr>
      <w:r w:rsidRPr="00B416E1">
        <w:rPr>
          <w:rFonts w:ascii="Verdana" w:hAnsi="Verdana" w:cs="Calibri"/>
          <w:color w:val="000000"/>
          <w:sz w:val="20"/>
          <w:szCs w:val="20"/>
          <w:lang w:val="en-GB"/>
        </w:rPr>
        <w:t xml:space="preserve">The recommendations on the </w:t>
      </w:r>
      <w:r w:rsidRPr="00B416E1">
        <w:rPr>
          <w:rFonts w:ascii="Verdana" w:hAnsi="Verdana" w:cs="Calibri"/>
          <w:b/>
          <w:color w:val="000000"/>
          <w:sz w:val="20"/>
          <w:szCs w:val="20"/>
          <w:lang w:val="en-GB"/>
        </w:rPr>
        <w:t>description of study programmes</w:t>
      </w:r>
      <w:r w:rsidRPr="00B416E1">
        <w:rPr>
          <w:rFonts w:ascii="Verdana" w:hAnsi="Verdana" w:cs="Calibri"/>
          <w:color w:val="000000"/>
          <w:sz w:val="20"/>
          <w:szCs w:val="20"/>
          <w:lang w:val="en-GB"/>
        </w:rPr>
        <w:t xml:space="preserve"> w</w:t>
      </w:r>
      <w:r w:rsidR="00F94F12" w:rsidRPr="00B416E1">
        <w:rPr>
          <w:rFonts w:ascii="Verdana" w:hAnsi="Verdana" w:cs="Calibri"/>
          <w:color w:val="000000"/>
          <w:sz w:val="20"/>
          <w:szCs w:val="20"/>
          <w:lang w:val="en-GB"/>
        </w:rPr>
        <w:t>ere</w:t>
      </w:r>
      <w:r w:rsidRPr="00B416E1">
        <w:rPr>
          <w:rFonts w:ascii="Verdana" w:hAnsi="Verdana" w:cs="Calibri"/>
          <w:color w:val="000000"/>
          <w:sz w:val="20"/>
          <w:szCs w:val="20"/>
          <w:lang w:val="en-GB"/>
        </w:rPr>
        <w:t xml:space="preserve"> adopted. </w:t>
      </w:r>
      <w:r w:rsidRPr="00B416E1">
        <w:rPr>
          <w:rFonts w:ascii="Verdana" w:hAnsi="Verdana"/>
          <w:color w:val="000000"/>
          <w:sz w:val="20"/>
          <w:szCs w:val="20"/>
          <w:lang w:val="en-GB"/>
        </w:rPr>
        <w:t xml:space="preserve">One of the main messages of the document is the need of harmonization of </w:t>
      </w:r>
      <w:r w:rsidR="00F94F12" w:rsidRPr="00B416E1">
        <w:rPr>
          <w:rFonts w:ascii="Verdana" w:hAnsi="Verdana"/>
          <w:color w:val="000000"/>
          <w:sz w:val="20"/>
          <w:szCs w:val="20"/>
          <w:lang w:val="en-GB"/>
        </w:rPr>
        <w:t xml:space="preserve">the </w:t>
      </w:r>
      <w:r w:rsidRPr="00B416E1">
        <w:rPr>
          <w:rFonts w:ascii="Verdana" w:hAnsi="Verdana"/>
          <w:color w:val="000000"/>
          <w:sz w:val="20"/>
          <w:szCs w:val="20"/>
          <w:lang w:val="en-GB"/>
        </w:rPr>
        <w:t xml:space="preserve">provision </w:t>
      </w:r>
      <w:r w:rsidR="00F94F12" w:rsidRPr="00B416E1">
        <w:rPr>
          <w:rFonts w:ascii="Verdana" w:hAnsi="Verdana"/>
          <w:color w:val="000000"/>
          <w:sz w:val="20"/>
          <w:szCs w:val="20"/>
          <w:lang w:val="en-GB"/>
        </w:rPr>
        <w:t xml:space="preserve">of information </w:t>
      </w:r>
      <w:r w:rsidRPr="00B416E1">
        <w:rPr>
          <w:rFonts w:ascii="Verdana" w:hAnsi="Verdana"/>
          <w:color w:val="000000"/>
          <w:sz w:val="20"/>
          <w:szCs w:val="20"/>
          <w:lang w:val="en-GB"/>
        </w:rPr>
        <w:t>on study programmes within the EHEA based on national</w:t>
      </w:r>
      <w:r w:rsidR="0017622C">
        <w:rPr>
          <w:rStyle w:val="FootnoteReference"/>
          <w:rFonts w:ascii="Verdana" w:hAnsi="Verdana"/>
          <w:color w:val="000000"/>
          <w:sz w:val="20"/>
          <w:szCs w:val="20"/>
          <w:lang w:val="en-GB"/>
        </w:rPr>
        <w:footnoteReference w:id="1"/>
      </w:r>
      <w:r w:rsidRPr="00B416E1">
        <w:rPr>
          <w:rFonts w:ascii="Verdana" w:hAnsi="Verdana"/>
          <w:color w:val="000000"/>
          <w:sz w:val="20"/>
          <w:szCs w:val="20"/>
          <w:lang w:val="en-GB"/>
        </w:rPr>
        <w:t xml:space="preserve"> databases. The idea is to </w:t>
      </w:r>
      <w:r w:rsidR="00F94F12" w:rsidRPr="00B416E1">
        <w:rPr>
          <w:rFonts w:ascii="Verdana" w:hAnsi="Verdana"/>
          <w:color w:val="000000"/>
          <w:sz w:val="20"/>
          <w:szCs w:val="20"/>
          <w:lang w:val="en-GB"/>
        </w:rPr>
        <w:t xml:space="preserve">propose a common structure of national data bases giving useful information to </w:t>
      </w:r>
      <w:r w:rsidRPr="00B416E1">
        <w:rPr>
          <w:rFonts w:ascii="Verdana" w:hAnsi="Verdana"/>
          <w:color w:val="000000"/>
          <w:sz w:val="20"/>
          <w:szCs w:val="20"/>
          <w:lang w:val="en-GB"/>
        </w:rPr>
        <w:t>cover the complete journey of a potential international student from the very first contact with the EHEA and national HE systems through admission and enrolment, learning and teaching processes and finally information on further studies and work opportunities.</w:t>
      </w:r>
    </w:p>
    <w:p w:rsidR="00AC377C" w:rsidRPr="00B416E1" w:rsidRDefault="00AC377C" w:rsidP="003171FE">
      <w:pPr>
        <w:spacing w:line="312" w:lineRule="auto"/>
        <w:jc w:val="both"/>
        <w:rPr>
          <w:rFonts w:ascii="Verdana" w:hAnsi="Verdana" w:cs="Arial"/>
          <w:sz w:val="20"/>
          <w:szCs w:val="20"/>
        </w:rPr>
      </w:pPr>
      <w:r w:rsidRPr="00B416E1">
        <w:rPr>
          <w:rFonts w:ascii="Verdana" w:hAnsi="Verdana" w:cs="Arial"/>
          <w:b/>
          <w:sz w:val="20"/>
          <w:szCs w:val="20"/>
        </w:rPr>
        <w:lastRenderedPageBreak/>
        <w:t>A target on incoming mobility of students from outside the EHEA into the EHEA</w:t>
      </w:r>
      <w:r w:rsidRPr="00B416E1">
        <w:rPr>
          <w:rFonts w:ascii="Verdana" w:hAnsi="Verdana" w:cs="Arial"/>
          <w:sz w:val="20"/>
          <w:szCs w:val="20"/>
        </w:rPr>
        <w:t xml:space="preserve"> </w:t>
      </w:r>
      <w:r w:rsidR="00DE18F6" w:rsidRPr="00B416E1">
        <w:rPr>
          <w:rFonts w:ascii="Verdana" w:hAnsi="Verdana" w:cs="Arial"/>
          <w:sz w:val="20"/>
          <w:szCs w:val="20"/>
        </w:rPr>
        <w:t xml:space="preserve">was discussed </w:t>
      </w:r>
      <w:r w:rsidR="003C402D" w:rsidRPr="00B416E1">
        <w:rPr>
          <w:rFonts w:ascii="Verdana" w:hAnsi="Verdana" w:cs="Arial"/>
          <w:sz w:val="20"/>
          <w:szCs w:val="20"/>
        </w:rPr>
        <w:t xml:space="preserve">to </w:t>
      </w:r>
      <w:r w:rsidR="00DD64DF" w:rsidRPr="00B416E1">
        <w:rPr>
          <w:rFonts w:ascii="Verdana" w:hAnsi="Verdana" w:cs="Arial"/>
          <w:sz w:val="20"/>
          <w:szCs w:val="20"/>
        </w:rPr>
        <w:t>enhance</w:t>
      </w:r>
      <w:r w:rsidR="003C402D" w:rsidRPr="00B416E1">
        <w:rPr>
          <w:rFonts w:ascii="Verdana" w:hAnsi="Verdana" w:cs="Arial"/>
          <w:sz w:val="20"/>
          <w:szCs w:val="20"/>
        </w:rPr>
        <w:t xml:space="preserve"> the attractiveness and </w:t>
      </w:r>
      <w:r w:rsidR="00DD64DF" w:rsidRPr="00B416E1">
        <w:rPr>
          <w:rFonts w:ascii="Verdana" w:hAnsi="Verdana" w:cs="Arial"/>
          <w:sz w:val="20"/>
          <w:szCs w:val="20"/>
        </w:rPr>
        <w:t xml:space="preserve">to increase </w:t>
      </w:r>
      <w:r w:rsidR="003C402D" w:rsidRPr="00B416E1">
        <w:rPr>
          <w:rFonts w:ascii="Verdana" w:hAnsi="Verdana" w:cs="Arial"/>
          <w:sz w:val="20"/>
          <w:szCs w:val="20"/>
        </w:rPr>
        <w:t>the diversity of the European higher education</w:t>
      </w:r>
      <w:r w:rsidR="00F94F12" w:rsidRPr="00B416E1">
        <w:rPr>
          <w:rFonts w:ascii="Verdana" w:hAnsi="Verdana" w:cs="Arial"/>
          <w:sz w:val="20"/>
          <w:szCs w:val="20"/>
        </w:rPr>
        <w:t xml:space="preserve"> </w:t>
      </w:r>
      <w:r w:rsidR="003C402D" w:rsidRPr="00B416E1">
        <w:rPr>
          <w:rFonts w:ascii="Verdana" w:hAnsi="Verdana" w:cs="Arial"/>
          <w:sz w:val="20"/>
          <w:szCs w:val="20"/>
        </w:rPr>
        <w:t xml:space="preserve">area. The discussion brought to the fore that a concerted action would be difficult just because of the diversity of higher education systems and the cultural settings. The idea now is to </w:t>
      </w:r>
      <w:r w:rsidR="00351177" w:rsidRPr="00B416E1">
        <w:rPr>
          <w:rFonts w:ascii="Verdana" w:hAnsi="Verdana" w:cs="Arial"/>
          <w:sz w:val="20"/>
          <w:szCs w:val="20"/>
        </w:rPr>
        <w:t>ask the EHEA countries to work out national targets for incoming students from outside the EHEA. At the same time Eurostat and national data collection agencies are call</w:t>
      </w:r>
      <w:r w:rsidR="00A1633D" w:rsidRPr="00B416E1">
        <w:rPr>
          <w:rFonts w:ascii="Verdana" w:hAnsi="Verdana" w:cs="Arial"/>
          <w:sz w:val="20"/>
          <w:szCs w:val="20"/>
        </w:rPr>
        <w:t>ed</w:t>
      </w:r>
      <w:r w:rsidR="00351177" w:rsidRPr="00B416E1">
        <w:rPr>
          <w:rFonts w:ascii="Verdana" w:hAnsi="Verdana" w:cs="Arial"/>
          <w:sz w:val="20"/>
          <w:szCs w:val="20"/>
        </w:rPr>
        <w:t xml:space="preserve"> upon to collect relevant data on incoming degree and credit mobility.</w:t>
      </w:r>
    </w:p>
    <w:p w:rsidR="009729C8" w:rsidRPr="00B416E1" w:rsidRDefault="009729C8" w:rsidP="009729C8">
      <w:pPr>
        <w:spacing w:line="312" w:lineRule="auto"/>
        <w:jc w:val="both"/>
        <w:rPr>
          <w:rFonts w:ascii="Verdana" w:hAnsi="Verdana" w:cs="Arial"/>
          <w:sz w:val="20"/>
          <w:szCs w:val="20"/>
        </w:rPr>
      </w:pPr>
      <w:r w:rsidRPr="00B416E1">
        <w:rPr>
          <w:rFonts w:ascii="Verdana" w:hAnsi="Verdana" w:cs="Arial"/>
          <w:b/>
          <w:sz w:val="20"/>
          <w:szCs w:val="20"/>
        </w:rPr>
        <w:t>Overcoming underrepresentation in student credit mobility</w:t>
      </w:r>
      <w:r w:rsidRPr="00B416E1">
        <w:rPr>
          <w:rFonts w:ascii="Verdana" w:hAnsi="Verdana" w:cs="Arial"/>
          <w:sz w:val="20"/>
          <w:szCs w:val="20"/>
        </w:rPr>
        <w:t xml:space="preserve"> is another challenge which needs to be met to avoid the loss of much-needed talent in fighting future problems such as sustainable sources of energy, inter-cultural conflicts, or changes in demographic development, etc. A</w:t>
      </w:r>
      <w:r>
        <w:rPr>
          <w:rFonts w:ascii="Verdana" w:hAnsi="Verdana" w:cs="Arial"/>
          <w:sz w:val="20"/>
          <w:szCs w:val="20"/>
        </w:rPr>
        <w:t>n Austrian</w:t>
      </w:r>
      <w:r w:rsidRPr="00B416E1">
        <w:rPr>
          <w:rFonts w:ascii="Verdana" w:hAnsi="Verdana" w:cs="Arial"/>
          <w:sz w:val="20"/>
          <w:szCs w:val="20"/>
        </w:rPr>
        <w:t xml:space="preserve"> study has identified 3 groups (older students, students from a low parental educational background, and students with delayed transition into higher education. Relevant data need to be collected and further groups of underrepresented groups, e.g. students with migrant background or </w:t>
      </w:r>
      <w:r>
        <w:rPr>
          <w:rFonts w:ascii="Verdana" w:hAnsi="Verdana" w:cs="Arial"/>
          <w:sz w:val="20"/>
          <w:szCs w:val="20"/>
        </w:rPr>
        <w:t>“</w:t>
      </w:r>
      <w:r w:rsidRPr="00B416E1">
        <w:rPr>
          <w:rFonts w:ascii="Verdana" w:hAnsi="Verdana" w:cs="Arial"/>
          <w:sz w:val="20"/>
          <w:szCs w:val="20"/>
        </w:rPr>
        <w:t>second-chance</w:t>
      </w:r>
      <w:r>
        <w:rPr>
          <w:rFonts w:ascii="Verdana" w:hAnsi="Verdana" w:cs="Arial"/>
          <w:sz w:val="20"/>
          <w:szCs w:val="20"/>
        </w:rPr>
        <w:t>”</w:t>
      </w:r>
      <w:r w:rsidRPr="00B416E1">
        <w:rPr>
          <w:rFonts w:ascii="Verdana" w:hAnsi="Verdana" w:cs="Arial"/>
          <w:sz w:val="20"/>
          <w:szCs w:val="20"/>
        </w:rPr>
        <w:t xml:space="preserve"> students need to be identified and remedial measures ought to be taken.</w:t>
      </w:r>
    </w:p>
    <w:p w:rsidR="009729C8" w:rsidRPr="00B416E1" w:rsidRDefault="009729C8" w:rsidP="009729C8">
      <w:pPr>
        <w:spacing w:line="312" w:lineRule="auto"/>
        <w:jc w:val="both"/>
        <w:rPr>
          <w:rFonts w:ascii="Verdana" w:hAnsi="Verdana"/>
          <w:sz w:val="20"/>
          <w:szCs w:val="20"/>
        </w:rPr>
      </w:pPr>
      <w:r w:rsidRPr="00B416E1">
        <w:rPr>
          <w:rFonts w:ascii="Verdana" w:hAnsi="Verdana"/>
          <w:sz w:val="20"/>
          <w:szCs w:val="20"/>
        </w:rPr>
        <w:t xml:space="preserve">The discussions about the </w:t>
      </w:r>
      <w:r w:rsidRPr="00B416E1">
        <w:rPr>
          <w:rFonts w:ascii="Verdana" w:hAnsi="Verdana"/>
          <w:b/>
          <w:sz w:val="20"/>
          <w:szCs w:val="20"/>
        </w:rPr>
        <w:t>portability of financial student support</w:t>
      </w:r>
      <w:r w:rsidRPr="00B416E1">
        <w:rPr>
          <w:rFonts w:ascii="Verdana" w:hAnsi="Verdana"/>
          <w:sz w:val="20"/>
          <w:szCs w:val="20"/>
        </w:rPr>
        <w:t xml:space="preserve"> culminated in guidelines</w:t>
      </w:r>
      <w:r>
        <w:rPr>
          <w:rFonts w:ascii="Verdana" w:hAnsi="Verdana"/>
          <w:sz w:val="20"/>
          <w:szCs w:val="20"/>
        </w:rPr>
        <w:t xml:space="preserve"> for further implementation.</w:t>
      </w:r>
      <w:r w:rsidRPr="00B416E1">
        <w:rPr>
          <w:rFonts w:ascii="Verdana" w:hAnsi="Verdana"/>
          <w:sz w:val="20"/>
          <w:szCs w:val="20"/>
        </w:rPr>
        <w:t xml:space="preserve"> </w:t>
      </w:r>
      <w:r>
        <w:rPr>
          <w:rFonts w:ascii="Verdana" w:hAnsi="Verdana"/>
          <w:sz w:val="20"/>
          <w:szCs w:val="20"/>
        </w:rPr>
        <w:t>Their aim is the full portability of financial student support within the EHEA based on a fair sharing of financial costs between the home and the host country of a student.</w:t>
      </w:r>
      <w:r w:rsidRPr="00B416E1">
        <w:rPr>
          <w:rFonts w:ascii="Verdana" w:hAnsi="Verdana"/>
          <w:sz w:val="20"/>
          <w:szCs w:val="20"/>
        </w:rPr>
        <w:t xml:space="preserve"> The guidelines offer an orientation framework, focusing primarily on learning from best practice on a voluntary base. </w:t>
      </w:r>
    </w:p>
    <w:p w:rsidR="00744088" w:rsidRDefault="00744088" w:rsidP="003171FE">
      <w:pPr>
        <w:spacing w:line="312" w:lineRule="auto"/>
        <w:jc w:val="both"/>
        <w:rPr>
          <w:rFonts w:ascii="Verdana" w:hAnsi="Verdana"/>
          <w:b/>
          <w:lang w:val="en-GB"/>
        </w:rPr>
      </w:pPr>
    </w:p>
    <w:p w:rsidR="00744088" w:rsidRPr="00744088" w:rsidRDefault="00744088" w:rsidP="003171FE">
      <w:pPr>
        <w:spacing w:line="312" w:lineRule="auto"/>
        <w:jc w:val="both"/>
        <w:rPr>
          <w:rFonts w:ascii="Verdana" w:hAnsi="Verdana"/>
          <w:b/>
          <w:lang w:val="en-GB"/>
        </w:rPr>
      </w:pPr>
      <w:r>
        <w:rPr>
          <w:rFonts w:ascii="Verdana" w:hAnsi="Verdana"/>
          <w:b/>
          <w:lang w:val="en-GB"/>
        </w:rPr>
        <w:t xml:space="preserve">I.IV </w:t>
      </w:r>
      <w:r w:rsidRPr="00744088">
        <w:rPr>
          <w:rFonts w:ascii="Verdana" w:hAnsi="Verdana"/>
          <w:b/>
          <w:lang w:val="en-GB"/>
        </w:rPr>
        <w:t>Proposals for the 2015 Yerevan Communiqué</w:t>
      </w:r>
    </w:p>
    <w:p w:rsidR="00AC377C" w:rsidRPr="003E0B79" w:rsidRDefault="00AC377C" w:rsidP="003171FE">
      <w:pPr>
        <w:spacing w:line="312" w:lineRule="auto"/>
        <w:jc w:val="both"/>
        <w:rPr>
          <w:rFonts w:ascii="Verdana" w:hAnsi="Verdana"/>
          <w:b/>
          <w:sz w:val="20"/>
          <w:szCs w:val="20"/>
          <w:lang w:val="en-GB"/>
        </w:rPr>
      </w:pPr>
      <w:r w:rsidRPr="00B416E1">
        <w:rPr>
          <w:rFonts w:ascii="Verdana" w:hAnsi="Verdana"/>
          <w:b/>
          <w:sz w:val="20"/>
          <w:szCs w:val="20"/>
          <w:lang w:val="en-GB"/>
        </w:rPr>
        <w:t xml:space="preserve">The results of the working process on “Mobility and Internationalization” will feed into the </w:t>
      </w:r>
      <w:r w:rsidR="008D0F2C" w:rsidRPr="00B416E1">
        <w:rPr>
          <w:rFonts w:ascii="Verdana" w:hAnsi="Verdana"/>
          <w:b/>
          <w:sz w:val="20"/>
          <w:szCs w:val="20"/>
          <w:lang w:val="en-GB"/>
        </w:rPr>
        <w:t xml:space="preserve">following proposals for </w:t>
      </w:r>
      <w:r w:rsidRPr="00B416E1">
        <w:rPr>
          <w:rFonts w:ascii="Verdana" w:hAnsi="Verdana"/>
          <w:b/>
          <w:sz w:val="20"/>
          <w:szCs w:val="20"/>
          <w:lang w:val="en-GB"/>
        </w:rPr>
        <w:t>the 2015 Yere</w:t>
      </w:r>
      <w:r w:rsidR="007330C7" w:rsidRPr="00B416E1">
        <w:rPr>
          <w:rFonts w:ascii="Verdana" w:hAnsi="Verdana"/>
          <w:b/>
          <w:sz w:val="20"/>
          <w:szCs w:val="20"/>
          <w:lang w:val="en-GB"/>
        </w:rPr>
        <w:t>v</w:t>
      </w:r>
      <w:r w:rsidRPr="00B416E1">
        <w:rPr>
          <w:rFonts w:ascii="Verdana" w:hAnsi="Verdana"/>
          <w:b/>
          <w:sz w:val="20"/>
          <w:szCs w:val="20"/>
          <w:lang w:val="en-GB"/>
        </w:rPr>
        <w:t>an Communiqué:</w:t>
      </w:r>
    </w:p>
    <w:p w:rsidR="008D0F2C" w:rsidRPr="008D0F2C" w:rsidRDefault="008D0F2C" w:rsidP="003171FE">
      <w:pPr>
        <w:autoSpaceDE w:val="0"/>
        <w:autoSpaceDN w:val="0"/>
        <w:adjustRightInd w:val="0"/>
        <w:spacing w:line="312" w:lineRule="auto"/>
        <w:jc w:val="both"/>
        <w:rPr>
          <w:rFonts w:ascii="Verdana" w:hAnsi="Verdana" w:cs="Calibri,Bold"/>
          <w:b/>
          <w:bCs/>
          <w:sz w:val="20"/>
          <w:szCs w:val="20"/>
        </w:rPr>
      </w:pPr>
      <w:r w:rsidRPr="008D0F2C">
        <w:rPr>
          <w:rFonts w:ascii="Verdana" w:hAnsi="Verdana" w:cs="Calibri,Bold"/>
          <w:b/>
          <w:bCs/>
          <w:sz w:val="20"/>
          <w:szCs w:val="20"/>
        </w:rPr>
        <w:t>Staff Mobility</w:t>
      </w:r>
    </w:p>
    <w:p w:rsidR="0073354E" w:rsidRDefault="0073354E" w:rsidP="0073354E">
      <w:pPr>
        <w:spacing w:after="0" w:line="312" w:lineRule="auto"/>
        <w:jc w:val="both"/>
        <w:rPr>
          <w:rFonts w:ascii="Verdana" w:eastAsia="Times New Roman" w:hAnsi="Verdana" w:cs="Calibri"/>
          <w:color w:val="000000"/>
          <w:sz w:val="20"/>
          <w:szCs w:val="20"/>
          <w:lang w:val="en-IE"/>
        </w:rPr>
      </w:pPr>
      <w:r w:rsidRPr="008D0F2C">
        <w:rPr>
          <w:rFonts w:ascii="Verdana" w:eastAsia="Times New Roman" w:hAnsi="Verdana" w:cs="Calibri"/>
          <w:color w:val="000000"/>
          <w:sz w:val="20"/>
          <w:szCs w:val="20"/>
          <w:lang w:val="en-IE"/>
        </w:rPr>
        <w:t xml:space="preserve">XXI century challenges for Higher Education will deeply transform institutions in the sector. High quality mobility of staff from higher education institutions contributes to develop research, teaching and learning but also management and administration. </w:t>
      </w:r>
      <w:r>
        <w:rPr>
          <w:rFonts w:ascii="Verdana" w:eastAsia="Times New Roman" w:hAnsi="Verdana" w:cs="Calibri"/>
          <w:color w:val="000000"/>
          <w:sz w:val="20"/>
          <w:szCs w:val="20"/>
          <w:lang w:val="en-IE"/>
        </w:rPr>
        <w:t xml:space="preserve">Staff mobility comprises all groups of staff – academic, administrative and technical staff. </w:t>
      </w:r>
      <w:r w:rsidRPr="008D0F2C">
        <w:rPr>
          <w:rFonts w:ascii="Verdana" w:eastAsia="Times New Roman" w:hAnsi="Verdana" w:cs="Calibri"/>
          <w:color w:val="000000"/>
          <w:sz w:val="20"/>
          <w:szCs w:val="20"/>
          <w:lang w:val="en-IE"/>
        </w:rPr>
        <w:t>It helps the EHEA to flourish through international cooperation and it is an opportunity to generate expertise and new added value services within institutions. Therefore, we reiterate our commitment to promote this mobility with the intention to make it an everyday reality and to turn it into an integral part of human resources development in our higher education institutions. We aim for a paradigm shift at all levels towards a more supporting environment for staff mobility on the base of the attached guidelines.</w:t>
      </w:r>
    </w:p>
    <w:p w:rsidR="003A217B" w:rsidRPr="008D0F2C" w:rsidRDefault="003A217B" w:rsidP="003171FE">
      <w:pPr>
        <w:spacing w:after="0" w:line="312" w:lineRule="auto"/>
        <w:jc w:val="both"/>
        <w:rPr>
          <w:rFonts w:ascii="Verdana" w:eastAsia="Times New Roman" w:hAnsi="Verdana" w:cs="Segoe UI"/>
          <w:color w:val="000000"/>
          <w:sz w:val="20"/>
          <w:szCs w:val="20"/>
        </w:rPr>
      </w:pPr>
    </w:p>
    <w:p w:rsidR="008D0F2C" w:rsidRDefault="008D0F2C" w:rsidP="003171FE">
      <w:pPr>
        <w:autoSpaceDE w:val="0"/>
        <w:autoSpaceDN w:val="0"/>
        <w:adjustRightInd w:val="0"/>
        <w:spacing w:after="0" w:line="312" w:lineRule="auto"/>
        <w:jc w:val="both"/>
        <w:rPr>
          <w:rFonts w:ascii="Verdana" w:hAnsi="Verdana" w:cs="Calibri"/>
          <w:sz w:val="20"/>
          <w:szCs w:val="20"/>
        </w:rPr>
      </w:pPr>
      <w:r w:rsidRPr="00D81742">
        <w:rPr>
          <w:rFonts w:ascii="Verdana" w:hAnsi="Verdana" w:cs="Calibri"/>
          <w:sz w:val="20"/>
          <w:szCs w:val="20"/>
        </w:rPr>
        <w:lastRenderedPageBreak/>
        <w:t>We ask Eurostat together with the relevant national data collectors in the EHEA to improve data</w:t>
      </w:r>
      <w:r>
        <w:rPr>
          <w:rFonts w:ascii="Verdana" w:hAnsi="Verdana" w:cs="Calibri"/>
          <w:sz w:val="20"/>
          <w:szCs w:val="20"/>
        </w:rPr>
        <w:t xml:space="preserve"> </w:t>
      </w:r>
      <w:r w:rsidRPr="00D81742">
        <w:rPr>
          <w:rFonts w:ascii="Verdana" w:hAnsi="Verdana" w:cs="Calibri"/>
          <w:sz w:val="20"/>
          <w:szCs w:val="20"/>
        </w:rPr>
        <w:t>collection on staff mobility in order to better assess its quantity and quality. On this basis, we ask the</w:t>
      </w:r>
      <w:r>
        <w:rPr>
          <w:rFonts w:ascii="Verdana" w:hAnsi="Verdana" w:cs="Calibri"/>
          <w:sz w:val="20"/>
          <w:szCs w:val="20"/>
        </w:rPr>
        <w:t xml:space="preserve"> BFU</w:t>
      </w:r>
      <w:r w:rsidRPr="00D81742">
        <w:rPr>
          <w:rFonts w:ascii="Verdana" w:hAnsi="Verdana" w:cs="Calibri"/>
          <w:sz w:val="20"/>
          <w:szCs w:val="20"/>
        </w:rPr>
        <w:t>G to monitor progress in the field of staff mobility and to report on it at the Ministerial</w:t>
      </w:r>
      <w:r>
        <w:rPr>
          <w:rFonts w:ascii="Verdana" w:hAnsi="Verdana" w:cs="Calibri"/>
          <w:sz w:val="20"/>
          <w:szCs w:val="20"/>
        </w:rPr>
        <w:t xml:space="preserve"> </w:t>
      </w:r>
      <w:r w:rsidRPr="00D81742">
        <w:rPr>
          <w:rFonts w:ascii="Verdana" w:hAnsi="Verdana" w:cs="Calibri"/>
          <w:sz w:val="20"/>
          <w:szCs w:val="20"/>
        </w:rPr>
        <w:t>Conference in 2020.</w:t>
      </w:r>
    </w:p>
    <w:p w:rsidR="008D0F2C" w:rsidRPr="008D0F2C" w:rsidRDefault="008D0F2C" w:rsidP="0044507F">
      <w:pPr>
        <w:spacing w:after="0" w:line="360" w:lineRule="auto"/>
        <w:rPr>
          <w:rFonts w:ascii="Verdana" w:eastAsia="Times New Roman" w:hAnsi="Verdana" w:cs="Segoe UI"/>
          <w:color w:val="000000"/>
          <w:sz w:val="20"/>
          <w:szCs w:val="20"/>
        </w:rPr>
      </w:pPr>
    </w:p>
    <w:p w:rsidR="008D0F2C" w:rsidRDefault="008D0F2C" w:rsidP="003171FE">
      <w:pPr>
        <w:spacing w:after="0" w:line="312" w:lineRule="auto"/>
        <w:jc w:val="both"/>
        <w:rPr>
          <w:rFonts w:ascii="Verdana" w:hAnsi="Verdana" w:cs="Tahoma"/>
          <w:b/>
          <w:sz w:val="20"/>
          <w:szCs w:val="20"/>
          <w:lang w:val="en-GB"/>
        </w:rPr>
      </w:pPr>
      <w:r w:rsidRPr="008D0F2C">
        <w:rPr>
          <w:rFonts w:ascii="Verdana" w:hAnsi="Verdana"/>
          <w:b/>
          <w:sz w:val="20"/>
          <w:szCs w:val="20"/>
        </w:rPr>
        <w:t>Mobility of teacher training students in the EHEA</w:t>
      </w:r>
      <w:r w:rsidRPr="008D0F2C">
        <w:rPr>
          <w:rFonts w:ascii="Verdana" w:hAnsi="Verdana" w:cs="Tahoma"/>
          <w:b/>
          <w:sz w:val="20"/>
          <w:szCs w:val="20"/>
          <w:lang w:val="en-GB"/>
        </w:rPr>
        <w:t xml:space="preserve"> </w:t>
      </w:r>
    </w:p>
    <w:p w:rsidR="003A217B" w:rsidRPr="008D0F2C" w:rsidRDefault="003A217B" w:rsidP="003171FE">
      <w:pPr>
        <w:spacing w:after="0" w:line="312" w:lineRule="auto"/>
        <w:jc w:val="both"/>
        <w:rPr>
          <w:rFonts w:ascii="Verdana" w:hAnsi="Verdana" w:cs="Tahoma"/>
          <w:b/>
          <w:sz w:val="20"/>
          <w:szCs w:val="20"/>
          <w:lang w:val="en-GB"/>
        </w:rPr>
      </w:pPr>
    </w:p>
    <w:p w:rsidR="005B77A4" w:rsidRPr="00C55C1F" w:rsidRDefault="005B77A4" w:rsidP="005B77A4">
      <w:pPr>
        <w:spacing w:after="0" w:line="312" w:lineRule="auto"/>
        <w:jc w:val="both"/>
        <w:rPr>
          <w:rFonts w:ascii="Verdana" w:hAnsi="Verdana"/>
          <w:sz w:val="20"/>
          <w:szCs w:val="20"/>
        </w:rPr>
      </w:pPr>
      <w:r w:rsidRPr="00C55C1F">
        <w:rPr>
          <w:rFonts w:ascii="Verdana" w:hAnsi="Verdana" w:cs="Arial"/>
          <w:sz w:val="20"/>
          <w:szCs w:val="20"/>
        </w:rPr>
        <w:t xml:space="preserve">We acknowledge the particular importance of mobility in teacher training because teacher training students will eventually become teachers. </w:t>
      </w:r>
      <w:r w:rsidRPr="00C55C1F">
        <w:rPr>
          <w:rFonts w:ascii="Verdana" w:hAnsi="Verdana" w:cs="Arial"/>
          <w:sz w:val="20"/>
          <w:szCs w:val="20"/>
          <w:lang w:val="en-GB"/>
        </w:rPr>
        <w:t xml:space="preserve">They will therefore serve in future as role model for pupils and students and to explain the world to future generations. </w:t>
      </w:r>
      <w:r w:rsidRPr="00C55C1F">
        <w:rPr>
          <w:rFonts w:ascii="Verdana" w:hAnsi="Verdana"/>
          <w:sz w:val="20"/>
          <w:szCs w:val="20"/>
        </w:rPr>
        <w:t xml:space="preserve">We commit to improving the framework conditions for such mobility in our national systems. We encourage our Higher Education Institutions to facilitate mobility in teacher training by inter alia designing curricula with mobility windows, offering joint </w:t>
      </w:r>
      <w:proofErr w:type="spellStart"/>
      <w:r w:rsidRPr="00C55C1F">
        <w:rPr>
          <w:rFonts w:ascii="Verdana" w:hAnsi="Verdana"/>
          <w:sz w:val="20"/>
          <w:szCs w:val="20"/>
        </w:rPr>
        <w:t>programmes</w:t>
      </w:r>
      <w:proofErr w:type="spellEnd"/>
      <w:r w:rsidRPr="00C55C1F">
        <w:rPr>
          <w:rFonts w:ascii="Verdana" w:hAnsi="Verdana"/>
          <w:sz w:val="20"/>
          <w:szCs w:val="20"/>
        </w:rPr>
        <w:t>, ensuring smooth and</w:t>
      </w:r>
      <w:r w:rsidR="005951AE" w:rsidRPr="005951AE">
        <w:rPr>
          <w:rFonts w:ascii="Verdana" w:hAnsi="Verdana"/>
          <w:sz w:val="20"/>
          <w:szCs w:val="20"/>
        </w:rPr>
        <w:t xml:space="preserve"> </w:t>
      </w:r>
      <w:r w:rsidR="005951AE" w:rsidRPr="00883C47">
        <w:rPr>
          <w:rFonts w:ascii="Verdana" w:hAnsi="Verdana"/>
          <w:sz w:val="20"/>
          <w:szCs w:val="20"/>
        </w:rPr>
        <w:t xml:space="preserve">fair recognition </w:t>
      </w:r>
      <w:r w:rsidR="005951AE" w:rsidRPr="00883C47">
        <w:rPr>
          <w:rFonts w:ascii="Verdana" w:hAnsi="Verdana"/>
          <w:sz w:val="20"/>
          <w:szCs w:val="20"/>
          <w:lang w:val="en-GB"/>
        </w:rPr>
        <w:t>of periods spent abroad as well as professional recognition. Moreover, HEI should be encouraged to promote funding programmes for the exchange of teaching assistants.</w:t>
      </w:r>
    </w:p>
    <w:p w:rsidR="008D0F2C" w:rsidRPr="008D0F2C" w:rsidRDefault="008D0F2C" w:rsidP="003171FE">
      <w:pPr>
        <w:spacing w:after="0" w:line="312" w:lineRule="auto"/>
        <w:jc w:val="both"/>
        <w:rPr>
          <w:rFonts w:ascii="Verdana" w:hAnsi="Verdana" w:cs="Tahoma"/>
          <w:b/>
          <w:sz w:val="20"/>
          <w:szCs w:val="20"/>
          <w:lang w:val="en-GB"/>
        </w:rPr>
      </w:pPr>
    </w:p>
    <w:p w:rsidR="008D0F2C" w:rsidRDefault="008D0F2C" w:rsidP="003171FE">
      <w:pPr>
        <w:spacing w:after="0" w:line="312" w:lineRule="auto"/>
        <w:jc w:val="both"/>
        <w:rPr>
          <w:rFonts w:ascii="Verdana" w:hAnsi="Verdana" w:cs="Tahoma"/>
          <w:b/>
          <w:sz w:val="20"/>
          <w:szCs w:val="20"/>
          <w:lang w:val="en-GB"/>
        </w:rPr>
      </w:pPr>
      <w:r w:rsidRPr="008D0F2C">
        <w:rPr>
          <w:rFonts w:ascii="Verdana" w:hAnsi="Verdana" w:cs="Tahoma"/>
          <w:b/>
          <w:sz w:val="20"/>
          <w:szCs w:val="20"/>
          <w:lang w:val="en-GB"/>
        </w:rPr>
        <w:t>Quality in Mobility</w:t>
      </w:r>
    </w:p>
    <w:p w:rsidR="003A217B" w:rsidRPr="008D0F2C" w:rsidRDefault="003A217B" w:rsidP="003171FE">
      <w:pPr>
        <w:spacing w:after="0" w:line="312" w:lineRule="auto"/>
        <w:jc w:val="both"/>
        <w:rPr>
          <w:rFonts w:ascii="Verdana" w:hAnsi="Verdana" w:cs="Tahoma"/>
          <w:b/>
          <w:sz w:val="20"/>
          <w:szCs w:val="20"/>
          <w:lang w:val="en-GB"/>
        </w:rPr>
      </w:pPr>
    </w:p>
    <w:p w:rsidR="00E56566" w:rsidRPr="008D0F2C" w:rsidRDefault="00E56566" w:rsidP="00E56566">
      <w:pPr>
        <w:spacing w:after="0" w:line="312" w:lineRule="auto"/>
        <w:jc w:val="both"/>
        <w:rPr>
          <w:rFonts w:ascii="Verdana" w:hAnsi="Verdana" w:cs="Tahoma"/>
          <w:sz w:val="20"/>
          <w:szCs w:val="20"/>
          <w:lang w:val="en-GB"/>
        </w:rPr>
      </w:pPr>
      <w:r w:rsidRPr="008D0F2C">
        <w:rPr>
          <w:rFonts w:ascii="Verdana" w:hAnsi="Verdana" w:cs="Tahoma"/>
          <w:sz w:val="20"/>
          <w:szCs w:val="20"/>
          <w:lang w:val="en-GB"/>
        </w:rPr>
        <w:t xml:space="preserve">We commit to support the internationalization of higher education by </w:t>
      </w:r>
      <w:r>
        <w:rPr>
          <w:rFonts w:ascii="Verdana" w:hAnsi="Verdana" w:cs="Tahoma"/>
          <w:sz w:val="20"/>
          <w:szCs w:val="20"/>
          <w:lang w:val="en-GB"/>
        </w:rPr>
        <w:t>promoting some ideas regarding how to define and implement quality mobility. This can entail</w:t>
      </w:r>
      <w:r w:rsidRPr="00D4522A">
        <w:rPr>
          <w:rFonts w:ascii="Verdana" w:hAnsi="Verdana" w:cs="Tahoma"/>
          <w:sz w:val="20"/>
          <w:szCs w:val="20"/>
          <w:lang w:val="en-GB"/>
        </w:rPr>
        <w:t xml:space="preserve"> </w:t>
      </w:r>
      <w:r w:rsidRPr="008D0F2C">
        <w:rPr>
          <w:rFonts w:ascii="Verdana" w:hAnsi="Verdana" w:cs="Tahoma"/>
          <w:sz w:val="20"/>
          <w:szCs w:val="20"/>
          <w:lang w:val="en-GB"/>
        </w:rPr>
        <w:t>guidance before, during, and after mobility by taking into account tailored personal needs and recent technical developments so as to develop further mentoring, support, reintegration guidance and feedback between all stakeholders involved.</w:t>
      </w:r>
      <w:r w:rsidR="00F3082B">
        <w:rPr>
          <w:rFonts w:ascii="Verdana" w:hAnsi="Verdana" w:cs="Tahoma"/>
          <w:sz w:val="20"/>
          <w:szCs w:val="20"/>
          <w:lang w:val="en-GB"/>
        </w:rPr>
        <w:t xml:space="preserve"> </w:t>
      </w:r>
      <w:r w:rsidRPr="008D0F2C">
        <w:rPr>
          <w:rFonts w:ascii="Verdana" w:hAnsi="Verdana" w:cs="Tahoma"/>
          <w:sz w:val="20"/>
          <w:szCs w:val="20"/>
          <w:lang w:val="en-GB"/>
        </w:rPr>
        <w:t xml:space="preserve">We further ensure to support the acquisition of competences such as foreign language knowledge, intercultural awareness, and other soft skills. </w:t>
      </w:r>
    </w:p>
    <w:p w:rsidR="003A217B" w:rsidRDefault="003A217B" w:rsidP="003171FE">
      <w:pPr>
        <w:spacing w:after="0" w:line="312" w:lineRule="auto"/>
        <w:jc w:val="both"/>
        <w:rPr>
          <w:rFonts w:ascii="Verdana" w:hAnsi="Verdana" w:cs="Tahoma"/>
          <w:sz w:val="20"/>
          <w:szCs w:val="20"/>
          <w:lang w:val="en-GB"/>
        </w:rPr>
      </w:pPr>
    </w:p>
    <w:p w:rsidR="008D0F2C" w:rsidRPr="008D0F2C" w:rsidRDefault="008D0F2C" w:rsidP="003171FE">
      <w:pPr>
        <w:spacing w:after="0" w:line="312" w:lineRule="auto"/>
        <w:jc w:val="both"/>
        <w:rPr>
          <w:rFonts w:ascii="Verdana" w:hAnsi="Verdana" w:cs="Tahoma"/>
          <w:sz w:val="20"/>
          <w:szCs w:val="20"/>
          <w:lang w:val="en-GB"/>
        </w:rPr>
      </w:pPr>
      <w:r w:rsidRPr="008D0F2C">
        <w:rPr>
          <w:rFonts w:ascii="Verdana" w:hAnsi="Verdana" w:cs="Tahoma"/>
          <w:sz w:val="20"/>
          <w:szCs w:val="20"/>
          <w:lang w:val="en-GB"/>
        </w:rPr>
        <w:t>We ask stakeholders to further develop good practice</w:t>
      </w:r>
      <w:r w:rsidR="00B47F27">
        <w:rPr>
          <w:rFonts w:ascii="Verdana" w:hAnsi="Verdana" w:cs="Tahoma"/>
          <w:sz w:val="20"/>
          <w:szCs w:val="20"/>
          <w:lang w:val="en-GB"/>
        </w:rPr>
        <w:t>s</w:t>
      </w:r>
      <w:r w:rsidRPr="008D0F2C">
        <w:rPr>
          <w:rFonts w:ascii="Verdana" w:hAnsi="Verdana" w:cs="Tahoma"/>
          <w:sz w:val="20"/>
          <w:szCs w:val="20"/>
          <w:lang w:val="en-GB"/>
        </w:rPr>
        <w:t xml:space="preserve"> in mobility and internationalization and to actively promote a dialog</w:t>
      </w:r>
      <w:r w:rsidR="00B47F27">
        <w:rPr>
          <w:rFonts w:ascii="Verdana" w:hAnsi="Verdana" w:cs="Tahoma"/>
          <w:sz w:val="20"/>
          <w:szCs w:val="20"/>
          <w:lang w:val="en-GB"/>
        </w:rPr>
        <w:t>ue</w:t>
      </w:r>
      <w:r w:rsidRPr="008D0F2C">
        <w:rPr>
          <w:rFonts w:ascii="Verdana" w:hAnsi="Verdana" w:cs="Tahoma"/>
          <w:sz w:val="20"/>
          <w:szCs w:val="20"/>
          <w:lang w:val="en-GB"/>
        </w:rPr>
        <w:t xml:space="preserve"> within the EHEA.</w:t>
      </w:r>
    </w:p>
    <w:p w:rsidR="008D0F2C" w:rsidRPr="008D0F2C" w:rsidRDefault="008D0F2C" w:rsidP="003171FE">
      <w:pPr>
        <w:spacing w:after="0" w:line="312" w:lineRule="auto"/>
        <w:jc w:val="both"/>
        <w:rPr>
          <w:rFonts w:ascii="Verdana" w:hAnsi="Verdana" w:cs="Tahoma"/>
          <w:b/>
          <w:sz w:val="20"/>
          <w:szCs w:val="20"/>
          <w:lang w:val="en-GB"/>
        </w:rPr>
      </w:pPr>
    </w:p>
    <w:p w:rsidR="008D0F2C" w:rsidRPr="008D0F2C" w:rsidRDefault="008D0F2C" w:rsidP="003171FE">
      <w:pPr>
        <w:spacing w:line="312" w:lineRule="auto"/>
        <w:jc w:val="both"/>
        <w:rPr>
          <w:rFonts w:ascii="Verdana" w:hAnsi="Verdana" w:cs="Tahoma"/>
          <w:b/>
          <w:sz w:val="20"/>
          <w:szCs w:val="20"/>
          <w:lang w:val="en-GB"/>
        </w:rPr>
      </w:pPr>
      <w:r w:rsidRPr="008D0F2C">
        <w:rPr>
          <w:rFonts w:ascii="Verdana" w:hAnsi="Verdana" w:cs="Tahoma"/>
          <w:b/>
          <w:sz w:val="20"/>
          <w:szCs w:val="20"/>
          <w:lang w:val="en-GB"/>
        </w:rPr>
        <w:t>Recommendations for overcoming underrepresentation in student credit mobility</w:t>
      </w:r>
    </w:p>
    <w:p w:rsidR="0022669C" w:rsidRDefault="0022669C" w:rsidP="0022669C">
      <w:pPr>
        <w:spacing w:after="0" w:line="312" w:lineRule="auto"/>
        <w:jc w:val="both"/>
        <w:rPr>
          <w:rFonts w:ascii="Verdana" w:hAnsi="Verdana" w:cs="Tahoma"/>
          <w:sz w:val="20"/>
          <w:szCs w:val="20"/>
          <w:lang w:val="en-GB"/>
        </w:rPr>
      </w:pPr>
      <w:r>
        <w:rPr>
          <w:rFonts w:ascii="Verdana" w:hAnsi="Verdana" w:cs="Tahoma"/>
          <w:sz w:val="20"/>
          <w:szCs w:val="20"/>
          <w:lang w:val="en-GB"/>
        </w:rPr>
        <w:t xml:space="preserve">Awareness of mobility obstacles for underrepresented student populations has been rising over the years. Great talents are lost, for example, from students with a migrant background, who might be brilliant but do not have the linguistic skills to full participate in study programs, or “second chance” students, who for reasons other than lack of scholastic aptitude could not follow a traditional learning path; however only a few EHEA countries have prepared specific reports and started to tackle the problem. No country can afford not harnessing these talents as they will be needed to cope with the challenges of the future. Thus we recommend further action at national or regional level to support research to </w:t>
      </w:r>
      <w:r>
        <w:rPr>
          <w:rFonts w:ascii="Verdana" w:hAnsi="Verdana" w:cs="Tahoma"/>
          <w:sz w:val="20"/>
          <w:szCs w:val="20"/>
          <w:lang w:val="en-GB"/>
        </w:rPr>
        <w:lastRenderedPageBreak/>
        <w:t>understand these phenomena in greater detail. Surveys catering to the need of national or regional demands are encouraged.</w:t>
      </w:r>
    </w:p>
    <w:p w:rsidR="0022669C" w:rsidRDefault="0022669C" w:rsidP="0022669C">
      <w:pPr>
        <w:spacing w:after="0" w:line="312" w:lineRule="auto"/>
        <w:jc w:val="both"/>
        <w:rPr>
          <w:rFonts w:ascii="Verdana" w:hAnsi="Verdana" w:cs="Tahoma"/>
          <w:sz w:val="20"/>
          <w:szCs w:val="20"/>
          <w:lang w:val="en-GB"/>
        </w:rPr>
      </w:pPr>
    </w:p>
    <w:p w:rsidR="008D0F2C" w:rsidRPr="008D0F2C" w:rsidRDefault="0022669C" w:rsidP="0022669C">
      <w:pPr>
        <w:spacing w:after="0" w:line="312" w:lineRule="auto"/>
        <w:jc w:val="both"/>
        <w:rPr>
          <w:rFonts w:ascii="Verdana" w:hAnsi="Verdana" w:cs="Tahoma"/>
          <w:sz w:val="20"/>
          <w:szCs w:val="20"/>
          <w:lang w:val="en-GB"/>
        </w:rPr>
      </w:pPr>
      <w:r>
        <w:rPr>
          <w:rFonts w:ascii="Verdana" w:hAnsi="Verdana" w:cs="Tahoma"/>
          <w:sz w:val="20"/>
          <w:szCs w:val="20"/>
          <w:lang w:val="en-GB"/>
        </w:rPr>
        <w:t>Data should not only focus on academic mobility but also on traineeships, summer schools and other forms of mobility including non-formal education. Analyses should include older students, students from a low parental education background or with delayed transition into higher education.  At a later stage surveys on students with a migrant background, second-chance students and others should be carried out.</w:t>
      </w:r>
    </w:p>
    <w:p w:rsidR="008D0F2C" w:rsidRDefault="008D0F2C" w:rsidP="003171FE">
      <w:pPr>
        <w:spacing w:after="0" w:line="312" w:lineRule="auto"/>
        <w:jc w:val="both"/>
        <w:rPr>
          <w:rFonts w:ascii="Verdana" w:hAnsi="Verdana" w:cs="Tahoma"/>
          <w:b/>
          <w:sz w:val="20"/>
          <w:szCs w:val="20"/>
          <w:lang w:val="en-GB"/>
        </w:rPr>
      </w:pPr>
    </w:p>
    <w:p w:rsidR="008D0F2C" w:rsidRDefault="008D0F2C" w:rsidP="003171FE">
      <w:pPr>
        <w:spacing w:after="0" w:line="312" w:lineRule="auto"/>
        <w:jc w:val="both"/>
        <w:rPr>
          <w:rFonts w:ascii="Verdana" w:hAnsi="Verdana" w:cs="Tahoma"/>
          <w:b/>
          <w:sz w:val="20"/>
          <w:szCs w:val="20"/>
          <w:lang w:val="en-GB"/>
        </w:rPr>
      </w:pPr>
      <w:r>
        <w:rPr>
          <w:rFonts w:ascii="Verdana" w:hAnsi="Verdana" w:cs="Tahoma"/>
          <w:b/>
          <w:sz w:val="20"/>
          <w:szCs w:val="20"/>
          <w:lang w:val="en-GB"/>
        </w:rPr>
        <w:t>Description of study programmes in the EHEA</w:t>
      </w:r>
    </w:p>
    <w:p w:rsidR="003A217B" w:rsidRDefault="003A217B" w:rsidP="003171FE">
      <w:pPr>
        <w:spacing w:after="0" w:line="312" w:lineRule="auto"/>
        <w:jc w:val="both"/>
        <w:rPr>
          <w:rFonts w:ascii="Verdana" w:hAnsi="Verdana" w:cs="Tahoma"/>
          <w:b/>
          <w:sz w:val="20"/>
          <w:szCs w:val="20"/>
          <w:lang w:val="en-GB"/>
        </w:rPr>
      </w:pPr>
    </w:p>
    <w:p w:rsidR="008D0F2C" w:rsidRPr="008E4942" w:rsidRDefault="00B153DF" w:rsidP="003171FE">
      <w:pPr>
        <w:spacing w:after="0" w:line="312" w:lineRule="auto"/>
        <w:jc w:val="both"/>
        <w:rPr>
          <w:rFonts w:ascii="Verdana" w:hAnsi="Verdana"/>
          <w:sz w:val="20"/>
          <w:szCs w:val="20"/>
        </w:rPr>
      </w:pPr>
      <w:r>
        <w:rPr>
          <w:rFonts w:ascii="Verdana" w:hAnsi="Verdana"/>
          <w:sz w:val="20"/>
          <w:szCs w:val="20"/>
        </w:rPr>
        <w:t>We a</w:t>
      </w:r>
      <w:r w:rsidR="008D0F2C" w:rsidRPr="008E4942">
        <w:rPr>
          <w:rFonts w:ascii="Verdana" w:hAnsi="Verdana"/>
          <w:sz w:val="20"/>
          <w:szCs w:val="20"/>
        </w:rPr>
        <w:t>cknowledg</w:t>
      </w:r>
      <w:r>
        <w:rPr>
          <w:rFonts w:ascii="Verdana" w:hAnsi="Verdana"/>
          <w:sz w:val="20"/>
          <w:szCs w:val="20"/>
        </w:rPr>
        <w:t>e</w:t>
      </w:r>
      <w:r w:rsidR="008D0F2C" w:rsidRPr="008E4942">
        <w:rPr>
          <w:rFonts w:ascii="Verdana" w:hAnsi="Verdana"/>
          <w:sz w:val="20"/>
          <w:szCs w:val="20"/>
        </w:rPr>
        <w:t xml:space="preserve"> the need to improve information about study </w:t>
      </w:r>
      <w:proofErr w:type="spellStart"/>
      <w:r w:rsidR="008D0F2C" w:rsidRPr="008E4942">
        <w:rPr>
          <w:rFonts w:ascii="Verdana" w:hAnsi="Verdana"/>
          <w:sz w:val="20"/>
          <w:szCs w:val="20"/>
        </w:rPr>
        <w:t>programmes</w:t>
      </w:r>
      <w:proofErr w:type="spellEnd"/>
      <w:r w:rsidR="008D0F2C" w:rsidRPr="008E4942">
        <w:rPr>
          <w:rFonts w:ascii="Verdana" w:hAnsi="Verdana"/>
          <w:sz w:val="20"/>
          <w:szCs w:val="20"/>
        </w:rPr>
        <w:t xml:space="preserve"> as a mean</w:t>
      </w:r>
      <w:r w:rsidR="000C60F8">
        <w:rPr>
          <w:rFonts w:ascii="Verdana" w:hAnsi="Verdana"/>
          <w:sz w:val="20"/>
          <w:szCs w:val="20"/>
        </w:rPr>
        <w:t>s</w:t>
      </w:r>
      <w:r w:rsidR="008D0F2C" w:rsidRPr="008E4942">
        <w:rPr>
          <w:rFonts w:ascii="Verdana" w:hAnsi="Verdana"/>
          <w:sz w:val="20"/>
          <w:szCs w:val="20"/>
        </w:rPr>
        <w:t xml:space="preserve"> to increase mobility and attractiveness of the EHEA</w:t>
      </w:r>
      <w:r>
        <w:rPr>
          <w:rFonts w:ascii="Verdana" w:hAnsi="Verdana"/>
          <w:sz w:val="20"/>
          <w:szCs w:val="20"/>
        </w:rPr>
        <w:t>.</w:t>
      </w:r>
      <w:r w:rsidR="008D0F2C" w:rsidRPr="008E4942">
        <w:rPr>
          <w:rFonts w:ascii="Verdana" w:hAnsi="Verdana"/>
          <w:sz w:val="20"/>
          <w:szCs w:val="20"/>
        </w:rPr>
        <w:t xml:space="preserve"> </w:t>
      </w:r>
      <w:r>
        <w:rPr>
          <w:rFonts w:ascii="Verdana" w:hAnsi="Verdana"/>
          <w:sz w:val="20"/>
          <w:szCs w:val="20"/>
        </w:rPr>
        <w:t>W</w:t>
      </w:r>
      <w:r w:rsidR="008D0F2C" w:rsidRPr="008E4942">
        <w:rPr>
          <w:rFonts w:ascii="Verdana" w:hAnsi="Verdana"/>
          <w:sz w:val="20"/>
          <w:szCs w:val="20"/>
        </w:rPr>
        <w:t xml:space="preserve">e commit to pursue in our countries the recommendations adopted by the BFUG on a common structure of National data bases describing the EHEA and National HE systems, including institutions, study </w:t>
      </w:r>
      <w:proofErr w:type="spellStart"/>
      <w:r w:rsidR="008D0F2C" w:rsidRPr="008E4942">
        <w:rPr>
          <w:rFonts w:ascii="Verdana" w:hAnsi="Verdana"/>
          <w:sz w:val="20"/>
          <w:szCs w:val="20"/>
        </w:rPr>
        <w:t>programmes</w:t>
      </w:r>
      <w:proofErr w:type="spellEnd"/>
      <w:r w:rsidR="008D0F2C" w:rsidRPr="008E4942">
        <w:rPr>
          <w:rFonts w:ascii="Verdana" w:hAnsi="Verdana"/>
          <w:sz w:val="20"/>
          <w:szCs w:val="20"/>
        </w:rPr>
        <w:t xml:space="preserve"> and student support services and structures. The structure of the information should help</w:t>
      </w:r>
      <w:r w:rsidR="00931630">
        <w:rPr>
          <w:rFonts w:ascii="Verdana" w:hAnsi="Verdana"/>
          <w:sz w:val="20"/>
          <w:szCs w:val="20"/>
        </w:rPr>
        <w:t xml:space="preserve"> </w:t>
      </w:r>
      <w:r w:rsidR="008D0F2C" w:rsidRPr="008E4942">
        <w:rPr>
          <w:rFonts w:ascii="Verdana" w:hAnsi="Verdana"/>
          <w:sz w:val="20"/>
          <w:szCs w:val="20"/>
        </w:rPr>
        <w:t>data providers</w:t>
      </w:r>
      <w:r w:rsidR="00FB43C0">
        <w:rPr>
          <w:rFonts w:ascii="Verdana" w:hAnsi="Verdana"/>
          <w:sz w:val="20"/>
          <w:szCs w:val="20"/>
        </w:rPr>
        <w:t>,</w:t>
      </w:r>
      <w:r w:rsidR="008D0F2C" w:rsidRPr="008E4942">
        <w:rPr>
          <w:rFonts w:ascii="Verdana" w:hAnsi="Verdana"/>
          <w:sz w:val="20"/>
          <w:szCs w:val="20"/>
        </w:rPr>
        <w:t xml:space="preserve"> data collectors and HE institutions </w:t>
      </w:r>
      <w:r w:rsidR="008D0F2C">
        <w:rPr>
          <w:rFonts w:ascii="Verdana" w:hAnsi="Verdana"/>
          <w:sz w:val="20"/>
          <w:szCs w:val="20"/>
        </w:rPr>
        <w:t>to increase transparency</w:t>
      </w:r>
      <w:r w:rsidR="00931630">
        <w:rPr>
          <w:rFonts w:ascii="Verdana" w:hAnsi="Verdana"/>
          <w:sz w:val="20"/>
          <w:szCs w:val="20"/>
        </w:rPr>
        <w:t xml:space="preserve">. </w:t>
      </w:r>
    </w:p>
    <w:p w:rsidR="008D0F2C" w:rsidRPr="000D7603" w:rsidRDefault="008D0F2C" w:rsidP="003171FE">
      <w:pPr>
        <w:spacing w:after="0" w:line="312" w:lineRule="auto"/>
        <w:jc w:val="both"/>
        <w:rPr>
          <w:rFonts w:ascii="Verdana" w:hAnsi="Verdana" w:cs="Tahoma"/>
          <w:sz w:val="20"/>
          <w:szCs w:val="20"/>
        </w:rPr>
      </w:pPr>
    </w:p>
    <w:p w:rsidR="008D0F2C" w:rsidRDefault="008D0F2C" w:rsidP="003171FE">
      <w:pPr>
        <w:spacing w:after="0" w:line="312" w:lineRule="auto"/>
        <w:jc w:val="both"/>
        <w:rPr>
          <w:rFonts w:ascii="Verdana" w:hAnsi="Verdana"/>
          <w:b/>
          <w:sz w:val="20"/>
          <w:szCs w:val="20"/>
          <w:lang w:val="en-GB"/>
        </w:rPr>
      </w:pPr>
      <w:r w:rsidRPr="000D7603">
        <w:rPr>
          <w:rFonts w:ascii="Verdana" w:hAnsi="Verdana"/>
          <w:b/>
          <w:sz w:val="20"/>
          <w:szCs w:val="20"/>
          <w:lang w:val="en-GB"/>
        </w:rPr>
        <w:t xml:space="preserve">A target on incoming mobility of students from outside the </w:t>
      </w:r>
      <w:r>
        <w:rPr>
          <w:rFonts w:ascii="Verdana" w:hAnsi="Verdana"/>
          <w:b/>
          <w:sz w:val="20"/>
          <w:szCs w:val="20"/>
          <w:lang w:val="en-GB"/>
        </w:rPr>
        <w:t>EHEA</w:t>
      </w:r>
      <w:r w:rsidRPr="000D7603">
        <w:rPr>
          <w:rFonts w:ascii="Verdana" w:hAnsi="Verdana"/>
          <w:b/>
          <w:sz w:val="20"/>
          <w:szCs w:val="20"/>
          <w:lang w:val="en-GB"/>
        </w:rPr>
        <w:t xml:space="preserve"> into the EHEA</w:t>
      </w:r>
    </w:p>
    <w:p w:rsidR="003A217B" w:rsidRDefault="003A217B" w:rsidP="003171FE">
      <w:pPr>
        <w:spacing w:after="0" w:line="312" w:lineRule="auto"/>
        <w:jc w:val="both"/>
        <w:rPr>
          <w:rFonts w:ascii="Verdana" w:hAnsi="Verdana"/>
          <w:b/>
          <w:sz w:val="20"/>
          <w:szCs w:val="20"/>
          <w:lang w:val="en-GB"/>
        </w:rPr>
      </w:pPr>
    </w:p>
    <w:p w:rsidR="008D0F2C" w:rsidRDefault="008D0F2C" w:rsidP="003171FE">
      <w:pPr>
        <w:spacing w:after="0" w:line="312" w:lineRule="auto"/>
        <w:jc w:val="both"/>
        <w:rPr>
          <w:rFonts w:ascii="Verdana" w:hAnsi="Verdana"/>
          <w:sz w:val="20"/>
          <w:szCs w:val="20"/>
        </w:rPr>
      </w:pPr>
      <w:r w:rsidRPr="000D7603">
        <w:rPr>
          <w:rFonts w:ascii="Verdana" w:hAnsi="Verdana"/>
          <w:sz w:val="20"/>
          <w:szCs w:val="20"/>
        </w:rPr>
        <w:t xml:space="preserve">Acknowledging the attractiveness of the EHEA as a diverse area of Higher Education and willing to share those benefits with students from the rest of the world while appreciating the exchange of knowledge as well as the contact with other cultures, we aim to increase the number of students enrolled in the EHEA who have obtained their prior qualification outside the EHEA. To this end we call on all EHEA countries to consider setting a national target for such incoming student mobility as part of their </w:t>
      </w:r>
      <w:proofErr w:type="spellStart"/>
      <w:r w:rsidRPr="000D7603">
        <w:rPr>
          <w:rFonts w:ascii="Verdana" w:hAnsi="Verdana"/>
          <w:sz w:val="20"/>
          <w:szCs w:val="20"/>
        </w:rPr>
        <w:t>internationalisation</w:t>
      </w:r>
      <w:proofErr w:type="spellEnd"/>
      <w:r w:rsidRPr="000D7603">
        <w:rPr>
          <w:rFonts w:ascii="Verdana" w:hAnsi="Verdana"/>
          <w:sz w:val="20"/>
          <w:szCs w:val="20"/>
        </w:rPr>
        <w:t xml:space="preserve"> strategies. </w:t>
      </w:r>
    </w:p>
    <w:p w:rsidR="00D76B07" w:rsidRPr="000D7603" w:rsidRDefault="00D76B07" w:rsidP="003171FE">
      <w:pPr>
        <w:spacing w:after="0" w:line="312" w:lineRule="auto"/>
        <w:jc w:val="both"/>
        <w:rPr>
          <w:rFonts w:ascii="Verdana" w:hAnsi="Verdana"/>
          <w:sz w:val="20"/>
          <w:szCs w:val="20"/>
        </w:rPr>
      </w:pPr>
    </w:p>
    <w:p w:rsidR="008D0F2C" w:rsidRPr="00D81742" w:rsidRDefault="008D0F2C" w:rsidP="003171FE">
      <w:pPr>
        <w:spacing w:after="0" w:line="312" w:lineRule="auto"/>
        <w:jc w:val="both"/>
        <w:rPr>
          <w:rFonts w:ascii="Verdana" w:hAnsi="Verdana"/>
          <w:sz w:val="20"/>
          <w:szCs w:val="20"/>
        </w:rPr>
      </w:pPr>
      <w:r w:rsidRPr="000D7603">
        <w:rPr>
          <w:rFonts w:ascii="Verdana" w:hAnsi="Verdana"/>
          <w:sz w:val="20"/>
          <w:szCs w:val="20"/>
        </w:rPr>
        <w:t>We ask Eurostat, in cooperation with the relevant national data collectors, to collect and report on data on incoming student mobility for degree as well as credit</w:t>
      </w:r>
      <w:r>
        <w:rPr>
          <w:rFonts w:ascii="Verdana" w:hAnsi="Verdana"/>
          <w:sz w:val="20"/>
          <w:szCs w:val="20"/>
        </w:rPr>
        <w:t xml:space="preserve"> </w:t>
      </w:r>
      <w:r w:rsidRPr="00D81742">
        <w:rPr>
          <w:rFonts w:ascii="Verdana" w:hAnsi="Verdana"/>
          <w:sz w:val="20"/>
          <w:szCs w:val="20"/>
        </w:rPr>
        <w:t>purpose</w:t>
      </w:r>
      <w:r w:rsidR="004F25FD">
        <w:rPr>
          <w:rFonts w:ascii="Verdana" w:hAnsi="Verdana"/>
          <w:sz w:val="20"/>
          <w:szCs w:val="20"/>
        </w:rPr>
        <w:t>s</w:t>
      </w:r>
      <w:r w:rsidRPr="00D81742">
        <w:rPr>
          <w:rFonts w:ascii="Verdana" w:hAnsi="Verdana"/>
          <w:sz w:val="20"/>
          <w:szCs w:val="20"/>
        </w:rPr>
        <w:t xml:space="preserve"> from outside the EHEA</w:t>
      </w:r>
      <w:r w:rsidR="00C64495">
        <w:rPr>
          <w:rFonts w:ascii="Verdana" w:hAnsi="Verdana"/>
          <w:sz w:val="20"/>
          <w:szCs w:val="20"/>
        </w:rPr>
        <w:t xml:space="preserve"> on an annual and standard basis</w:t>
      </w:r>
      <w:r w:rsidRPr="00D81742">
        <w:rPr>
          <w:rFonts w:ascii="Verdana" w:hAnsi="Verdana"/>
          <w:sz w:val="20"/>
          <w:szCs w:val="20"/>
        </w:rPr>
        <w:t>.</w:t>
      </w:r>
    </w:p>
    <w:p w:rsidR="008D0F2C" w:rsidRDefault="008D0F2C" w:rsidP="003171FE">
      <w:pPr>
        <w:autoSpaceDE w:val="0"/>
        <w:autoSpaceDN w:val="0"/>
        <w:adjustRightInd w:val="0"/>
        <w:spacing w:after="0" w:line="312" w:lineRule="auto"/>
        <w:jc w:val="both"/>
        <w:rPr>
          <w:rFonts w:ascii="Verdana" w:hAnsi="Verdana" w:cs="Calibri"/>
          <w:sz w:val="20"/>
          <w:szCs w:val="20"/>
        </w:rPr>
      </w:pPr>
    </w:p>
    <w:p w:rsidR="00D76B07" w:rsidRDefault="00D76B07" w:rsidP="00D76B07">
      <w:pPr>
        <w:autoSpaceDE w:val="0"/>
        <w:autoSpaceDN w:val="0"/>
        <w:adjustRightInd w:val="0"/>
        <w:spacing w:after="0" w:line="312" w:lineRule="auto"/>
        <w:jc w:val="both"/>
        <w:rPr>
          <w:rFonts w:ascii="Verdana" w:hAnsi="Verdana" w:cs="Calibri"/>
          <w:b/>
          <w:sz w:val="20"/>
          <w:szCs w:val="20"/>
        </w:rPr>
      </w:pPr>
      <w:r>
        <w:rPr>
          <w:rFonts w:ascii="Verdana" w:hAnsi="Verdana" w:cs="Calibri"/>
          <w:b/>
          <w:sz w:val="20"/>
          <w:szCs w:val="20"/>
        </w:rPr>
        <w:t>P</w:t>
      </w:r>
      <w:r w:rsidRPr="00A5078E">
        <w:rPr>
          <w:rFonts w:ascii="Verdana" w:hAnsi="Verdana" w:cs="Calibri"/>
          <w:b/>
          <w:sz w:val="20"/>
          <w:szCs w:val="20"/>
        </w:rPr>
        <w:t>ortability of financial student support</w:t>
      </w:r>
      <w:r w:rsidRPr="00C901E1">
        <w:rPr>
          <w:rFonts w:ascii="Verdana" w:hAnsi="Verdana" w:cs="Calibri"/>
          <w:b/>
          <w:sz w:val="20"/>
          <w:szCs w:val="20"/>
        </w:rPr>
        <w:t xml:space="preserve"> </w:t>
      </w:r>
      <w:r>
        <w:rPr>
          <w:rFonts w:ascii="Verdana" w:hAnsi="Verdana" w:cs="Calibri"/>
          <w:b/>
          <w:sz w:val="20"/>
          <w:szCs w:val="20"/>
        </w:rPr>
        <w:t>- G</w:t>
      </w:r>
      <w:r w:rsidRPr="00A5078E">
        <w:rPr>
          <w:rFonts w:ascii="Verdana" w:hAnsi="Verdana" w:cs="Calibri"/>
          <w:b/>
          <w:sz w:val="20"/>
          <w:szCs w:val="20"/>
        </w:rPr>
        <w:t xml:space="preserve">uidelines </w:t>
      </w:r>
      <w:r>
        <w:rPr>
          <w:rFonts w:ascii="Verdana" w:hAnsi="Verdana" w:cs="Calibri"/>
          <w:b/>
          <w:sz w:val="20"/>
          <w:szCs w:val="20"/>
        </w:rPr>
        <w:t>for</w:t>
      </w:r>
      <w:r w:rsidRPr="00A5078E">
        <w:rPr>
          <w:rFonts w:ascii="Verdana" w:hAnsi="Verdana" w:cs="Calibri"/>
          <w:b/>
          <w:sz w:val="20"/>
          <w:szCs w:val="20"/>
        </w:rPr>
        <w:t xml:space="preserve"> </w:t>
      </w:r>
      <w:r>
        <w:rPr>
          <w:rFonts w:ascii="Verdana" w:hAnsi="Verdana" w:cs="Calibri"/>
          <w:b/>
          <w:sz w:val="20"/>
          <w:szCs w:val="20"/>
        </w:rPr>
        <w:t>further implementation</w:t>
      </w:r>
    </w:p>
    <w:p w:rsidR="00D76B07" w:rsidRDefault="00D76B07" w:rsidP="00D76B07">
      <w:pPr>
        <w:autoSpaceDE w:val="0"/>
        <w:autoSpaceDN w:val="0"/>
        <w:adjustRightInd w:val="0"/>
        <w:spacing w:after="0" w:line="312" w:lineRule="auto"/>
        <w:jc w:val="both"/>
        <w:rPr>
          <w:rFonts w:ascii="Verdana" w:hAnsi="Verdana" w:cs="Calibri"/>
          <w:b/>
          <w:sz w:val="20"/>
          <w:szCs w:val="20"/>
        </w:rPr>
      </w:pPr>
    </w:p>
    <w:p w:rsidR="00C64495" w:rsidRPr="00A5078E" w:rsidRDefault="00D76B07" w:rsidP="00C64495">
      <w:pPr>
        <w:autoSpaceDE w:val="0"/>
        <w:autoSpaceDN w:val="0"/>
        <w:adjustRightInd w:val="0"/>
        <w:spacing w:after="0" w:line="312" w:lineRule="auto"/>
        <w:jc w:val="both"/>
        <w:rPr>
          <w:rFonts w:ascii="Verdana" w:hAnsi="Verdana" w:cs="Tahoma"/>
          <w:sz w:val="20"/>
          <w:szCs w:val="20"/>
          <w:lang w:val="en-GB"/>
        </w:rPr>
      </w:pPr>
      <w:r>
        <w:rPr>
          <w:rFonts w:ascii="Verdana" w:hAnsi="Verdana" w:cs="Calibri"/>
          <w:sz w:val="20"/>
          <w:szCs w:val="20"/>
        </w:rPr>
        <w:t>Acknowledging the importance of portability of financial student support to promote learning mobility we commit to follow the guidelines and recommendations on the subject adopted by the BFUG, namely that financial student support granted in an EHEA’s member count</w:t>
      </w:r>
      <w:r w:rsidR="00C64495">
        <w:rPr>
          <w:rFonts w:ascii="Verdana" w:hAnsi="Verdana" w:cs="Calibri"/>
          <w:sz w:val="20"/>
          <w:szCs w:val="20"/>
        </w:rPr>
        <w:t>r</w:t>
      </w:r>
      <w:r>
        <w:rPr>
          <w:rFonts w:ascii="Verdana" w:hAnsi="Verdana" w:cs="Calibri"/>
          <w:sz w:val="20"/>
          <w:szCs w:val="20"/>
        </w:rPr>
        <w:t xml:space="preserve">y to cover living expenses should in principle be portable to other EHEA countries. Within the EHEA, double funding should be avoided. Member countries as well as Higher Education Institutions should provide adequate information on the portability of financial student support a well as on the conditions to be fulfilled. </w:t>
      </w:r>
      <w:r w:rsidR="00C64495">
        <w:rPr>
          <w:rFonts w:ascii="Verdana" w:hAnsi="Verdana" w:cs="Calibri"/>
          <w:sz w:val="20"/>
          <w:szCs w:val="20"/>
        </w:rPr>
        <w:t>The guidelines should be covered in the next Bologna Process Implementation Report.</w:t>
      </w:r>
    </w:p>
    <w:p w:rsidR="00E33D68" w:rsidRPr="00C31021" w:rsidRDefault="00E33D68" w:rsidP="001839A0">
      <w:pPr>
        <w:spacing w:after="0" w:line="240" w:lineRule="auto"/>
        <w:rPr>
          <w:rFonts w:ascii="Verdana" w:hAnsi="Verdana"/>
          <w:b/>
          <w:sz w:val="24"/>
          <w:szCs w:val="24"/>
          <w:lang w:val="en-GB"/>
        </w:rPr>
      </w:pPr>
      <w:r w:rsidRPr="00C31021">
        <w:rPr>
          <w:rFonts w:ascii="Verdana" w:hAnsi="Verdana"/>
          <w:b/>
          <w:sz w:val="24"/>
          <w:szCs w:val="24"/>
          <w:lang w:val="en-GB"/>
        </w:rPr>
        <w:lastRenderedPageBreak/>
        <w:t xml:space="preserve">PART II </w:t>
      </w:r>
    </w:p>
    <w:p w:rsidR="00E33D68" w:rsidRPr="00C31021" w:rsidRDefault="00E33D68" w:rsidP="001839A0">
      <w:pPr>
        <w:spacing w:after="0" w:line="240" w:lineRule="auto"/>
        <w:jc w:val="both"/>
        <w:rPr>
          <w:rFonts w:ascii="Verdana" w:hAnsi="Verdana"/>
          <w:b/>
          <w:sz w:val="24"/>
          <w:szCs w:val="24"/>
          <w:lang w:val="en-GB"/>
        </w:rPr>
      </w:pPr>
      <w:r w:rsidRPr="00C31021">
        <w:rPr>
          <w:rFonts w:ascii="Verdana" w:hAnsi="Verdana"/>
          <w:b/>
          <w:sz w:val="24"/>
          <w:szCs w:val="24"/>
          <w:lang w:val="en-GB"/>
        </w:rPr>
        <w:t xml:space="preserve">2012-2015 MOBILITY AND INTERNATIONALISATION WG: </w:t>
      </w:r>
    </w:p>
    <w:p w:rsidR="00E33D68" w:rsidRPr="00C31021" w:rsidRDefault="00E33D68" w:rsidP="001839A0">
      <w:pPr>
        <w:spacing w:after="0" w:line="240" w:lineRule="auto"/>
        <w:jc w:val="both"/>
        <w:rPr>
          <w:rFonts w:ascii="Verdana" w:hAnsi="Verdana"/>
          <w:b/>
          <w:sz w:val="24"/>
          <w:szCs w:val="24"/>
          <w:lang w:val="en-GB"/>
        </w:rPr>
      </w:pPr>
      <w:r w:rsidRPr="00C31021">
        <w:rPr>
          <w:rFonts w:ascii="Verdana" w:hAnsi="Verdana"/>
          <w:b/>
          <w:sz w:val="24"/>
          <w:szCs w:val="24"/>
          <w:lang w:val="en-GB"/>
        </w:rPr>
        <w:t>MAIN ISSUES</w:t>
      </w:r>
    </w:p>
    <w:p w:rsidR="00E33D68" w:rsidRPr="00C31021" w:rsidRDefault="00E33D68" w:rsidP="001839A0">
      <w:pPr>
        <w:spacing w:after="0" w:line="240" w:lineRule="auto"/>
        <w:jc w:val="both"/>
        <w:rPr>
          <w:rFonts w:ascii="Verdana" w:hAnsi="Verdana"/>
          <w:b/>
          <w:sz w:val="24"/>
          <w:szCs w:val="24"/>
          <w:lang w:val="en-GB"/>
        </w:rPr>
      </w:pPr>
    </w:p>
    <w:p w:rsidR="00E33D68" w:rsidRPr="00C31021" w:rsidRDefault="00E33D68" w:rsidP="001839A0">
      <w:pPr>
        <w:spacing w:after="0" w:line="240" w:lineRule="auto"/>
        <w:ind w:firstLine="720"/>
        <w:jc w:val="both"/>
        <w:rPr>
          <w:rFonts w:ascii="Verdana" w:hAnsi="Verdana"/>
          <w:b/>
          <w:sz w:val="24"/>
          <w:szCs w:val="24"/>
          <w:lang w:val="en-GB"/>
        </w:rPr>
      </w:pPr>
    </w:p>
    <w:p w:rsidR="00E33D68" w:rsidRPr="00C31021" w:rsidRDefault="00E33D68" w:rsidP="007C0494">
      <w:pPr>
        <w:spacing w:line="312" w:lineRule="auto"/>
        <w:rPr>
          <w:rFonts w:ascii="Verdana" w:hAnsi="Verdana"/>
          <w:b/>
          <w:lang w:val="en-GB"/>
        </w:rPr>
      </w:pPr>
      <w:r w:rsidRPr="00C31021">
        <w:rPr>
          <w:rFonts w:ascii="Verdana" w:hAnsi="Verdana"/>
          <w:b/>
          <w:lang w:val="en-GB"/>
        </w:rPr>
        <w:t>II.I Mobility</w:t>
      </w:r>
    </w:p>
    <w:p w:rsidR="00A84ED1" w:rsidRDefault="00A84ED1" w:rsidP="00834CA0">
      <w:pPr>
        <w:spacing w:line="312" w:lineRule="auto"/>
        <w:jc w:val="both"/>
        <w:rPr>
          <w:rFonts w:ascii="Verdana" w:hAnsi="Verdana"/>
          <w:b/>
          <w:sz w:val="20"/>
          <w:szCs w:val="20"/>
          <w:lang w:val="en-GB"/>
        </w:rPr>
      </w:pPr>
    </w:p>
    <w:p w:rsidR="00E33D68" w:rsidRPr="00C31021" w:rsidRDefault="00E33D68" w:rsidP="00834CA0">
      <w:pPr>
        <w:spacing w:line="312" w:lineRule="auto"/>
        <w:jc w:val="both"/>
        <w:rPr>
          <w:rFonts w:ascii="Verdana" w:hAnsi="Verdana"/>
          <w:b/>
          <w:sz w:val="20"/>
          <w:szCs w:val="20"/>
          <w:lang w:val="en-GB"/>
        </w:rPr>
      </w:pPr>
      <w:r w:rsidRPr="00C31021">
        <w:rPr>
          <w:rFonts w:ascii="Verdana" w:hAnsi="Verdana"/>
          <w:b/>
          <w:sz w:val="20"/>
          <w:szCs w:val="20"/>
          <w:lang w:val="en-GB"/>
        </w:rPr>
        <w:t>Staff Mobility</w:t>
      </w:r>
    </w:p>
    <w:p w:rsidR="00E33D68" w:rsidRPr="00C31021" w:rsidRDefault="006A7DBF" w:rsidP="00834CA0">
      <w:pPr>
        <w:spacing w:line="312" w:lineRule="auto"/>
        <w:jc w:val="both"/>
        <w:rPr>
          <w:rFonts w:ascii="Verdana" w:hAnsi="Verdana"/>
          <w:sz w:val="20"/>
          <w:szCs w:val="20"/>
          <w:lang w:val="en-GB"/>
        </w:rPr>
      </w:pPr>
      <w:r>
        <w:rPr>
          <w:rFonts w:ascii="Verdana" w:hAnsi="Verdana"/>
          <w:sz w:val="20"/>
          <w:szCs w:val="20"/>
          <w:lang w:val="en-GB"/>
        </w:rPr>
        <w:t>T</w:t>
      </w:r>
      <w:r w:rsidR="00E33D68" w:rsidRPr="00D30EE1">
        <w:rPr>
          <w:rFonts w:ascii="Verdana" w:hAnsi="Verdana"/>
          <w:sz w:val="20"/>
          <w:szCs w:val="20"/>
          <w:lang w:val="en-GB"/>
        </w:rPr>
        <w:t xml:space="preserve">he role of “staff” is not yet </w:t>
      </w:r>
      <w:r w:rsidR="00D83D31">
        <w:rPr>
          <w:rFonts w:ascii="Verdana" w:hAnsi="Verdana"/>
          <w:sz w:val="20"/>
          <w:szCs w:val="20"/>
          <w:lang w:val="en-GB"/>
        </w:rPr>
        <w:t xml:space="preserve">sufficiently </w:t>
      </w:r>
      <w:r w:rsidR="00E33D68" w:rsidRPr="00D30EE1">
        <w:rPr>
          <w:rFonts w:ascii="Verdana" w:hAnsi="Verdana"/>
          <w:sz w:val="20"/>
          <w:szCs w:val="20"/>
          <w:lang w:val="en-GB"/>
        </w:rPr>
        <w:t>investigated when it comes to the Mobility Strategy and there is a need for clear definition of staff mobility.</w:t>
      </w:r>
      <w:r w:rsidR="00E33D68" w:rsidRPr="00C31021">
        <w:rPr>
          <w:rFonts w:ascii="Verdana" w:hAnsi="Verdana"/>
          <w:sz w:val="20"/>
          <w:szCs w:val="20"/>
          <w:lang w:val="en-GB"/>
        </w:rPr>
        <w:t xml:space="preserve"> Thus, the German Co-Chair, responsible for the</w:t>
      </w:r>
      <w:r w:rsidR="00931630">
        <w:rPr>
          <w:rFonts w:ascii="Verdana" w:hAnsi="Verdana"/>
          <w:sz w:val="20"/>
          <w:szCs w:val="20"/>
          <w:lang w:val="en-GB"/>
        </w:rPr>
        <w:t xml:space="preserve"> </w:t>
      </w:r>
      <w:r w:rsidR="00866DD3">
        <w:rPr>
          <w:rFonts w:ascii="Verdana" w:hAnsi="Verdana"/>
          <w:sz w:val="20"/>
          <w:szCs w:val="20"/>
          <w:lang w:val="en-GB"/>
        </w:rPr>
        <w:t>topic</w:t>
      </w:r>
      <w:r w:rsidR="00E33D68" w:rsidRPr="00C31021">
        <w:rPr>
          <w:rFonts w:ascii="Verdana" w:hAnsi="Verdana"/>
          <w:sz w:val="20"/>
          <w:szCs w:val="20"/>
          <w:lang w:val="en-GB"/>
        </w:rPr>
        <w:t xml:space="preserve">, should present guidelines on “Staff Mobility” with a clear definition of “staff” and an analysis of current barriers to staff mobility, as well as a set of potential measures to overcome them.  </w:t>
      </w:r>
    </w:p>
    <w:p w:rsidR="001E4CCD" w:rsidRPr="00C31021" w:rsidRDefault="001E4CCD" w:rsidP="001E4CCD">
      <w:pPr>
        <w:spacing w:after="0" w:line="312" w:lineRule="auto"/>
        <w:jc w:val="both"/>
        <w:rPr>
          <w:rFonts w:ascii="Verdana" w:hAnsi="Verdana"/>
          <w:sz w:val="20"/>
          <w:szCs w:val="20"/>
          <w:lang w:val="en-GB"/>
        </w:rPr>
      </w:pPr>
      <w:r w:rsidRPr="00C31021">
        <w:rPr>
          <w:rFonts w:ascii="Verdana" w:hAnsi="Verdana"/>
          <w:sz w:val="20"/>
          <w:szCs w:val="20"/>
          <w:lang w:val="en-GB"/>
        </w:rPr>
        <w:t xml:space="preserve">While discussing the draft of the respective guidelines the WG raised concerns on legal </w:t>
      </w:r>
      <w:r w:rsidRPr="00844CB9">
        <w:rPr>
          <w:rFonts w:ascii="Verdana" w:hAnsi="Verdana"/>
          <w:sz w:val="20"/>
          <w:szCs w:val="20"/>
          <w:lang w:val="en-GB"/>
        </w:rPr>
        <w:t xml:space="preserve">barriers for short-term and long-term mobility (e.g. strict immigration </w:t>
      </w:r>
      <w:r w:rsidRPr="00C31021">
        <w:rPr>
          <w:rFonts w:ascii="Verdana" w:hAnsi="Verdana"/>
          <w:sz w:val="20"/>
          <w:szCs w:val="20"/>
          <w:lang w:val="en-GB"/>
        </w:rPr>
        <w:t xml:space="preserve">rules) in the EHEA. Moreover, while family members of researchers should have access to </w:t>
      </w:r>
      <w:r w:rsidRPr="00844CB9">
        <w:rPr>
          <w:rFonts w:ascii="Verdana" w:hAnsi="Verdana"/>
          <w:sz w:val="20"/>
          <w:szCs w:val="20"/>
          <w:lang w:val="en-GB"/>
        </w:rPr>
        <w:t xml:space="preserve">the labour market in the host country, the host institution should provide linguistic and intercultural support for incoming </w:t>
      </w:r>
      <w:r>
        <w:rPr>
          <w:rFonts w:ascii="Verdana" w:hAnsi="Verdana"/>
          <w:sz w:val="20"/>
          <w:szCs w:val="20"/>
          <w:lang w:val="en-GB"/>
        </w:rPr>
        <w:t>mobile staff</w:t>
      </w:r>
      <w:r w:rsidRPr="00844CB9">
        <w:rPr>
          <w:rFonts w:ascii="Verdana" w:hAnsi="Verdana"/>
          <w:sz w:val="20"/>
          <w:szCs w:val="20"/>
          <w:lang w:val="en-GB"/>
        </w:rPr>
        <w:t xml:space="preserve">. Hence, the quality of the support </w:t>
      </w:r>
      <w:r w:rsidRPr="00C31021">
        <w:rPr>
          <w:rFonts w:ascii="Verdana" w:hAnsi="Verdana"/>
          <w:sz w:val="20"/>
          <w:szCs w:val="20"/>
          <w:lang w:val="en-GB"/>
        </w:rPr>
        <w:t xml:space="preserve">provided to mobile </w:t>
      </w:r>
      <w:r>
        <w:rPr>
          <w:rFonts w:ascii="Verdana" w:hAnsi="Verdana"/>
          <w:sz w:val="20"/>
          <w:szCs w:val="20"/>
          <w:lang w:val="en-GB"/>
        </w:rPr>
        <w:t xml:space="preserve">staff and </w:t>
      </w:r>
      <w:r w:rsidRPr="00C31021">
        <w:rPr>
          <w:rFonts w:ascii="Verdana" w:hAnsi="Verdana"/>
          <w:sz w:val="20"/>
          <w:szCs w:val="20"/>
          <w:lang w:val="en-GB"/>
        </w:rPr>
        <w:t>researchers should be improved through trainings (e.g. linguistic trainings).</w:t>
      </w:r>
    </w:p>
    <w:p w:rsidR="00E33D68" w:rsidRPr="00C31021" w:rsidRDefault="00E33D68" w:rsidP="00BD785D">
      <w:pPr>
        <w:spacing w:after="0" w:line="312" w:lineRule="auto"/>
        <w:jc w:val="both"/>
        <w:rPr>
          <w:rFonts w:ascii="Verdana" w:hAnsi="Verdana"/>
          <w:sz w:val="20"/>
          <w:szCs w:val="20"/>
          <w:lang w:val="en-GB"/>
        </w:rPr>
      </w:pPr>
    </w:p>
    <w:p w:rsidR="00E33D68" w:rsidRDefault="00E33D68" w:rsidP="00BD785D">
      <w:pPr>
        <w:spacing w:after="0" w:line="312" w:lineRule="auto"/>
        <w:jc w:val="both"/>
        <w:rPr>
          <w:rFonts w:ascii="Verdana" w:hAnsi="Verdana"/>
          <w:sz w:val="20"/>
          <w:szCs w:val="20"/>
          <w:lang w:val="en-GB"/>
        </w:rPr>
      </w:pPr>
      <w:r w:rsidRPr="00C31021">
        <w:rPr>
          <w:rFonts w:ascii="Verdana" w:hAnsi="Verdana"/>
          <w:sz w:val="20"/>
          <w:szCs w:val="20"/>
          <w:lang w:val="en-GB"/>
        </w:rPr>
        <w:t>The deliberations of the WG revealed the need to address the following important points:</w:t>
      </w:r>
    </w:p>
    <w:p w:rsidR="003171FE" w:rsidRPr="00C31021" w:rsidRDefault="003171FE" w:rsidP="00BD785D">
      <w:pPr>
        <w:spacing w:after="0" w:line="312" w:lineRule="auto"/>
        <w:jc w:val="both"/>
        <w:rPr>
          <w:rFonts w:ascii="Verdana" w:hAnsi="Verdana"/>
          <w:sz w:val="20"/>
          <w:szCs w:val="20"/>
          <w:lang w:val="en-GB"/>
        </w:rPr>
      </w:pPr>
    </w:p>
    <w:p w:rsidR="00E33D68" w:rsidRPr="00C31021" w:rsidRDefault="00830765" w:rsidP="00B07A9D">
      <w:pPr>
        <w:pStyle w:val="ListParagraph"/>
        <w:numPr>
          <w:ilvl w:val="0"/>
          <w:numId w:val="3"/>
        </w:numPr>
        <w:spacing w:line="312" w:lineRule="auto"/>
        <w:jc w:val="both"/>
        <w:rPr>
          <w:rFonts w:ascii="Verdana" w:hAnsi="Verdana"/>
          <w:sz w:val="20"/>
          <w:szCs w:val="20"/>
          <w:lang w:val="en-GB"/>
        </w:rPr>
      </w:pPr>
      <w:r>
        <w:rPr>
          <w:rFonts w:ascii="Verdana" w:hAnsi="Verdana"/>
          <w:sz w:val="20"/>
          <w:szCs w:val="20"/>
          <w:lang w:val="en-GB"/>
        </w:rPr>
        <w:t>P</w:t>
      </w:r>
      <w:r w:rsidR="00E33D68" w:rsidRPr="00C31021">
        <w:rPr>
          <w:rFonts w:ascii="Verdana" w:hAnsi="Verdana"/>
          <w:sz w:val="20"/>
          <w:szCs w:val="20"/>
          <w:lang w:val="en-GB"/>
        </w:rPr>
        <w:t>ermanent mobility, including  chang</w:t>
      </w:r>
      <w:r>
        <w:rPr>
          <w:rFonts w:ascii="Verdana" w:hAnsi="Verdana"/>
          <w:sz w:val="20"/>
          <w:szCs w:val="20"/>
          <w:lang w:val="en-GB"/>
        </w:rPr>
        <w:t>ing</w:t>
      </w:r>
      <w:r w:rsidR="00E33D68" w:rsidRPr="00C31021">
        <w:rPr>
          <w:rFonts w:ascii="Verdana" w:hAnsi="Verdana"/>
          <w:sz w:val="20"/>
          <w:szCs w:val="20"/>
          <w:lang w:val="en-GB"/>
        </w:rPr>
        <w:t xml:space="preserve"> of the employer can be counted as “mobility”; </w:t>
      </w:r>
    </w:p>
    <w:p w:rsidR="00E33D68" w:rsidRPr="00C31021" w:rsidRDefault="00E33D68" w:rsidP="00B07A9D">
      <w:pPr>
        <w:pStyle w:val="ListParagraph"/>
        <w:numPr>
          <w:ilvl w:val="0"/>
          <w:numId w:val="3"/>
        </w:numPr>
        <w:spacing w:line="312" w:lineRule="auto"/>
        <w:jc w:val="both"/>
        <w:rPr>
          <w:rFonts w:ascii="Verdana" w:hAnsi="Verdana"/>
          <w:sz w:val="20"/>
          <w:szCs w:val="20"/>
          <w:lang w:val="en-GB"/>
        </w:rPr>
      </w:pPr>
      <w:r w:rsidRPr="00C31021">
        <w:rPr>
          <w:rFonts w:ascii="Verdana" w:hAnsi="Verdana"/>
          <w:sz w:val="20"/>
          <w:szCs w:val="20"/>
          <w:lang w:val="en-GB"/>
        </w:rPr>
        <w:t xml:space="preserve">It is unrealistic to have a </w:t>
      </w:r>
      <w:r w:rsidR="00D747D7">
        <w:rPr>
          <w:rFonts w:ascii="Verdana" w:hAnsi="Verdana"/>
          <w:sz w:val="20"/>
          <w:szCs w:val="20"/>
          <w:lang w:val="en-GB"/>
        </w:rPr>
        <w:t xml:space="preserve">European </w:t>
      </w:r>
      <w:r w:rsidRPr="00C31021">
        <w:rPr>
          <w:rFonts w:ascii="Verdana" w:hAnsi="Verdana"/>
          <w:sz w:val="20"/>
          <w:szCs w:val="20"/>
          <w:lang w:val="en-GB"/>
        </w:rPr>
        <w:t xml:space="preserve">benchmark on “staff mobility” (however benchmarks could be defined for its sub-categories such as the academic mobility); </w:t>
      </w:r>
    </w:p>
    <w:p w:rsidR="00E33D68" w:rsidRPr="00C31021" w:rsidRDefault="00E33D68" w:rsidP="00B07A9D">
      <w:pPr>
        <w:pStyle w:val="ListParagraph"/>
        <w:numPr>
          <w:ilvl w:val="0"/>
          <w:numId w:val="3"/>
        </w:numPr>
        <w:spacing w:line="312" w:lineRule="auto"/>
        <w:jc w:val="both"/>
        <w:rPr>
          <w:rFonts w:ascii="Verdana" w:hAnsi="Verdana"/>
          <w:sz w:val="20"/>
          <w:szCs w:val="20"/>
          <w:lang w:val="en-GB"/>
        </w:rPr>
      </w:pPr>
      <w:r w:rsidRPr="00C31021">
        <w:rPr>
          <w:rFonts w:ascii="Verdana" w:hAnsi="Verdana"/>
          <w:sz w:val="20"/>
          <w:szCs w:val="20"/>
          <w:lang w:val="en-GB"/>
        </w:rPr>
        <w:t>High importance should be given to cross-border and physical mobility as one of the main focus areas;</w:t>
      </w:r>
    </w:p>
    <w:p w:rsidR="00E33D68" w:rsidRDefault="00E33D68" w:rsidP="00B07A9D">
      <w:pPr>
        <w:pStyle w:val="ListParagraph"/>
        <w:numPr>
          <w:ilvl w:val="0"/>
          <w:numId w:val="3"/>
        </w:numPr>
        <w:spacing w:line="312" w:lineRule="auto"/>
        <w:jc w:val="both"/>
        <w:rPr>
          <w:rFonts w:ascii="Verdana" w:hAnsi="Verdana"/>
          <w:sz w:val="20"/>
          <w:szCs w:val="20"/>
          <w:lang w:val="en-GB"/>
        </w:rPr>
      </w:pPr>
      <w:r w:rsidRPr="00C31021">
        <w:rPr>
          <w:rFonts w:ascii="Verdana" w:hAnsi="Verdana"/>
          <w:sz w:val="20"/>
          <w:szCs w:val="20"/>
          <w:lang w:val="en-GB"/>
        </w:rPr>
        <w:t xml:space="preserve">The teaching and learning mobility should not be separated, as both are aimed at circulation of knowledge. </w:t>
      </w:r>
    </w:p>
    <w:p w:rsidR="00F34F93" w:rsidRPr="00CC7039" w:rsidRDefault="00F34F93" w:rsidP="00B07A9D">
      <w:pPr>
        <w:pStyle w:val="ListParagraph"/>
        <w:numPr>
          <w:ilvl w:val="0"/>
          <w:numId w:val="3"/>
        </w:numPr>
        <w:spacing w:line="312" w:lineRule="auto"/>
        <w:jc w:val="both"/>
        <w:rPr>
          <w:rFonts w:ascii="Verdana" w:hAnsi="Verdana"/>
          <w:sz w:val="20"/>
          <w:szCs w:val="20"/>
          <w:lang w:val="en-GB"/>
        </w:rPr>
      </w:pPr>
      <w:r w:rsidRPr="00CC7039">
        <w:rPr>
          <w:rFonts w:ascii="Verdana" w:hAnsi="Verdana"/>
          <w:sz w:val="20"/>
          <w:szCs w:val="20"/>
          <w:lang w:val="en-GB"/>
        </w:rPr>
        <w:t>HEIs have an important role to play in incentivising and monitoring staff mobility, and should do so in a way that is fit-for-purpose and in line wi</w:t>
      </w:r>
      <w:r w:rsidR="005C15E2">
        <w:rPr>
          <w:rFonts w:ascii="Verdana" w:hAnsi="Verdana"/>
          <w:sz w:val="20"/>
          <w:szCs w:val="20"/>
          <w:lang w:val="en-GB"/>
        </w:rPr>
        <w:t>t</w:t>
      </w:r>
      <w:r w:rsidRPr="00CC7039">
        <w:rPr>
          <w:rFonts w:ascii="Verdana" w:hAnsi="Verdana"/>
          <w:sz w:val="20"/>
          <w:szCs w:val="20"/>
          <w:lang w:val="en-GB"/>
        </w:rPr>
        <w:t xml:space="preserve">h their own international objectives. </w:t>
      </w:r>
    </w:p>
    <w:p w:rsidR="00E33D68" w:rsidRPr="00D30EE1" w:rsidRDefault="00E33D68" w:rsidP="001A095A">
      <w:pPr>
        <w:pStyle w:val="ListParagraph"/>
        <w:spacing w:line="312" w:lineRule="auto"/>
        <w:ind w:left="1080"/>
        <w:jc w:val="both"/>
        <w:rPr>
          <w:rFonts w:ascii="Verdana" w:hAnsi="Verdana"/>
          <w:sz w:val="20"/>
          <w:szCs w:val="20"/>
          <w:lang w:val="en-GB"/>
        </w:rPr>
      </w:pPr>
    </w:p>
    <w:p w:rsidR="00E33D68" w:rsidRPr="00D30EE1" w:rsidRDefault="00E33D68" w:rsidP="001A095A">
      <w:pPr>
        <w:spacing w:line="312" w:lineRule="auto"/>
        <w:jc w:val="both"/>
        <w:rPr>
          <w:rFonts w:ascii="Verdana" w:hAnsi="Verdana"/>
          <w:sz w:val="20"/>
          <w:szCs w:val="20"/>
          <w:lang w:val="en-GB"/>
        </w:rPr>
      </w:pPr>
      <w:r w:rsidRPr="00C31021">
        <w:rPr>
          <w:rFonts w:ascii="Verdana" w:hAnsi="Verdana"/>
          <w:sz w:val="20"/>
          <w:szCs w:val="20"/>
          <w:lang w:val="en-GB"/>
        </w:rPr>
        <w:t>Taking into account all the above mentioned, a broad consensus between the WG members on the respective issue was reached. The outcomes of the work accomplished by the WG led to the following definition of staff mobility: “</w:t>
      </w:r>
      <w:r w:rsidRPr="00D30EE1">
        <w:rPr>
          <w:rFonts w:ascii="Verdana" w:hAnsi="Verdana"/>
          <w:sz w:val="20"/>
          <w:szCs w:val="20"/>
          <w:lang w:val="en-GB"/>
        </w:rPr>
        <w:t xml:space="preserve">Staff mobility comprises all groups of staff - </w:t>
      </w:r>
      <w:r w:rsidRPr="00D30EE1">
        <w:rPr>
          <w:rFonts w:ascii="Verdana" w:hAnsi="Verdana"/>
          <w:sz w:val="20"/>
          <w:szCs w:val="20"/>
          <w:lang w:val="en-GB"/>
        </w:rPr>
        <w:lastRenderedPageBreak/>
        <w:t>academic, administrative and technical staff - that is mobile either between higher education institutions or between a higher education institution and a research institution, an enterprise or another organisation. The mobility may take place on a temporary basis, i.e. with an intended return to the home institution or for an indefinite period, i.e. including a change of employer”.</w:t>
      </w:r>
    </w:p>
    <w:p w:rsidR="00E33D68" w:rsidRPr="00C31021" w:rsidRDefault="00E33D68" w:rsidP="00BD785D">
      <w:pPr>
        <w:autoSpaceDE w:val="0"/>
        <w:autoSpaceDN w:val="0"/>
        <w:adjustRightInd w:val="0"/>
        <w:spacing w:after="0" w:line="312" w:lineRule="auto"/>
        <w:jc w:val="both"/>
        <w:rPr>
          <w:rFonts w:ascii="Verdana" w:hAnsi="Verdana" w:cs="Calibri"/>
          <w:color w:val="000000"/>
          <w:sz w:val="20"/>
          <w:szCs w:val="20"/>
          <w:lang w:val="en-GB"/>
        </w:rPr>
      </w:pPr>
      <w:r w:rsidRPr="00D30EE1">
        <w:rPr>
          <w:rFonts w:ascii="Verdana" w:hAnsi="Verdana"/>
          <w:sz w:val="20"/>
          <w:szCs w:val="20"/>
          <w:lang w:val="en-GB"/>
        </w:rPr>
        <w:t xml:space="preserve">The “Guidelines on staff mobility in the European Higher Education Area (EHEA): </w:t>
      </w:r>
      <w:r w:rsidRPr="00D30EE1">
        <w:rPr>
          <w:rFonts w:ascii="Verdana" w:hAnsi="Verdana"/>
          <w:sz w:val="20"/>
          <w:szCs w:val="20"/>
          <w:lang w:val="en-GB"/>
        </w:rPr>
        <w:br/>
        <w:t xml:space="preserve">Recommendations on how to enhance high quality staff mobility” were presented to the BFUG by the German Co-Chair during the BFUG meeting in Athens 9 – 10 April, 2014. </w:t>
      </w:r>
      <w:r w:rsidRPr="00C31021">
        <w:rPr>
          <w:rFonts w:ascii="Verdana" w:hAnsi="Verdana" w:cs="Calibri"/>
          <w:color w:val="000000"/>
          <w:sz w:val="20"/>
          <w:szCs w:val="20"/>
          <w:lang w:val="en-GB"/>
        </w:rPr>
        <w:t xml:space="preserve">The guidelines contain recommendations on how to promote and encourage staff mobility and its quality such as creating a supporting environment for staff mobility, improving data collection and encouraging and supporting staff mobility and its appreciation. </w:t>
      </w:r>
    </w:p>
    <w:p w:rsidR="00E33D68" w:rsidRPr="00C31021" w:rsidRDefault="00E33D68" w:rsidP="00BD785D">
      <w:pPr>
        <w:spacing w:after="0" w:line="312" w:lineRule="auto"/>
        <w:jc w:val="both"/>
        <w:rPr>
          <w:rFonts w:ascii="Verdana" w:hAnsi="Verdana"/>
          <w:sz w:val="20"/>
          <w:szCs w:val="20"/>
          <w:lang w:val="en-GB"/>
        </w:rPr>
      </w:pPr>
    </w:p>
    <w:p w:rsidR="00E33D68" w:rsidRPr="00C31021" w:rsidRDefault="00E33D68" w:rsidP="00BD785D">
      <w:pPr>
        <w:spacing w:after="0" w:line="312" w:lineRule="auto"/>
        <w:jc w:val="both"/>
        <w:rPr>
          <w:rFonts w:ascii="Verdana" w:hAnsi="Verdana" w:cs="Arial"/>
          <w:b/>
          <w:color w:val="000000"/>
          <w:sz w:val="20"/>
          <w:szCs w:val="20"/>
          <w:lang w:val="en-GB"/>
        </w:rPr>
      </w:pPr>
      <w:r w:rsidRPr="00C31021">
        <w:rPr>
          <w:rFonts w:ascii="Verdana" w:hAnsi="Verdana" w:cs="Arial"/>
          <w:b/>
          <w:color w:val="000000"/>
          <w:sz w:val="20"/>
          <w:szCs w:val="20"/>
          <w:lang w:val="en-GB"/>
        </w:rPr>
        <w:t>The Portability of Grants and Loans</w:t>
      </w:r>
    </w:p>
    <w:p w:rsidR="00E33D68" w:rsidRPr="00C31021" w:rsidRDefault="00E33D68" w:rsidP="00BD785D">
      <w:pPr>
        <w:spacing w:after="0" w:line="312" w:lineRule="auto"/>
        <w:jc w:val="both"/>
        <w:rPr>
          <w:rFonts w:ascii="Verdana" w:hAnsi="Verdana" w:cs="Arial"/>
          <w:b/>
          <w:color w:val="000000"/>
          <w:sz w:val="20"/>
          <w:szCs w:val="20"/>
          <w:lang w:val="en-GB"/>
        </w:rPr>
      </w:pPr>
    </w:p>
    <w:p w:rsidR="00E33D68" w:rsidRPr="00844CB9" w:rsidRDefault="001C0948" w:rsidP="0080053B">
      <w:pPr>
        <w:spacing w:after="0" w:line="312" w:lineRule="auto"/>
        <w:jc w:val="both"/>
        <w:rPr>
          <w:rFonts w:ascii="Verdana" w:hAnsi="Verdana"/>
          <w:sz w:val="20"/>
          <w:szCs w:val="20"/>
          <w:lang w:val="en-GB"/>
        </w:rPr>
      </w:pPr>
      <w:r>
        <w:rPr>
          <w:rFonts w:ascii="Verdana" w:hAnsi="Verdana"/>
          <w:sz w:val="20"/>
          <w:szCs w:val="20"/>
          <w:lang w:val="en-GB"/>
        </w:rPr>
        <w:t>The M&amp;I WG</w:t>
      </w:r>
      <w:r w:rsidR="00E33D68" w:rsidRPr="00844CB9">
        <w:rPr>
          <w:rFonts w:ascii="Verdana" w:hAnsi="Verdana"/>
          <w:sz w:val="20"/>
          <w:szCs w:val="20"/>
          <w:lang w:val="en-GB"/>
        </w:rPr>
        <w:t xml:space="preserve"> </w:t>
      </w:r>
      <w:r w:rsidR="00A977A4">
        <w:rPr>
          <w:rFonts w:ascii="Verdana" w:hAnsi="Verdana"/>
          <w:sz w:val="20"/>
          <w:szCs w:val="20"/>
          <w:lang w:val="en-GB"/>
        </w:rPr>
        <w:t xml:space="preserve">members </w:t>
      </w:r>
      <w:r w:rsidR="00E33D68" w:rsidRPr="00C31021">
        <w:rPr>
          <w:rFonts w:ascii="Verdana" w:hAnsi="Verdana"/>
          <w:sz w:val="20"/>
          <w:szCs w:val="20"/>
          <w:lang w:val="en-GB"/>
        </w:rPr>
        <w:t>decided that through the German Co-Chair</w:t>
      </w:r>
      <w:r w:rsidR="00A977A4">
        <w:rPr>
          <w:rFonts w:ascii="Verdana" w:hAnsi="Verdana"/>
          <w:sz w:val="20"/>
          <w:szCs w:val="20"/>
          <w:lang w:val="en-GB"/>
        </w:rPr>
        <w:t xml:space="preserve"> </w:t>
      </w:r>
      <w:r>
        <w:rPr>
          <w:rFonts w:ascii="Verdana" w:hAnsi="Verdana"/>
          <w:sz w:val="20"/>
          <w:szCs w:val="20"/>
          <w:lang w:val="en-GB"/>
        </w:rPr>
        <w:t>t</w:t>
      </w:r>
      <w:r w:rsidR="00A977A4">
        <w:rPr>
          <w:rFonts w:ascii="Verdana" w:hAnsi="Verdana"/>
          <w:sz w:val="20"/>
          <w:szCs w:val="20"/>
          <w:lang w:val="en-GB"/>
        </w:rPr>
        <w:t>he WG</w:t>
      </w:r>
      <w:r w:rsidR="00E33D68" w:rsidRPr="00C31021">
        <w:rPr>
          <w:rFonts w:ascii="Verdana" w:hAnsi="Verdana"/>
          <w:sz w:val="20"/>
          <w:szCs w:val="20"/>
          <w:lang w:val="en-GB"/>
        </w:rPr>
        <w:t xml:space="preserve"> should present to the BFUG guidelines on the portability of grants and loans.</w:t>
      </w:r>
      <w:r>
        <w:rPr>
          <w:rFonts w:ascii="Verdana" w:hAnsi="Verdana"/>
          <w:sz w:val="20"/>
          <w:szCs w:val="20"/>
          <w:lang w:val="en-GB"/>
        </w:rPr>
        <w:t xml:space="preserve"> T</w:t>
      </w:r>
      <w:r w:rsidR="00E33D68" w:rsidRPr="00C31021">
        <w:rPr>
          <w:rFonts w:ascii="Verdana" w:hAnsi="Verdana"/>
          <w:sz w:val="20"/>
          <w:szCs w:val="20"/>
          <w:lang w:val="en-GB"/>
        </w:rPr>
        <w:t>he WG agreed that the document should be re</w:t>
      </w:r>
      <w:r w:rsidR="00E33D68">
        <w:rPr>
          <w:rFonts w:ascii="Verdana" w:hAnsi="Verdana"/>
          <w:sz w:val="20"/>
          <w:szCs w:val="20"/>
          <w:lang w:val="en-GB"/>
        </w:rPr>
        <w:t>-</w:t>
      </w:r>
      <w:r w:rsidR="00E33D68" w:rsidRPr="00C31021">
        <w:rPr>
          <w:rFonts w:ascii="Verdana" w:hAnsi="Verdana"/>
          <w:sz w:val="20"/>
          <w:szCs w:val="20"/>
          <w:lang w:val="en-GB"/>
        </w:rPr>
        <w:t xml:space="preserve">titled to “Portability of financial student support”, thereby avoiding the distinction between grants, loans and scholarships. In addition, different socio-economic starting points of the EHEA countries should be considered while drafting the guidelines. On this occasion, the situation in non-EU as well as EU countries should be appropriately covered in the paper. </w:t>
      </w:r>
      <w:r w:rsidR="0044507F">
        <w:rPr>
          <w:rFonts w:ascii="Verdana" w:hAnsi="Verdana"/>
          <w:sz w:val="20"/>
          <w:szCs w:val="20"/>
          <w:lang w:val="en-GB"/>
        </w:rPr>
        <w:t>Some Eastern European coun</w:t>
      </w:r>
      <w:r w:rsidR="003E0B79">
        <w:rPr>
          <w:rFonts w:ascii="Verdana" w:hAnsi="Verdana"/>
          <w:sz w:val="20"/>
          <w:szCs w:val="20"/>
          <w:lang w:val="en-GB"/>
        </w:rPr>
        <w:t>tries haven’t adopted the portab</w:t>
      </w:r>
      <w:r w:rsidR="0044507F">
        <w:rPr>
          <w:rFonts w:ascii="Verdana" w:hAnsi="Verdana"/>
          <w:sz w:val="20"/>
          <w:szCs w:val="20"/>
          <w:lang w:val="en-GB"/>
        </w:rPr>
        <w:t xml:space="preserve">ility of grants and loans for fear of brain drain. However, the advantage of such a system should be demonstrated to all the </w:t>
      </w:r>
      <w:r w:rsidR="00866DD3">
        <w:rPr>
          <w:rFonts w:ascii="Verdana" w:hAnsi="Verdana"/>
          <w:sz w:val="20"/>
          <w:szCs w:val="20"/>
          <w:lang w:val="en-GB"/>
        </w:rPr>
        <w:t>m</w:t>
      </w:r>
      <w:r w:rsidR="0044507F">
        <w:rPr>
          <w:rFonts w:ascii="Verdana" w:hAnsi="Verdana"/>
          <w:sz w:val="20"/>
          <w:szCs w:val="20"/>
          <w:lang w:val="en-GB"/>
        </w:rPr>
        <w:t xml:space="preserve">ember </w:t>
      </w:r>
      <w:r w:rsidR="00866DD3">
        <w:rPr>
          <w:rFonts w:ascii="Verdana" w:hAnsi="Verdana"/>
          <w:sz w:val="20"/>
          <w:szCs w:val="20"/>
          <w:lang w:val="en-GB"/>
        </w:rPr>
        <w:t>countries</w:t>
      </w:r>
      <w:r w:rsidR="0044507F">
        <w:rPr>
          <w:rFonts w:ascii="Verdana" w:hAnsi="Verdana"/>
          <w:sz w:val="20"/>
          <w:szCs w:val="20"/>
          <w:lang w:val="en-GB"/>
        </w:rPr>
        <w:t>.</w:t>
      </w:r>
      <w:r w:rsidR="00E33D68" w:rsidRPr="00C31021">
        <w:rPr>
          <w:rFonts w:ascii="Verdana" w:hAnsi="Verdana"/>
          <w:color w:val="000000"/>
          <w:sz w:val="20"/>
          <w:szCs w:val="20"/>
          <w:lang w:val="en-GB"/>
        </w:rPr>
        <w:t xml:space="preserve"> Mainly, portability might seem expensive in </w:t>
      </w:r>
      <w:r w:rsidR="0044507F">
        <w:rPr>
          <w:rFonts w:ascii="Verdana" w:hAnsi="Verdana"/>
          <w:color w:val="000000"/>
          <w:sz w:val="20"/>
          <w:szCs w:val="20"/>
          <w:lang w:val="en-GB"/>
        </w:rPr>
        <w:t xml:space="preserve">the </w:t>
      </w:r>
      <w:r w:rsidR="00E33D68" w:rsidRPr="00C31021">
        <w:rPr>
          <w:rFonts w:ascii="Verdana" w:hAnsi="Verdana"/>
          <w:color w:val="000000"/>
          <w:sz w:val="20"/>
          <w:szCs w:val="20"/>
          <w:lang w:val="en-GB"/>
        </w:rPr>
        <w:t>short term, but usually countries benefit on the return of qualified specialists. Moreover, while some EHEA countries didn</w:t>
      </w:r>
      <w:r w:rsidR="00E33D68">
        <w:rPr>
          <w:rFonts w:ascii="Verdana" w:hAnsi="Verdana"/>
          <w:color w:val="000000"/>
          <w:sz w:val="20"/>
          <w:szCs w:val="20"/>
          <w:lang w:val="en-GB"/>
        </w:rPr>
        <w:t>’</w:t>
      </w:r>
      <w:r w:rsidR="00E33D68" w:rsidRPr="00C31021">
        <w:rPr>
          <w:rFonts w:ascii="Verdana" w:hAnsi="Verdana"/>
          <w:color w:val="000000"/>
          <w:sz w:val="20"/>
          <w:szCs w:val="20"/>
          <w:lang w:val="en-GB"/>
        </w:rPr>
        <w:t>t provide any information on portability of grants and loans (e.g. Russia, Ukraine), others do not offer portable grants but instead mobility support schemes.</w:t>
      </w:r>
      <w:r w:rsidR="00E33D68" w:rsidRPr="00C31021">
        <w:rPr>
          <w:rFonts w:ascii="Verdana" w:hAnsi="Verdana"/>
          <w:sz w:val="20"/>
          <w:szCs w:val="20"/>
          <w:lang w:val="en-GB"/>
        </w:rPr>
        <w:t xml:space="preserve"> In some EHEA countries the accommodation support is not </w:t>
      </w:r>
      <w:r w:rsidR="0044507F">
        <w:rPr>
          <w:rFonts w:ascii="Verdana" w:hAnsi="Verdana"/>
          <w:sz w:val="20"/>
          <w:szCs w:val="20"/>
          <w:lang w:val="en-GB"/>
        </w:rPr>
        <w:t xml:space="preserve">yet </w:t>
      </w:r>
      <w:r w:rsidR="00E33D68" w:rsidRPr="00C31021">
        <w:rPr>
          <w:rFonts w:ascii="Verdana" w:hAnsi="Verdana"/>
          <w:sz w:val="20"/>
          <w:szCs w:val="20"/>
          <w:lang w:val="en-GB"/>
        </w:rPr>
        <w:t>portable.</w:t>
      </w:r>
    </w:p>
    <w:p w:rsidR="00E33D68" w:rsidRDefault="00E33D68" w:rsidP="004756F9">
      <w:pPr>
        <w:spacing w:after="0" w:line="312" w:lineRule="auto"/>
        <w:jc w:val="both"/>
        <w:rPr>
          <w:rFonts w:ascii="Verdana" w:hAnsi="Verdana"/>
          <w:b/>
          <w:sz w:val="20"/>
          <w:szCs w:val="20"/>
          <w:lang w:val="en-GB"/>
        </w:rPr>
      </w:pPr>
    </w:p>
    <w:p w:rsidR="00812F98" w:rsidRDefault="00812F98" w:rsidP="004756F9">
      <w:pPr>
        <w:spacing w:after="0" w:line="312" w:lineRule="auto"/>
        <w:jc w:val="both"/>
        <w:rPr>
          <w:rFonts w:ascii="Verdana" w:hAnsi="Verdana" w:cs="Arial"/>
          <w:sz w:val="20"/>
          <w:szCs w:val="20"/>
          <w:lang w:val="en-GB"/>
        </w:rPr>
      </w:pPr>
      <w:r w:rsidRPr="00844CB9">
        <w:rPr>
          <w:rFonts w:ascii="Verdana" w:hAnsi="Verdana"/>
          <w:sz w:val="20"/>
          <w:szCs w:val="20"/>
          <w:lang w:val="en-GB"/>
        </w:rPr>
        <w:t xml:space="preserve">The </w:t>
      </w:r>
      <w:r>
        <w:rPr>
          <w:rFonts w:ascii="Verdana" w:hAnsi="Verdana"/>
          <w:sz w:val="20"/>
          <w:szCs w:val="20"/>
          <w:lang w:val="en-GB"/>
        </w:rPr>
        <w:t xml:space="preserve">guidelines </w:t>
      </w:r>
      <w:r w:rsidRPr="00844CB9">
        <w:rPr>
          <w:rFonts w:ascii="Verdana" w:hAnsi="Verdana"/>
          <w:sz w:val="20"/>
          <w:szCs w:val="20"/>
          <w:lang w:val="en-GB"/>
        </w:rPr>
        <w:t xml:space="preserve">set out in the paper should aim at a fair balance of financial support </w:t>
      </w:r>
      <w:r w:rsidRPr="00C31021">
        <w:rPr>
          <w:rFonts w:ascii="Verdana" w:hAnsi="Verdana"/>
          <w:sz w:val="20"/>
          <w:szCs w:val="20"/>
          <w:lang w:val="en-GB"/>
        </w:rPr>
        <w:t xml:space="preserve">between the home and host countries. Thus, the home country should in principle cover the living costs of the student and the host country should finance the study courses. </w:t>
      </w:r>
      <w:r>
        <w:rPr>
          <w:rFonts w:ascii="Verdana" w:hAnsi="Verdana" w:cs="Arial"/>
          <w:sz w:val="20"/>
          <w:szCs w:val="20"/>
          <w:lang w:val="en-GB"/>
        </w:rPr>
        <w:t>I</w:t>
      </w:r>
      <w:r w:rsidRPr="00D30EE1">
        <w:rPr>
          <w:rFonts w:ascii="Verdana" w:hAnsi="Verdana" w:cs="Arial"/>
          <w:sz w:val="20"/>
          <w:szCs w:val="20"/>
          <w:lang w:val="en-GB"/>
        </w:rPr>
        <w:t>t should be made clear that</w:t>
      </w:r>
      <w:r>
        <w:rPr>
          <w:rFonts w:ascii="Verdana" w:hAnsi="Verdana" w:cs="Arial"/>
          <w:sz w:val="20"/>
          <w:szCs w:val="20"/>
          <w:lang w:val="en-GB"/>
        </w:rPr>
        <w:t>,</w:t>
      </w:r>
      <w:r w:rsidRPr="00D30EE1">
        <w:rPr>
          <w:rFonts w:ascii="Verdana" w:hAnsi="Verdana" w:cs="Arial"/>
          <w:sz w:val="20"/>
          <w:szCs w:val="20"/>
          <w:lang w:val="en-GB"/>
        </w:rPr>
        <w:t xml:space="preserve"> if the funding of home country is not enough to cover living expenses</w:t>
      </w:r>
      <w:r>
        <w:rPr>
          <w:rFonts w:ascii="Verdana" w:hAnsi="Verdana" w:cs="Arial"/>
          <w:sz w:val="20"/>
          <w:szCs w:val="20"/>
          <w:lang w:val="en-GB"/>
        </w:rPr>
        <w:t>,</w:t>
      </w:r>
      <w:r w:rsidRPr="00D30EE1">
        <w:rPr>
          <w:rFonts w:ascii="Verdana" w:hAnsi="Verdana" w:cs="Arial"/>
          <w:sz w:val="20"/>
          <w:szCs w:val="20"/>
          <w:lang w:val="en-GB"/>
        </w:rPr>
        <w:t xml:space="preserve"> the host country could compliment </w:t>
      </w:r>
      <w:r>
        <w:rPr>
          <w:rFonts w:ascii="Verdana" w:hAnsi="Verdana" w:cs="Arial"/>
          <w:sz w:val="20"/>
          <w:szCs w:val="20"/>
          <w:lang w:val="en-GB"/>
        </w:rPr>
        <w:t xml:space="preserve">it </w:t>
      </w:r>
      <w:r w:rsidRPr="00D30EE1">
        <w:rPr>
          <w:rFonts w:ascii="Verdana" w:hAnsi="Verdana" w:cs="Arial"/>
          <w:sz w:val="20"/>
          <w:szCs w:val="20"/>
          <w:lang w:val="en-GB"/>
        </w:rPr>
        <w:t xml:space="preserve">up to the real costs. </w:t>
      </w:r>
      <w:r w:rsidRPr="00C31021">
        <w:rPr>
          <w:rFonts w:ascii="Verdana" w:hAnsi="Verdana"/>
          <w:sz w:val="20"/>
          <w:szCs w:val="20"/>
          <w:lang w:val="en-GB"/>
        </w:rPr>
        <w:t>Bearing in mind all the above mentioned, it is important to underline that the financial</w:t>
      </w:r>
      <w:r w:rsidRPr="00D30EE1">
        <w:rPr>
          <w:rFonts w:ascii="Verdana" w:hAnsi="Verdana" w:cs="Arial"/>
          <w:sz w:val="20"/>
          <w:szCs w:val="20"/>
          <w:lang w:val="en-GB"/>
        </w:rPr>
        <w:t xml:space="preserve"> support should not be granted twice for the same cause within the EHEA.</w:t>
      </w:r>
    </w:p>
    <w:p w:rsidR="00CA0825" w:rsidRPr="00844CB9" w:rsidRDefault="00CA0825" w:rsidP="004756F9">
      <w:pPr>
        <w:spacing w:after="0" w:line="312" w:lineRule="auto"/>
        <w:jc w:val="both"/>
        <w:rPr>
          <w:rFonts w:ascii="Verdana" w:hAnsi="Verdana"/>
          <w:b/>
          <w:sz w:val="20"/>
          <w:szCs w:val="20"/>
          <w:lang w:val="en-GB"/>
        </w:rPr>
      </w:pPr>
    </w:p>
    <w:p w:rsidR="00E33D68" w:rsidRPr="00844CB9" w:rsidRDefault="00E33D68" w:rsidP="004756F9">
      <w:pPr>
        <w:spacing w:after="0" w:line="312" w:lineRule="auto"/>
        <w:jc w:val="both"/>
        <w:rPr>
          <w:rFonts w:ascii="Verdana" w:hAnsi="Verdana"/>
          <w:b/>
          <w:sz w:val="20"/>
          <w:szCs w:val="20"/>
          <w:lang w:val="en-GB"/>
        </w:rPr>
      </w:pPr>
      <w:r w:rsidRPr="00C31021">
        <w:rPr>
          <w:rFonts w:ascii="Verdana" w:hAnsi="Verdana"/>
          <w:b/>
          <w:sz w:val="20"/>
          <w:szCs w:val="20"/>
          <w:lang w:val="en-GB"/>
        </w:rPr>
        <w:t>Quality in Mobility</w:t>
      </w:r>
    </w:p>
    <w:p w:rsidR="00E33D68" w:rsidRPr="00844CB9" w:rsidRDefault="00E33D68" w:rsidP="004756F9">
      <w:pPr>
        <w:spacing w:after="0" w:line="312" w:lineRule="auto"/>
        <w:jc w:val="both"/>
        <w:rPr>
          <w:rFonts w:ascii="Verdana" w:hAnsi="Verdana"/>
          <w:b/>
          <w:sz w:val="20"/>
          <w:szCs w:val="20"/>
          <w:lang w:val="en-GB"/>
        </w:rPr>
      </w:pPr>
    </w:p>
    <w:p w:rsidR="00812F98" w:rsidRPr="00D30EE1" w:rsidRDefault="00812F98" w:rsidP="00812F98">
      <w:pPr>
        <w:spacing w:line="312" w:lineRule="auto"/>
        <w:jc w:val="both"/>
        <w:rPr>
          <w:rFonts w:ascii="Verdana" w:hAnsi="Verdana"/>
          <w:sz w:val="20"/>
          <w:szCs w:val="20"/>
          <w:lang w:val="en-GB"/>
        </w:rPr>
      </w:pPr>
      <w:r>
        <w:rPr>
          <w:rFonts w:ascii="Verdana" w:hAnsi="Verdana"/>
          <w:sz w:val="20"/>
          <w:szCs w:val="20"/>
          <w:lang w:val="en-GB"/>
        </w:rPr>
        <w:lastRenderedPageBreak/>
        <w:t>O</w:t>
      </w:r>
      <w:r w:rsidRPr="00C31021">
        <w:rPr>
          <w:rFonts w:ascii="Verdana" w:hAnsi="Verdana"/>
          <w:sz w:val="20"/>
          <w:szCs w:val="20"/>
          <w:lang w:val="en-GB"/>
        </w:rPr>
        <w:t xml:space="preserve">pening the debates on the issue, the Austrian Co-Chair introduced the </w:t>
      </w:r>
      <w:r w:rsidRPr="00844CB9">
        <w:rPr>
          <w:rFonts w:ascii="Verdana" w:hAnsi="Verdana"/>
          <w:sz w:val="20"/>
          <w:szCs w:val="20"/>
          <w:lang w:val="en-GB"/>
        </w:rPr>
        <w:t>Europe</w:t>
      </w:r>
      <w:r>
        <w:rPr>
          <w:rFonts w:ascii="Verdana" w:hAnsi="Verdana"/>
          <w:sz w:val="20"/>
          <w:szCs w:val="20"/>
          <w:lang w:val="en-GB"/>
        </w:rPr>
        <w:t>an Quality Charter for Mobility</w:t>
      </w:r>
      <w:r>
        <w:rPr>
          <w:rStyle w:val="FootnoteReference"/>
          <w:rFonts w:ascii="Verdana" w:hAnsi="Verdana"/>
          <w:sz w:val="20"/>
          <w:szCs w:val="20"/>
          <w:lang w:val="en-GB"/>
        </w:rPr>
        <w:footnoteReference w:id="2"/>
      </w:r>
      <w:r w:rsidRPr="00931630">
        <w:rPr>
          <w:rFonts w:ascii="Verdana" w:hAnsi="Verdana"/>
          <w:sz w:val="20"/>
          <w:szCs w:val="20"/>
        </w:rPr>
        <w:t xml:space="preserve"> </w:t>
      </w:r>
      <w:r w:rsidRPr="00844CB9">
        <w:rPr>
          <w:rFonts w:ascii="Verdana" w:hAnsi="Verdana"/>
          <w:sz w:val="20"/>
          <w:szCs w:val="20"/>
          <w:lang w:val="en-GB"/>
        </w:rPr>
        <w:t>as basis for the WG discussion</w:t>
      </w:r>
      <w:r>
        <w:rPr>
          <w:rFonts w:ascii="Verdana" w:hAnsi="Verdana"/>
          <w:sz w:val="20"/>
          <w:szCs w:val="20"/>
          <w:lang w:val="en-GB"/>
        </w:rPr>
        <w:t xml:space="preserve"> because many of its proposals have not been properly implemented and heeded. </w:t>
      </w:r>
      <w:r w:rsidRPr="00844CB9">
        <w:rPr>
          <w:rFonts w:ascii="Verdana" w:hAnsi="Verdana"/>
          <w:sz w:val="20"/>
          <w:szCs w:val="20"/>
          <w:lang w:val="en-GB"/>
        </w:rPr>
        <w:t xml:space="preserve">It was suggested to </w:t>
      </w:r>
      <w:r w:rsidRPr="00C31021">
        <w:rPr>
          <w:rFonts w:ascii="Verdana" w:hAnsi="Verdana"/>
          <w:sz w:val="20"/>
          <w:szCs w:val="20"/>
          <w:lang w:val="en-GB"/>
        </w:rPr>
        <w:t>create a</w:t>
      </w:r>
      <w:r w:rsidR="005F15DB">
        <w:rPr>
          <w:rFonts w:ascii="Verdana" w:hAnsi="Verdana"/>
          <w:sz w:val="20"/>
          <w:szCs w:val="20"/>
          <w:lang w:val="en-GB"/>
        </w:rPr>
        <w:t xml:space="preserve"> non-exhaustive</w:t>
      </w:r>
      <w:r w:rsidRPr="00C31021">
        <w:rPr>
          <w:rFonts w:ascii="Verdana" w:hAnsi="Verdana"/>
          <w:sz w:val="20"/>
          <w:szCs w:val="20"/>
          <w:lang w:val="en-GB"/>
        </w:rPr>
        <w:t xml:space="preserve"> list of good practice examples on the basis of recommendations included in the Charter. Moreover, t</w:t>
      </w:r>
      <w:r w:rsidRPr="00D30EE1">
        <w:rPr>
          <w:rFonts w:ascii="Verdana" w:hAnsi="Verdana"/>
          <w:sz w:val="20"/>
          <w:szCs w:val="20"/>
          <w:lang w:val="en-GB"/>
        </w:rPr>
        <w:t xml:space="preserve">he discussion revealed the need to generate </w:t>
      </w:r>
      <w:r>
        <w:rPr>
          <w:rFonts w:ascii="Verdana" w:hAnsi="Verdana"/>
          <w:sz w:val="20"/>
          <w:szCs w:val="20"/>
          <w:lang w:val="en-GB"/>
        </w:rPr>
        <w:t xml:space="preserve">a few </w:t>
      </w:r>
      <w:r w:rsidRPr="00D30EE1">
        <w:rPr>
          <w:rFonts w:ascii="Verdana" w:hAnsi="Verdana"/>
          <w:sz w:val="20"/>
          <w:szCs w:val="20"/>
          <w:lang w:val="en-GB"/>
        </w:rPr>
        <w:t>specific cases o</w:t>
      </w:r>
      <w:r>
        <w:rPr>
          <w:rFonts w:ascii="Verdana" w:hAnsi="Verdana"/>
          <w:sz w:val="20"/>
          <w:szCs w:val="20"/>
          <w:lang w:val="en-GB"/>
        </w:rPr>
        <w:t>f</w:t>
      </w:r>
      <w:r w:rsidRPr="00D30EE1">
        <w:rPr>
          <w:rFonts w:ascii="Verdana" w:hAnsi="Verdana"/>
          <w:sz w:val="20"/>
          <w:szCs w:val="20"/>
          <w:lang w:val="en-GB"/>
        </w:rPr>
        <w:t xml:space="preserve"> quality mobility and how those cases are defined and implemented on institutional level. The representatives of DAAD, </w:t>
      </w:r>
      <w:proofErr w:type="spellStart"/>
      <w:r w:rsidRPr="00D30EE1">
        <w:rPr>
          <w:rFonts w:ascii="Verdana" w:hAnsi="Verdana"/>
          <w:sz w:val="20"/>
          <w:szCs w:val="20"/>
          <w:lang w:val="en-GB"/>
        </w:rPr>
        <w:t>CoE</w:t>
      </w:r>
      <w:proofErr w:type="spellEnd"/>
      <w:r w:rsidRPr="00D30EE1">
        <w:rPr>
          <w:rFonts w:ascii="Verdana" w:hAnsi="Verdana"/>
          <w:sz w:val="20"/>
          <w:szCs w:val="20"/>
          <w:lang w:val="en-GB"/>
        </w:rPr>
        <w:t xml:space="preserve"> and EC volunteered to follow this initiative.</w:t>
      </w:r>
    </w:p>
    <w:p w:rsidR="00E33D68" w:rsidRPr="00C31021" w:rsidRDefault="00E33D68" w:rsidP="005A2DA8">
      <w:pPr>
        <w:spacing w:after="0" w:line="312" w:lineRule="auto"/>
        <w:jc w:val="both"/>
        <w:rPr>
          <w:rFonts w:ascii="Verdana" w:hAnsi="Verdana"/>
          <w:sz w:val="20"/>
          <w:szCs w:val="20"/>
          <w:lang w:val="en-GB"/>
        </w:rPr>
      </w:pPr>
      <w:r w:rsidRPr="00C31021">
        <w:rPr>
          <w:rFonts w:ascii="Verdana" w:hAnsi="Verdana"/>
          <w:sz w:val="20"/>
          <w:szCs w:val="20"/>
          <w:lang w:val="en-GB"/>
        </w:rPr>
        <w:t>The deliberations of the WG revealed the need to address following important points:</w:t>
      </w:r>
    </w:p>
    <w:p w:rsidR="00E33D68" w:rsidRPr="00C31021" w:rsidRDefault="00E33D68" w:rsidP="005A2DA8">
      <w:pPr>
        <w:spacing w:after="0" w:line="288" w:lineRule="auto"/>
        <w:jc w:val="both"/>
        <w:rPr>
          <w:rFonts w:ascii="Verdana" w:hAnsi="Verdana"/>
          <w:sz w:val="20"/>
          <w:szCs w:val="20"/>
          <w:lang w:val="en-GB"/>
        </w:rPr>
      </w:pPr>
    </w:p>
    <w:p w:rsidR="00700987" w:rsidRPr="00C31021" w:rsidRDefault="00700987" w:rsidP="00B07A9D">
      <w:pPr>
        <w:numPr>
          <w:ilvl w:val="0"/>
          <w:numId w:val="4"/>
        </w:numPr>
        <w:spacing w:after="0" w:line="312" w:lineRule="auto"/>
        <w:jc w:val="both"/>
        <w:rPr>
          <w:rFonts w:ascii="Verdana" w:hAnsi="Verdana"/>
          <w:sz w:val="20"/>
          <w:szCs w:val="20"/>
          <w:lang w:val="en-GB"/>
        </w:rPr>
      </w:pPr>
      <w:r w:rsidRPr="00C31021">
        <w:rPr>
          <w:rFonts w:ascii="Verdana" w:hAnsi="Verdana"/>
          <w:sz w:val="20"/>
          <w:szCs w:val="20"/>
          <w:lang w:val="en-GB"/>
        </w:rPr>
        <w:t xml:space="preserve">There is a need to differentiate between the quality of mobility </w:t>
      </w:r>
      <w:r>
        <w:rPr>
          <w:rFonts w:ascii="Verdana" w:hAnsi="Verdana"/>
          <w:sz w:val="20"/>
          <w:szCs w:val="20"/>
          <w:lang w:val="en-GB"/>
        </w:rPr>
        <w:t xml:space="preserve">proper </w:t>
      </w:r>
      <w:r w:rsidRPr="00C31021">
        <w:rPr>
          <w:rFonts w:ascii="Verdana" w:hAnsi="Verdana"/>
          <w:sz w:val="20"/>
          <w:szCs w:val="20"/>
          <w:lang w:val="en-GB"/>
        </w:rPr>
        <w:t xml:space="preserve">and </w:t>
      </w:r>
      <w:r>
        <w:rPr>
          <w:rFonts w:ascii="Verdana" w:hAnsi="Verdana"/>
          <w:sz w:val="20"/>
          <w:szCs w:val="20"/>
          <w:lang w:val="en-GB"/>
        </w:rPr>
        <w:t xml:space="preserve">the academic </w:t>
      </w:r>
      <w:r w:rsidRPr="00C31021">
        <w:rPr>
          <w:rFonts w:ascii="Verdana" w:hAnsi="Verdana"/>
          <w:sz w:val="20"/>
          <w:szCs w:val="20"/>
          <w:lang w:val="en-GB"/>
        </w:rPr>
        <w:t>quality of the programs</w:t>
      </w:r>
      <w:r>
        <w:rPr>
          <w:rFonts w:ascii="Verdana" w:hAnsi="Verdana"/>
          <w:sz w:val="20"/>
          <w:szCs w:val="20"/>
          <w:lang w:val="en-GB"/>
        </w:rPr>
        <w:t xml:space="preserve"> and/or institution, whereby the latter is secured through the established quality assurance mechanisms. That said, the role that mobility plays in quality assurance (what elements are considered) should indeed be discussed</w:t>
      </w:r>
      <w:r w:rsidRPr="00C31021">
        <w:rPr>
          <w:rFonts w:ascii="Verdana" w:hAnsi="Verdana"/>
          <w:sz w:val="20"/>
          <w:szCs w:val="20"/>
          <w:lang w:val="en-GB"/>
        </w:rPr>
        <w:t>;</w:t>
      </w:r>
    </w:p>
    <w:p w:rsidR="00700987" w:rsidRDefault="00700987" w:rsidP="00B07A9D">
      <w:pPr>
        <w:numPr>
          <w:ilvl w:val="0"/>
          <w:numId w:val="4"/>
        </w:numPr>
        <w:spacing w:after="0" w:line="312" w:lineRule="auto"/>
        <w:jc w:val="both"/>
        <w:rPr>
          <w:rFonts w:ascii="Verdana" w:hAnsi="Verdana"/>
          <w:sz w:val="20"/>
          <w:szCs w:val="20"/>
          <w:lang w:val="en-GB"/>
        </w:rPr>
      </w:pPr>
      <w:r>
        <w:rPr>
          <w:rFonts w:ascii="Verdana" w:hAnsi="Verdana"/>
          <w:sz w:val="20"/>
          <w:szCs w:val="20"/>
          <w:lang w:val="en-GB"/>
        </w:rPr>
        <w:t>Ensuring the quality of the mobility experience should address the full life-cycle of mobility, from promoting and preparing it, to monitoring academic quality, to ensuring student services, to general evaluation of st</w:t>
      </w:r>
      <w:r w:rsidR="00130BD3">
        <w:rPr>
          <w:rFonts w:ascii="Verdana" w:hAnsi="Verdana"/>
          <w:sz w:val="20"/>
          <w:szCs w:val="20"/>
          <w:lang w:val="en-GB"/>
        </w:rPr>
        <w:t>udents and staff participating;</w:t>
      </w:r>
    </w:p>
    <w:p w:rsidR="00700987" w:rsidRPr="00C31021" w:rsidRDefault="00700987" w:rsidP="00B07A9D">
      <w:pPr>
        <w:numPr>
          <w:ilvl w:val="0"/>
          <w:numId w:val="4"/>
        </w:numPr>
        <w:spacing w:after="0" w:line="312" w:lineRule="auto"/>
        <w:jc w:val="both"/>
        <w:rPr>
          <w:rFonts w:ascii="Verdana" w:hAnsi="Verdana"/>
          <w:sz w:val="20"/>
          <w:szCs w:val="20"/>
          <w:lang w:val="en-GB"/>
        </w:rPr>
      </w:pPr>
      <w:r w:rsidRPr="00C31021">
        <w:rPr>
          <w:rFonts w:ascii="Verdana" w:hAnsi="Verdana"/>
          <w:sz w:val="20"/>
          <w:szCs w:val="20"/>
          <w:lang w:val="en-GB"/>
        </w:rPr>
        <w:t>Incoming students and teachers play an important role in internationalisation at home;</w:t>
      </w:r>
    </w:p>
    <w:p w:rsidR="00700987" w:rsidRPr="00C31021" w:rsidRDefault="00700987" w:rsidP="00B07A9D">
      <w:pPr>
        <w:numPr>
          <w:ilvl w:val="0"/>
          <w:numId w:val="4"/>
        </w:numPr>
        <w:spacing w:after="0" w:line="312" w:lineRule="auto"/>
        <w:jc w:val="both"/>
        <w:rPr>
          <w:rFonts w:ascii="Verdana" w:hAnsi="Verdana"/>
          <w:sz w:val="20"/>
          <w:szCs w:val="20"/>
          <w:lang w:val="en-GB"/>
        </w:rPr>
      </w:pPr>
      <w:r w:rsidRPr="00C31021">
        <w:rPr>
          <w:rFonts w:ascii="Verdana" w:hAnsi="Verdana"/>
          <w:sz w:val="20"/>
          <w:szCs w:val="20"/>
          <w:lang w:val="en-GB"/>
        </w:rPr>
        <w:t>A tool for monitoring the quality of partnership between HEIs could be created;</w:t>
      </w:r>
    </w:p>
    <w:p w:rsidR="00700987" w:rsidRDefault="00700987" w:rsidP="00B07A9D">
      <w:pPr>
        <w:numPr>
          <w:ilvl w:val="0"/>
          <w:numId w:val="5"/>
        </w:numPr>
        <w:spacing w:after="0" w:line="312" w:lineRule="auto"/>
        <w:jc w:val="both"/>
        <w:rPr>
          <w:rFonts w:ascii="Verdana" w:hAnsi="Verdana"/>
          <w:sz w:val="20"/>
          <w:szCs w:val="20"/>
          <w:lang w:val="en-GB"/>
        </w:rPr>
      </w:pPr>
      <w:r w:rsidRPr="00700987">
        <w:rPr>
          <w:rFonts w:ascii="Verdana" w:hAnsi="Verdana"/>
          <w:sz w:val="20"/>
          <w:szCs w:val="20"/>
          <w:lang w:val="en-GB"/>
        </w:rPr>
        <w:t xml:space="preserve">The institutions should internationalize more, to improve students’ soft skills and to increase their employability through the  acquisition of intercultural competences; </w:t>
      </w:r>
    </w:p>
    <w:p w:rsidR="00E33D68" w:rsidRDefault="00700987" w:rsidP="00B07A9D">
      <w:pPr>
        <w:numPr>
          <w:ilvl w:val="0"/>
          <w:numId w:val="5"/>
        </w:numPr>
        <w:spacing w:after="0" w:line="312" w:lineRule="auto"/>
        <w:jc w:val="both"/>
        <w:rPr>
          <w:rFonts w:ascii="Verdana" w:hAnsi="Verdana"/>
          <w:sz w:val="20"/>
          <w:szCs w:val="20"/>
          <w:lang w:val="en-GB"/>
        </w:rPr>
      </w:pPr>
      <w:r w:rsidRPr="00700987">
        <w:rPr>
          <w:rFonts w:ascii="Verdana" w:hAnsi="Verdana"/>
          <w:sz w:val="20"/>
          <w:szCs w:val="20"/>
          <w:lang w:val="en-GB"/>
        </w:rPr>
        <w:t>Evaluations of the mobility experience should be public.</w:t>
      </w:r>
    </w:p>
    <w:p w:rsidR="005F15DB" w:rsidRPr="00700987" w:rsidRDefault="005F15DB" w:rsidP="00E424CE">
      <w:pPr>
        <w:spacing w:after="0" w:line="312" w:lineRule="auto"/>
        <w:ind w:left="1080"/>
        <w:jc w:val="both"/>
        <w:rPr>
          <w:rFonts w:ascii="Verdana" w:hAnsi="Verdana"/>
          <w:sz w:val="20"/>
          <w:szCs w:val="20"/>
          <w:lang w:val="en-GB"/>
        </w:rPr>
      </w:pPr>
    </w:p>
    <w:p w:rsidR="00E33D68" w:rsidRPr="00C31021" w:rsidRDefault="00E33D68" w:rsidP="00D27B28">
      <w:pPr>
        <w:spacing w:after="0" w:line="312" w:lineRule="auto"/>
        <w:jc w:val="both"/>
        <w:rPr>
          <w:rFonts w:ascii="Verdana" w:hAnsi="Verdana"/>
          <w:sz w:val="20"/>
          <w:szCs w:val="20"/>
          <w:lang w:val="en-GB"/>
        </w:rPr>
      </w:pPr>
      <w:r w:rsidRPr="00C31021">
        <w:rPr>
          <w:rFonts w:ascii="Verdana" w:hAnsi="Verdana"/>
          <w:sz w:val="20"/>
          <w:szCs w:val="20"/>
          <w:lang w:val="en-GB"/>
        </w:rPr>
        <w:t xml:space="preserve">While presenting his vision of the issue to the WG the Austrian Co-Chair mainly noted that mobility can be divided into three stages: pre-mobility, the actual mobility period and post-mobility stage. The overall quality of a mobility activity is determined by the quality of the services offered along these stages, as well as, naturally, by the quality of the study and research programs, internships, etc. and the quality of the teachers. During the pre-mobility stage students, professors or researchers should have access to information on hosting institution and the learning plan. The linguistic, intercultural </w:t>
      </w:r>
      <w:r w:rsidR="00E841A1">
        <w:rPr>
          <w:rFonts w:ascii="Verdana" w:hAnsi="Verdana"/>
          <w:sz w:val="20"/>
          <w:szCs w:val="20"/>
          <w:lang w:val="en-GB"/>
        </w:rPr>
        <w:t>and other necessary preparatory measures, such as finance must take place at this stage.</w:t>
      </w:r>
      <w:r w:rsidRPr="00C31021">
        <w:rPr>
          <w:rFonts w:ascii="Verdana" w:hAnsi="Verdana"/>
          <w:sz w:val="20"/>
          <w:szCs w:val="20"/>
          <w:lang w:val="en-GB"/>
        </w:rPr>
        <w:t xml:space="preserve"> </w:t>
      </w:r>
    </w:p>
    <w:p w:rsidR="00E33D68" w:rsidRPr="00C31021" w:rsidRDefault="00E33D68" w:rsidP="00D27B28">
      <w:pPr>
        <w:spacing w:after="0" w:line="312" w:lineRule="auto"/>
        <w:jc w:val="both"/>
        <w:rPr>
          <w:rFonts w:ascii="Verdana" w:hAnsi="Verdana"/>
          <w:sz w:val="20"/>
          <w:szCs w:val="20"/>
          <w:lang w:val="en-GB"/>
        </w:rPr>
      </w:pPr>
    </w:p>
    <w:p w:rsidR="00E33D68" w:rsidRPr="00C31021" w:rsidRDefault="00E33D68" w:rsidP="00D27B28">
      <w:pPr>
        <w:spacing w:after="0" w:line="312" w:lineRule="auto"/>
        <w:jc w:val="both"/>
        <w:rPr>
          <w:rFonts w:ascii="Verdana" w:hAnsi="Verdana"/>
          <w:sz w:val="20"/>
          <w:szCs w:val="20"/>
          <w:lang w:val="en-GB"/>
        </w:rPr>
      </w:pPr>
      <w:r w:rsidRPr="00C31021">
        <w:rPr>
          <w:rFonts w:ascii="Verdana" w:hAnsi="Verdana"/>
          <w:sz w:val="20"/>
          <w:szCs w:val="20"/>
          <w:lang w:val="en-GB"/>
        </w:rPr>
        <w:t>At the second stage of mobility the provision of logistic support is essential. Thus, not only the host institution should take care of the person being mobile, but the sending institution itself should keep contact with student or staff</w:t>
      </w:r>
      <w:r w:rsidR="00E841A1">
        <w:rPr>
          <w:rFonts w:ascii="Verdana" w:hAnsi="Verdana"/>
          <w:sz w:val="20"/>
          <w:szCs w:val="20"/>
          <w:lang w:val="en-GB"/>
        </w:rPr>
        <w:t xml:space="preserve"> in order to ensure proper mentoring</w:t>
      </w:r>
      <w:r w:rsidRPr="00C31021">
        <w:rPr>
          <w:rFonts w:ascii="Verdana" w:hAnsi="Verdana"/>
          <w:sz w:val="20"/>
          <w:szCs w:val="20"/>
          <w:lang w:val="en-GB"/>
        </w:rPr>
        <w:t xml:space="preserve">. After the mobility experience there are several relevant issues to be considered, among them </w:t>
      </w:r>
      <w:r w:rsidRPr="00C31021">
        <w:rPr>
          <w:rFonts w:ascii="Verdana" w:hAnsi="Verdana"/>
          <w:sz w:val="20"/>
          <w:szCs w:val="20"/>
          <w:lang w:val="en-GB"/>
        </w:rPr>
        <w:lastRenderedPageBreak/>
        <w:t xml:space="preserve">recognition, reintegration into the study, research and the study or work environment at home. It is also important to commit people to share their mobility experience with </w:t>
      </w:r>
      <w:r w:rsidR="0091125B">
        <w:rPr>
          <w:rFonts w:ascii="Verdana" w:hAnsi="Verdana"/>
          <w:sz w:val="20"/>
          <w:szCs w:val="20"/>
          <w:lang w:val="en-GB"/>
        </w:rPr>
        <w:t>those</w:t>
      </w:r>
      <w:r w:rsidRPr="00C31021">
        <w:rPr>
          <w:rFonts w:ascii="Verdana" w:hAnsi="Verdana"/>
          <w:sz w:val="20"/>
          <w:szCs w:val="20"/>
          <w:lang w:val="en-GB"/>
        </w:rPr>
        <w:t xml:space="preserve"> who are going to become mobile and also those who may not have a chance to embark on an international experience (“internationalization at home”).  </w:t>
      </w:r>
    </w:p>
    <w:p w:rsidR="00E33D68" w:rsidRPr="00C31021" w:rsidRDefault="00E33D68" w:rsidP="00D27B28">
      <w:pPr>
        <w:spacing w:after="0" w:line="312" w:lineRule="auto"/>
        <w:jc w:val="both"/>
        <w:rPr>
          <w:rFonts w:ascii="Verdana" w:hAnsi="Verdana"/>
          <w:sz w:val="20"/>
          <w:szCs w:val="20"/>
          <w:lang w:val="en-GB"/>
        </w:rPr>
      </w:pPr>
    </w:p>
    <w:p w:rsidR="00E33D68" w:rsidRDefault="00914161" w:rsidP="008A78C4">
      <w:pPr>
        <w:spacing w:after="0" w:line="312" w:lineRule="auto"/>
        <w:jc w:val="both"/>
        <w:rPr>
          <w:rFonts w:ascii="Verdana" w:hAnsi="Verdana"/>
          <w:sz w:val="20"/>
          <w:szCs w:val="20"/>
          <w:lang w:val="en-GB"/>
        </w:rPr>
      </w:pPr>
      <w:r>
        <w:rPr>
          <w:rFonts w:ascii="Verdana" w:hAnsi="Verdana"/>
          <w:sz w:val="20"/>
          <w:szCs w:val="20"/>
          <w:lang w:val="en-GB"/>
        </w:rPr>
        <w:t>M</w:t>
      </w:r>
      <w:r w:rsidR="00E33D68" w:rsidRPr="00C31021">
        <w:rPr>
          <w:rFonts w:ascii="Verdana" w:hAnsi="Verdana"/>
          <w:sz w:val="20"/>
          <w:szCs w:val="20"/>
          <w:lang w:val="en-GB"/>
        </w:rPr>
        <w:t xml:space="preserve">obility </w:t>
      </w:r>
      <w:r>
        <w:rPr>
          <w:rFonts w:ascii="Verdana" w:hAnsi="Verdana"/>
          <w:sz w:val="20"/>
          <w:szCs w:val="20"/>
          <w:lang w:val="en-GB"/>
        </w:rPr>
        <w:t>must</w:t>
      </w:r>
      <w:r w:rsidR="00E33D68" w:rsidRPr="00C31021">
        <w:rPr>
          <w:rFonts w:ascii="Verdana" w:hAnsi="Verdana"/>
          <w:sz w:val="20"/>
          <w:szCs w:val="20"/>
          <w:lang w:val="en-GB"/>
        </w:rPr>
        <w:t xml:space="preserve"> be structured, well prepared and quality assured. The learning plan, being a responsibility of the academic coordinator as </w:t>
      </w:r>
      <w:r w:rsidR="00E33D68" w:rsidRPr="00844CB9">
        <w:rPr>
          <w:rFonts w:ascii="Verdana" w:hAnsi="Verdana"/>
          <w:sz w:val="20"/>
          <w:szCs w:val="20"/>
          <w:lang w:val="en-GB"/>
        </w:rPr>
        <w:t>well as the student, should be automatically recogni</w:t>
      </w:r>
      <w:r w:rsidR="00E33D68">
        <w:rPr>
          <w:rFonts w:ascii="Verdana" w:hAnsi="Verdana"/>
          <w:sz w:val="20"/>
          <w:szCs w:val="20"/>
          <w:lang w:val="en-GB"/>
        </w:rPr>
        <w:t>s</w:t>
      </w:r>
      <w:r w:rsidR="00E33D68" w:rsidRPr="00844CB9">
        <w:rPr>
          <w:rFonts w:ascii="Verdana" w:hAnsi="Verdana"/>
          <w:sz w:val="20"/>
          <w:szCs w:val="20"/>
          <w:lang w:val="en-GB"/>
        </w:rPr>
        <w:t xml:space="preserve">ed once all learning </w:t>
      </w:r>
      <w:r w:rsidR="00E33D68" w:rsidRPr="00C31021">
        <w:rPr>
          <w:rFonts w:ascii="Verdana" w:hAnsi="Verdana"/>
          <w:sz w:val="20"/>
          <w:szCs w:val="20"/>
          <w:lang w:val="en-GB"/>
        </w:rPr>
        <w:t>activities in the host institution ar</w:t>
      </w:r>
      <w:r w:rsidR="00036ED9">
        <w:rPr>
          <w:rFonts w:ascii="Verdana" w:hAnsi="Verdana"/>
          <w:sz w:val="20"/>
          <w:szCs w:val="20"/>
          <w:lang w:val="en-GB"/>
        </w:rPr>
        <w:t>e agreed</w:t>
      </w:r>
      <w:r w:rsidR="00E33D68" w:rsidRPr="00C31021">
        <w:rPr>
          <w:rFonts w:ascii="Verdana" w:hAnsi="Verdana"/>
          <w:sz w:val="20"/>
          <w:szCs w:val="20"/>
          <w:lang w:val="en-GB"/>
        </w:rPr>
        <w:t xml:space="preserve">. A learning path that fits the personal needs of students or staff should be set up. Moreover, relevant mobility information should be included in </w:t>
      </w:r>
      <w:r w:rsidR="000E2F43">
        <w:rPr>
          <w:rFonts w:ascii="Verdana" w:hAnsi="Verdana"/>
          <w:sz w:val="20"/>
          <w:szCs w:val="20"/>
          <w:lang w:val="en-GB"/>
        </w:rPr>
        <w:t xml:space="preserve">the </w:t>
      </w:r>
      <w:r w:rsidR="00E33D68" w:rsidRPr="00C31021">
        <w:rPr>
          <w:rFonts w:ascii="Verdana" w:hAnsi="Verdana"/>
          <w:sz w:val="20"/>
          <w:szCs w:val="20"/>
          <w:lang w:val="en-GB"/>
        </w:rPr>
        <w:t>Diploma Supplement.</w:t>
      </w:r>
    </w:p>
    <w:p w:rsidR="00AC70A4" w:rsidRDefault="00AC70A4" w:rsidP="008A78C4">
      <w:pPr>
        <w:spacing w:after="0" w:line="312" w:lineRule="auto"/>
        <w:jc w:val="both"/>
        <w:rPr>
          <w:rFonts w:ascii="Verdana" w:hAnsi="Verdana"/>
          <w:sz w:val="20"/>
          <w:szCs w:val="20"/>
          <w:lang w:val="en-GB"/>
        </w:rPr>
      </w:pPr>
    </w:p>
    <w:p w:rsidR="00AC70A4" w:rsidRPr="00C31021" w:rsidRDefault="00AC70A4" w:rsidP="008A78C4">
      <w:pPr>
        <w:spacing w:after="0" w:line="312" w:lineRule="auto"/>
        <w:jc w:val="both"/>
        <w:rPr>
          <w:rFonts w:ascii="Verdana" w:hAnsi="Verdana"/>
          <w:sz w:val="20"/>
          <w:szCs w:val="20"/>
          <w:lang w:val="en-GB"/>
        </w:rPr>
      </w:pPr>
      <w:r>
        <w:rPr>
          <w:rFonts w:ascii="Verdana" w:hAnsi="Verdana"/>
          <w:sz w:val="20"/>
          <w:szCs w:val="20"/>
          <w:lang w:val="en-GB"/>
        </w:rPr>
        <w:t>It was stressed that there is a wealth of good practice at institutional level regarding how quality of mobility can be defined and improved. The document drafted by the M&amp;I WG simply summarize</w:t>
      </w:r>
      <w:r w:rsidR="00170280">
        <w:rPr>
          <w:rFonts w:ascii="Verdana" w:hAnsi="Verdana"/>
          <w:sz w:val="20"/>
          <w:szCs w:val="20"/>
          <w:lang w:val="en-GB"/>
        </w:rPr>
        <w:t>s</w:t>
      </w:r>
      <w:r>
        <w:rPr>
          <w:rFonts w:ascii="Verdana" w:hAnsi="Verdana"/>
          <w:sz w:val="20"/>
          <w:szCs w:val="20"/>
          <w:lang w:val="en-GB"/>
        </w:rPr>
        <w:t xml:space="preserve"> some of these practices and attempts to raise political attention to the issue.  </w:t>
      </w:r>
    </w:p>
    <w:p w:rsidR="00E33D68" w:rsidRPr="00C31021" w:rsidRDefault="00E33D68" w:rsidP="00C83CFB">
      <w:pPr>
        <w:spacing w:after="0" w:line="288" w:lineRule="auto"/>
        <w:jc w:val="both"/>
        <w:rPr>
          <w:rFonts w:ascii="Verdana" w:hAnsi="Verdana"/>
          <w:sz w:val="20"/>
          <w:szCs w:val="20"/>
          <w:lang w:val="en-GB"/>
        </w:rPr>
      </w:pPr>
    </w:p>
    <w:p w:rsidR="00E33D68" w:rsidRPr="00C31021" w:rsidRDefault="00E33D68" w:rsidP="00C83CFB">
      <w:pPr>
        <w:spacing w:after="0" w:line="288" w:lineRule="auto"/>
        <w:jc w:val="both"/>
        <w:rPr>
          <w:rFonts w:ascii="Verdana" w:hAnsi="Verdana"/>
          <w:b/>
          <w:sz w:val="20"/>
          <w:szCs w:val="20"/>
          <w:lang w:val="en-GB"/>
        </w:rPr>
      </w:pPr>
      <w:r w:rsidRPr="00C31021">
        <w:rPr>
          <w:rFonts w:ascii="Verdana" w:hAnsi="Verdana"/>
          <w:b/>
          <w:sz w:val="20"/>
          <w:szCs w:val="20"/>
          <w:lang w:val="en-GB"/>
        </w:rPr>
        <w:t>Teacher Student</w:t>
      </w:r>
      <w:r>
        <w:rPr>
          <w:rFonts w:ascii="Verdana" w:hAnsi="Verdana"/>
          <w:b/>
          <w:sz w:val="20"/>
          <w:szCs w:val="20"/>
          <w:lang w:val="en-GB"/>
        </w:rPr>
        <w:t>’</w:t>
      </w:r>
      <w:r w:rsidRPr="00C31021">
        <w:rPr>
          <w:rFonts w:ascii="Verdana" w:hAnsi="Verdana"/>
          <w:b/>
          <w:sz w:val="20"/>
          <w:szCs w:val="20"/>
          <w:lang w:val="en-GB"/>
        </w:rPr>
        <w:t>s Mobility</w:t>
      </w:r>
    </w:p>
    <w:p w:rsidR="00E33D68" w:rsidRPr="00C31021" w:rsidRDefault="00E33D68" w:rsidP="00C83CFB">
      <w:pPr>
        <w:spacing w:after="0" w:line="288" w:lineRule="auto"/>
        <w:jc w:val="both"/>
        <w:rPr>
          <w:rFonts w:ascii="Verdana" w:hAnsi="Verdana"/>
          <w:b/>
          <w:sz w:val="20"/>
          <w:szCs w:val="20"/>
          <w:lang w:val="en-GB"/>
        </w:rPr>
      </w:pPr>
    </w:p>
    <w:p w:rsidR="00E33D68" w:rsidRPr="00C31021" w:rsidRDefault="00E33D68" w:rsidP="00641D3C">
      <w:pPr>
        <w:autoSpaceDE w:val="0"/>
        <w:autoSpaceDN w:val="0"/>
        <w:adjustRightInd w:val="0"/>
        <w:spacing w:after="0" w:line="312" w:lineRule="auto"/>
        <w:jc w:val="both"/>
        <w:rPr>
          <w:rFonts w:ascii="Verdana" w:hAnsi="Verdana" w:cs="Calibri"/>
          <w:color w:val="000000"/>
          <w:sz w:val="20"/>
          <w:szCs w:val="20"/>
          <w:lang w:val="en-GB"/>
        </w:rPr>
      </w:pPr>
      <w:r w:rsidRPr="00C31021">
        <w:rPr>
          <w:rFonts w:ascii="Verdana" w:hAnsi="Verdana" w:cs="Calibri"/>
          <w:bCs/>
          <w:color w:val="000000"/>
          <w:sz w:val="20"/>
          <w:szCs w:val="20"/>
          <w:lang w:val="en-GB"/>
        </w:rPr>
        <w:t>The issue of teacher student</w:t>
      </w:r>
      <w:r>
        <w:rPr>
          <w:rFonts w:ascii="Verdana" w:hAnsi="Verdana" w:cs="Calibri"/>
          <w:bCs/>
          <w:color w:val="000000"/>
          <w:sz w:val="20"/>
          <w:szCs w:val="20"/>
          <w:lang w:val="en-GB"/>
        </w:rPr>
        <w:t>’</w:t>
      </w:r>
      <w:r w:rsidRPr="00C31021">
        <w:rPr>
          <w:rFonts w:ascii="Verdana" w:hAnsi="Verdana" w:cs="Calibri"/>
          <w:bCs/>
          <w:color w:val="000000"/>
          <w:sz w:val="20"/>
          <w:szCs w:val="20"/>
          <w:lang w:val="en-GB"/>
        </w:rPr>
        <w:t xml:space="preserve">s mobility was </w:t>
      </w:r>
      <w:r w:rsidR="00CC446B">
        <w:rPr>
          <w:rFonts w:ascii="Verdana" w:hAnsi="Verdana" w:cs="Calibri"/>
          <w:bCs/>
          <w:color w:val="000000"/>
          <w:sz w:val="20"/>
          <w:szCs w:val="20"/>
          <w:lang w:val="en-GB"/>
        </w:rPr>
        <w:t>introduced</w:t>
      </w:r>
      <w:r w:rsidRPr="00C31021">
        <w:rPr>
          <w:rFonts w:ascii="Verdana" w:hAnsi="Verdana" w:cs="Calibri"/>
          <w:bCs/>
          <w:color w:val="000000"/>
          <w:sz w:val="20"/>
          <w:szCs w:val="20"/>
          <w:lang w:val="en-GB"/>
        </w:rPr>
        <w:t xml:space="preserve"> during the fourth meeting of the M&amp;I WG in Vienna. Mr. Julian </w:t>
      </w:r>
      <w:proofErr w:type="spellStart"/>
      <w:r w:rsidRPr="00C31021">
        <w:rPr>
          <w:rFonts w:ascii="Verdana" w:hAnsi="Verdana" w:cs="Calibri"/>
          <w:bCs/>
          <w:color w:val="000000"/>
          <w:sz w:val="20"/>
          <w:szCs w:val="20"/>
          <w:lang w:val="en-GB"/>
        </w:rPr>
        <w:t>Walkowiak</w:t>
      </w:r>
      <w:proofErr w:type="spellEnd"/>
      <w:r w:rsidRPr="00C31021">
        <w:rPr>
          <w:rFonts w:ascii="Verdana" w:hAnsi="Verdana" w:cs="Calibri"/>
          <w:bCs/>
          <w:color w:val="000000"/>
          <w:sz w:val="20"/>
          <w:szCs w:val="20"/>
          <w:lang w:val="en-GB"/>
        </w:rPr>
        <w:t>,</w:t>
      </w:r>
      <w:r w:rsidRPr="00C31021">
        <w:rPr>
          <w:rFonts w:ascii="Verdana" w:hAnsi="Verdana" w:cs="Calibri"/>
          <w:b/>
          <w:bCs/>
          <w:color w:val="000000"/>
          <w:sz w:val="20"/>
          <w:szCs w:val="20"/>
          <w:lang w:val="en-GB"/>
        </w:rPr>
        <w:t xml:space="preserve"> </w:t>
      </w:r>
      <w:r w:rsidRPr="00C31021">
        <w:rPr>
          <w:rFonts w:ascii="Verdana" w:hAnsi="Verdana" w:cs="Calibri"/>
          <w:color w:val="000000"/>
          <w:sz w:val="20"/>
          <w:szCs w:val="20"/>
          <w:lang w:val="en-GB"/>
        </w:rPr>
        <w:t xml:space="preserve">a student of the University </w:t>
      </w:r>
      <w:r w:rsidRPr="00844CB9">
        <w:rPr>
          <w:rFonts w:ascii="Verdana" w:hAnsi="Verdana" w:cs="Calibri"/>
          <w:color w:val="000000"/>
          <w:sz w:val="20"/>
          <w:szCs w:val="20"/>
          <w:lang w:val="en-GB"/>
        </w:rPr>
        <w:t>of Vienna, who is train</w:t>
      </w:r>
      <w:r>
        <w:rPr>
          <w:rFonts w:ascii="Verdana" w:hAnsi="Verdana" w:cs="Calibri"/>
          <w:color w:val="000000"/>
          <w:sz w:val="20"/>
          <w:szCs w:val="20"/>
          <w:lang w:val="en-GB"/>
        </w:rPr>
        <w:t xml:space="preserve">ed </w:t>
      </w:r>
      <w:r w:rsidR="00394B00">
        <w:rPr>
          <w:rFonts w:ascii="Verdana" w:hAnsi="Verdana" w:cs="Calibri"/>
          <w:color w:val="000000"/>
          <w:sz w:val="20"/>
          <w:szCs w:val="20"/>
          <w:lang w:val="en-GB"/>
        </w:rPr>
        <w:t>as a teacher</w:t>
      </w:r>
      <w:r w:rsidRPr="00844CB9">
        <w:rPr>
          <w:rFonts w:ascii="Verdana" w:hAnsi="Verdana" w:cs="Calibri"/>
          <w:color w:val="000000"/>
          <w:sz w:val="20"/>
          <w:szCs w:val="20"/>
          <w:lang w:val="en-GB"/>
        </w:rPr>
        <w:t xml:space="preserve"> in the fields of English and sports, gave an account of </w:t>
      </w:r>
      <w:r w:rsidRPr="00C31021">
        <w:rPr>
          <w:rFonts w:ascii="Verdana" w:hAnsi="Verdana" w:cs="Calibri"/>
          <w:color w:val="000000"/>
          <w:sz w:val="20"/>
          <w:szCs w:val="20"/>
          <w:lang w:val="en-GB"/>
        </w:rPr>
        <w:t xml:space="preserve">his study abroad experience in Portugal and Russia. He talked about the importance of teachers as multipliers and motivators for their students to understand the advantages of intercultural competences, which can only be acquired by personal experience. It was also mentioned that fair and transparent recognition (proper credit transfer) is still a problem, and that curricula are generally too restricted. He also stressed the importance of the new ERASMUS+ program in facilitating more work and study related stays abroad. </w:t>
      </w:r>
    </w:p>
    <w:p w:rsidR="00E33D68" w:rsidRPr="00C31021" w:rsidRDefault="00E33D68" w:rsidP="00641D3C">
      <w:pPr>
        <w:autoSpaceDE w:val="0"/>
        <w:autoSpaceDN w:val="0"/>
        <w:adjustRightInd w:val="0"/>
        <w:spacing w:after="0" w:line="312" w:lineRule="auto"/>
        <w:jc w:val="both"/>
        <w:rPr>
          <w:rFonts w:ascii="Verdana" w:hAnsi="Verdana" w:cs="Calibri"/>
          <w:color w:val="000000"/>
          <w:sz w:val="20"/>
          <w:szCs w:val="20"/>
          <w:lang w:val="en-GB"/>
        </w:rPr>
      </w:pPr>
    </w:p>
    <w:p w:rsidR="00E33D68" w:rsidRPr="00C31021" w:rsidRDefault="00CC446B" w:rsidP="00641D3C">
      <w:pPr>
        <w:autoSpaceDE w:val="0"/>
        <w:autoSpaceDN w:val="0"/>
        <w:adjustRightInd w:val="0"/>
        <w:spacing w:after="0" w:line="312" w:lineRule="auto"/>
        <w:jc w:val="both"/>
        <w:rPr>
          <w:rFonts w:ascii="Verdana" w:hAnsi="Verdana" w:cs="Calibri"/>
          <w:color w:val="000000"/>
          <w:sz w:val="20"/>
          <w:szCs w:val="20"/>
          <w:lang w:val="en-GB"/>
        </w:rPr>
      </w:pPr>
      <w:r>
        <w:rPr>
          <w:rFonts w:ascii="Verdana" w:hAnsi="Verdana" w:cs="Calibri"/>
          <w:color w:val="000000"/>
          <w:sz w:val="20"/>
          <w:szCs w:val="20"/>
          <w:lang w:val="en-GB"/>
        </w:rPr>
        <w:t xml:space="preserve">The </w:t>
      </w:r>
      <w:r w:rsidR="00E33D68" w:rsidRPr="00C31021">
        <w:rPr>
          <w:rFonts w:ascii="Verdana" w:hAnsi="Verdana" w:cs="Calibri"/>
          <w:color w:val="000000"/>
          <w:sz w:val="20"/>
          <w:szCs w:val="20"/>
          <w:lang w:val="en-GB"/>
        </w:rPr>
        <w:t>WG discuss</w:t>
      </w:r>
      <w:r>
        <w:rPr>
          <w:rFonts w:ascii="Verdana" w:hAnsi="Verdana" w:cs="Calibri"/>
          <w:color w:val="000000"/>
          <w:sz w:val="20"/>
          <w:szCs w:val="20"/>
          <w:lang w:val="en-GB"/>
        </w:rPr>
        <w:t>ed</w:t>
      </w:r>
      <w:r w:rsidR="00E33D68" w:rsidRPr="00C31021">
        <w:rPr>
          <w:rFonts w:ascii="Verdana" w:hAnsi="Verdana" w:cs="Calibri"/>
          <w:color w:val="000000"/>
          <w:sz w:val="20"/>
          <w:szCs w:val="20"/>
          <w:lang w:val="en-GB"/>
        </w:rPr>
        <w:t xml:space="preserve"> how the international mobility of teacher-training students could be improved, e.g. how to enhance the international dimension of teacher-training and support the mobility of teacher-training students, with the aim of proposing resolutions for the Yerevan Communiqué. </w:t>
      </w:r>
    </w:p>
    <w:p w:rsidR="00E33D68" w:rsidRPr="00C31021" w:rsidRDefault="00E33D68" w:rsidP="00641D3C">
      <w:pPr>
        <w:spacing w:after="0" w:line="312" w:lineRule="auto"/>
        <w:jc w:val="both"/>
        <w:rPr>
          <w:rFonts w:ascii="Verdana" w:hAnsi="Verdana"/>
          <w:b/>
          <w:sz w:val="20"/>
          <w:szCs w:val="20"/>
          <w:lang w:val="en-GB"/>
        </w:rPr>
      </w:pPr>
    </w:p>
    <w:p w:rsidR="00E33D68" w:rsidRPr="00C31021" w:rsidRDefault="0027056A" w:rsidP="00641D3C">
      <w:pPr>
        <w:pStyle w:val="ListParagraph"/>
        <w:spacing w:line="312" w:lineRule="auto"/>
        <w:ind w:left="0"/>
        <w:jc w:val="both"/>
        <w:rPr>
          <w:rFonts w:ascii="Verdana" w:hAnsi="Verdana"/>
          <w:sz w:val="20"/>
          <w:szCs w:val="20"/>
          <w:lang w:val="en-GB"/>
        </w:rPr>
      </w:pPr>
      <w:r>
        <w:rPr>
          <w:rFonts w:ascii="Verdana" w:hAnsi="Verdana"/>
          <w:sz w:val="20"/>
          <w:szCs w:val="20"/>
          <w:lang w:val="en-GB"/>
        </w:rPr>
        <w:t>T</w:t>
      </w:r>
      <w:r w:rsidR="00E33D68" w:rsidRPr="00C31021">
        <w:rPr>
          <w:rFonts w:ascii="Verdana" w:hAnsi="Verdana"/>
          <w:sz w:val="20"/>
          <w:szCs w:val="20"/>
          <w:lang w:val="en-GB"/>
        </w:rPr>
        <w:t xml:space="preserve">he German Co-Chair </w:t>
      </w:r>
      <w:r>
        <w:rPr>
          <w:rFonts w:ascii="Verdana" w:hAnsi="Verdana"/>
          <w:sz w:val="20"/>
          <w:szCs w:val="20"/>
          <w:lang w:val="en-GB"/>
        </w:rPr>
        <w:t>suggested</w:t>
      </w:r>
      <w:r w:rsidR="00E33D68" w:rsidRPr="00C31021">
        <w:rPr>
          <w:rFonts w:ascii="Verdana" w:hAnsi="Verdana"/>
          <w:sz w:val="20"/>
          <w:szCs w:val="20"/>
          <w:lang w:val="en-GB"/>
        </w:rPr>
        <w:t xml:space="preserve"> that the WG discuss a proposal on how to particularly target the mobility of teacher training students</w:t>
      </w:r>
      <w:r w:rsidR="00931630">
        <w:rPr>
          <w:rFonts w:ascii="Verdana" w:hAnsi="Verdana"/>
          <w:sz w:val="20"/>
          <w:szCs w:val="20"/>
          <w:lang w:val="en-GB"/>
        </w:rPr>
        <w:t xml:space="preserve">. </w:t>
      </w:r>
      <w:r>
        <w:rPr>
          <w:rFonts w:ascii="Verdana" w:hAnsi="Verdana"/>
          <w:sz w:val="20"/>
          <w:szCs w:val="20"/>
          <w:lang w:val="en-GB"/>
        </w:rPr>
        <w:t>I</w:t>
      </w:r>
      <w:r w:rsidR="00E33D68" w:rsidRPr="00C31021">
        <w:rPr>
          <w:rFonts w:ascii="Verdana" w:hAnsi="Verdana"/>
          <w:sz w:val="20"/>
          <w:szCs w:val="20"/>
          <w:lang w:val="en-GB"/>
        </w:rPr>
        <w:t xml:space="preserve">t was underlined that while the mobility of teacher training students carries a great potential for future generations of pupils and students, they belong to the least mobile groups. The idea of the paper is to recommend and promote the mobility of all teacher-training students. </w:t>
      </w:r>
    </w:p>
    <w:p w:rsidR="00E33D68" w:rsidRPr="00C31021" w:rsidRDefault="00E33D68" w:rsidP="00641D3C">
      <w:pPr>
        <w:pStyle w:val="ListParagraph"/>
        <w:spacing w:line="312" w:lineRule="auto"/>
        <w:ind w:left="0"/>
        <w:jc w:val="both"/>
        <w:rPr>
          <w:rFonts w:ascii="Verdana" w:hAnsi="Verdana"/>
          <w:sz w:val="20"/>
          <w:szCs w:val="20"/>
          <w:lang w:val="en-GB"/>
        </w:rPr>
      </w:pPr>
    </w:p>
    <w:p w:rsidR="00E33D68" w:rsidRPr="00C31021" w:rsidRDefault="00866DD3" w:rsidP="00641D3C">
      <w:pPr>
        <w:pStyle w:val="ListParagraph"/>
        <w:spacing w:line="312" w:lineRule="auto"/>
        <w:ind w:left="0"/>
        <w:jc w:val="both"/>
        <w:rPr>
          <w:rFonts w:ascii="Verdana" w:hAnsi="Verdana"/>
          <w:sz w:val="20"/>
          <w:szCs w:val="20"/>
          <w:lang w:val="en-GB"/>
        </w:rPr>
      </w:pPr>
      <w:r>
        <w:rPr>
          <w:rFonts w:ascii="Verdana" w:hAnsi="Verdana"/>
          <w:sz w:val="20"/>
          <w:szCs w:val="20"/>
          <w:lang w:val="en-GB"/>
        </w:rPr>
        <w:t>However, i</w:t>
      </w:r>
      <w:r w:rsidR="00E33D68" w:rsidRPr="00C31021">
        <w:rPr>
          <w:rFonts w:ascii="Verdana" w:hAnsi="Verdana"/>
          <w:sz w:val="20"/>
          <w:szCs w:val="20"/>
          <w:lang w:val="en-GB"/>
        </w:rPr>
        <w:t xml:space="preserve">t should clearly distinguish between teacher training students and prospective language teachers in particular. Teachers of the native language for foreigners should have </w:t>
      </w:r>
      <w:r w:rsidR="00E33D68" w:rsidRPr="00C31021">
        <w:rPr>
          <w:rFonts w:ascii="Verdana" w:hAnsi="Verdana"/>
          <w:sz w:val="20"/>
          <w:szCs w:val="20"/>
          <w:lang w:val="en-GB"/>
        </w:rPr>
        <w:lastRenderedPageBreak/>
        <w:t xml:space="preserve">experience of study in the country of the language taught. </w:t>
      </w:r>
      <w:r w:rsidR="0027056A">
        <w:rPr>
          <w:rFonts w:ascii="Verdana" w:hAnsi="Verdana"/>
          <w:sz w:val="20"/>
          <w:szCs w:val="20"/>
          <w:lang w:val="en-GB"/>
        </w:rPr>
        <w:t>I</w:t>
      </w:r>
      <w:r w:rsidR="00E33D68" w:rsidRPr="00C31021">
        <w:rPr>
          <w:rFonts w:ascii="Verdana" w:hAnsi="Verdana"/>
          <w:sz w:val="20"/>
          <w:szCs w:val="20"/>
          <w:lang w:val="en-GB"/>
        </w:rPr>
        <w:t>t is important to encourage HEIs to recognize school work internships related to the teaching subject that were completed abroad in the framework of the study exchange programme. Development of international faculties in HEIs should be encouraged.</w:t>
      </w:r>
    </w:p>
    <w:p w:rsidR="00E33D68" w:rsidRPr="00C31021" w:rsidRDefault="00E33D68" w:rsidP="00641D3C">
      <w:pPr>
        <w:spacing w:after="0" w:line="312" w:lineRule="auto"/>
        <w:jc w:val="both"/>
        <w:rPr>
          <w:rFonts w:ascii="Verdana" w:hAnsi="Verdana"/>
          <w:sz w:val="20"/>
          <w:szCs w:val="20"/>
          <w:lang w:val="en-GB"/>
        </w:rPr>
      </w:pPr>
    </w:p>
    <w:p w:rsidR="00F0200B" w:rsidRPr="00C31021" w:rsidRDefault="00F0200B" w:rsidP="00F0200B">
      <w:pPr>
        <w:spacing w:after="0" w:line="312" w:lineRule="auto"/>
        <w:jc w:val="both"/>
        <w:rPr>
          <w:rFonts w:ascii="Verdana" w:hAnsi="Verdana"/>
          <w:sz w:val="20"/>
          <w:szCs w:val="20"/>
          <w:lang w:val="en-GB"/>
        </w:rPr>
      </w:pPr>
      <w:r>
        <w:rPr>
          <w:rFonts w:ascii="Verdana" w:hAnsi="Verdana"/>
          <w:sz w:val="20"/>
          <w:szCs w:val="20"/>
          <w:lang w:val="en-GB"/>
        </w:rPr>
        <w:t xml:space="preserve">The final text discussed at the meeting in Vienna proposes actions for teacher training students in general as well as for prospective language teachers, including mobility windows, fair and transparent recognition procedures, and joint programmes. </w:t>
      </w:r>
    </w:p>
    <w:p w:rsidR="00E33D68" w:rsidRPr="00C31021" w:rsidRDefault="00E33D68" w:rsidP="00641D3C">
      <w:pPr>
        <w:spacing w:after="0" w:line="312" w:lineRule="auto"/>
        <w:jc w:val="both"/>
        <w:rPr>
          <w:rFonts w:ascii="Verdana" w:hAnsi="Verdana"/>
          <w:b/>
          <w:sz w:val="20"/>
          <w:szCs w:val="20"/>
          <w:lang w:val="en-GB"/>
        </w:rPr>
      </w:pPr>
    </w:p>
    <w:p w:rsidR="00E33D68" w:rsidRPr="00C31021" w:rsidRDefault="00E33D68" w:rsidP="00641D3C">
      <w:pPr>
        <w:spacing w:after="0" w:line="312" w:lineRule="auto"/>
        <w:jc w:val="both"/>
        <w:rPr>
          <w:rFonts w:ascii="Verdana" w:hAnsi="Verdana"/>
          <w:b/>
          <w:sz w:val="20"/>
          <w:szCs w:val="20"/>
          <w:lang w:val="en-GB"/>
        </w:rPr>
      </w:pPr>
      <w:r w:rsidRPr="00C31021">
        <w:rPr>
          <w:rFonts w:ascii="Verdana" w:hAnsi="Verdana"/>
          <w:b/>
          <w:sz w:val="20"/>
          <w:szCs w:val="20"/>
          <w:lang w:val="en-GB"/>
        </w:rPr>
        <w:t>Mobility of underrepresented groups and balance of mobility flows</w:t>
      </w:r>
    </w:p>
    <w:p w:rsidR="00E33D68" w:rsidRPr="00C31021" w:rsidRDefault="00E33D68" w:rsidP="007A1F62">
      <w:pPr>
        <w:spacing w:after="0" w:line="312" w:lineRule="auto"/>
        <w:jc w:val="both"/>
        <w:rPr>
          <w:rFonts w:ascii="Verdana" w:hAnsi="Verdana"/>
          <w:b/>
          <w:sz w:val="20"/>
          <w:szCs w:val="20"/>
          <w:lang w:val="en-GB"/>
        </w:rPr>
      </w:pPr>
    </w:p>
    <w:p w:rsidR="00E33D68" w:rsidRPr="00D30EE1" w:rsidRDefault="0027056A" w:rsidP="007A1F62">
      <w:pPr>
        <w:spacing w:after="0" w:line="312" w:lineRule="auto"/>
        <w:jc w:val="both"/>
        <w:rPr>
          <w:rFonts w:ascii="Verdana" w:hAnsi="Verdana"/>
          <w:sz w:val="20"/>
          <w:szCs w:val="20"/>
          <w:lang w:val="en-GB"/>
        </w:rPr>
      </w:pPr>
      <w:r>
        <w:rPr>
          <w:rFonts w:ascii="Verdana" w:hAnsi="Verdana"/>
          <w:sz w:val="20"/>
          <w:szCs w:val="20"/>
          <w:lang w:val="en-GB"/>
        </w:rPr>
        <w:t xml:space="preserve">A lot of talent is lost in higher education because many students from underrepresented groups find it difficult to become mobile. </w:t>
      </w:r>
      <w:r w:rsidR="00E33D68" w:rsidRPr="00D30EE1">
        <w:rPr>
          <w:rFonts w:ascii="Verdana" w:hAnsi="Verdana"/>
          <w:sz w:val="20"/>
          <w:szCs w:val="20"/>
          <w:lang w:val="en-GB"/>
        </w:rPr>
        <w:t xml:space="preserve">Thus, </w:t>
      </w:r>
      <w:r w:rsidR="00E33D68" w:rsidRPr="00C31021">
        <w:rPr>
          <w:rFonts w:ascii="Verdana" w:hAnsi="Verdana"/>
          <w:sz w:val="20"/>
          <w:szCs w:val="20"/>
          <w:lang w:val="en-GB"/>
        </w:rPr>
        <w:t xml:space="preserve">the Austrian Co-Chair </w:t>
      </w:r>
      <w:r>
        <w:rPr>
          <w:rFonts w:ascii="Verdana" w:hAnsi="Verdana"/>
          <w:sz w:val="20"/>
          <w:szCs w:val="20"/>
          <w:lang w:val="en-GB"/>
        </w:rPr>
        <w:t>commissioned</w:t>
      </w:r>
      <w:r w:rsidR="00E33D68" w:rsidRPr="00C31021">
        <w:rPr>
          <w:rFonts w:ascii="Verdana" w:hAnsi="Verdana"/>
          <w:sz w:val="20"/>
          <w:szCs w:val="20"/>
          <w:lang w:val="en-GB"/>
        </w:rPr>
        <w:t xml:space="preserve"> a study on the access to mobility of </w:t>
      </w:r>
      <w:r w:rsidR="00E33D68" w:rsidRPr="00C31021">
        <w:rPr>
          <w:rFonts w:ascii="Verdana" w:hAnsi="Verdana" w:cs="Calibri"/>
          <w:sz w:val="20"/>
          <w:szCs w:val="20"/>
          <w:lang w:val="en-GB"/>
        </w:rPr>
        <w:t>underrepresented student groups and on imbalanced mobility in Europe. It was noted, that it is important to come up with recommendations for underrepresented groups on how to gain more access to mobility</w:t>
      </w:r>
      <w:r>
        <w:rPr>
          <w:rFonts w:ascii="Verdana" w:hAnsi="Verdana" w:cs="Calibri"/>
          <w:sz w:val="20"/>
          <w:szCs w:val="20"/>
          <w:lang w:val="en-GB"/>
        </w:rPr>
        <w:t xml:space="preserve"> and that it was necessary to raise the awareness of this situation in the academic community</w:t>
      </w:r>
      <w:r w:rsidR="00E33D68" w:rsidRPr="00C31021">
        <w:rPr>
          <w:rFonts w:ascii="Verdana" w:hAnsi="Verdana" w:cs="Calibri"/>
          <w:sz w:val="20"/>
          <w:szCs w:val="20"/>
          <w:lang w:val="en-GB"/>
        </w:rPr>
        <w:t>. Moreover, in terms of imbalanced mobility the WG members should share experiences and learn more on the present situation.</w:t>
      </w:r>
    </w:p>
    <w:p w:rsidR="00E33D68" w:rsidRPr="00D30EE1" w:rsidRDefault="00E33D68" w:rsidP="007A1F62">
      <w:pPr>
        <w:spacing w:after="0" w:line="312" w:lineRule="auto"/>
        <w:jc w:val="both"/>
        <w:rPr>
          <w:rFonts w:ascii="Verdana" w:hAnsi="Verdana"/>
          <w:sz w:val="20"/>
          <w:szCs w:val="20"/>
          <w:lang w:val="en-GB"/>
        </w:rPr>
      </w:pPr>
    </w:p>
    <w:p w:rsidR="0027056A" w:rsidRDefault="0027056A" w:rsidP="0027056A">
      <w:pPr>
        <w:spacing w:after="0" w:line="312" w:lineRule="auto"/>
        <w:jc w:val="both"/>
        <w:rPr>
          <w:rFonts w:ascii="Verdana" w:hAnsi="Verdana" w:cs="Calibri"/>
          <w:color w:val="000000"/>
          <w:sz w:val="20"/>
          <w:szCs w:val="20"/>
          <w:lang w:val="en-GB"/>
        </w:rPr>
      </w:pPr>
      <w:r w:rsidRPr="00C31021">
        <w:rPr>
          <w:rFonts w:ascii="Verdana" w:hAnsi="Verdana"/>
          <w:sz w:val="20"/>
          <w:szCs w:val="20"/>
          <w:lang w:val="en-GB"/>
        </w:rPr>
        <w:t xml:space="preserve">During the fourth meeting in Vienna </w:t>
      </w:r>
      <w:r>
        <w:rPr>
          <w:rFonts w:ascii="Verdana" w:hAnsi="Verdana"/>
          <w:sz w:val="20"/>
          <w:szCs w:val="20"/>
          <w:lang w:val="en-GB"/>
        </w:rPr>
        <w:t>the</w:t>
      </w:r>
      <w:r w:rsidRPr="00C31021">
        <w:rPr>
          <w:rFonts w:ascii="Verdana" w:hAnsi="Verdana"/>
          <w:sz w:val="20"/>
          <w:szCs w:val="20"/>
          <w:lang w:val="en-GB"/>
        </w:rPr>
        <w:t xml:space="preserve"> presentation </w:t>
      </w:r>
      <w:r>
        <w:rPr>
          <w:rFonts w:ascii="Verdana" w:hAnsi="Verdana"/>
          <w:sz w:val="20"/>
          <w:szCs w:val="20"/>
          <w:lang w:val="en-GB"/>
        </w:rPr>
        <w:t>of the study´s results was made by the</w:t>
      </w:r>
      <w:r w:rsidRPr="00C31021">
        <w:rPr>
          <w:rFonts w:ascii="Verdana" w:hAnsi="Verdana"/>
          <w:sz w:val="20"/>
          <w:szCs w:val="20"/>
          <w:lang w:val="en-GB"/>
        </w:rPr>
        <w:t xml:space="preserve"> Austrian Institute of Advanced Studies. </w:t>
      </w:r>
      <w:r>
        <w:rPr>
          <w:rFonts w:ascii="Verdana" w:hAnsi="Verdana"/>
          <w:sz w:val="20"/>
          <w:szCs w:val="20"/>
          <w:lang w:val="en-GB"/>
        </w:rPr>
        <w:t xml:space="preserve">Three groups of underrepresented groups in mobility were identified on the basis of existing and </w:t>
      </w:r>
      <w:r w:rsidR="00124D5B">
        <w:rPr>
          <w:rFonts w:ascii="Verdana" w:hAnsi="Verdana"/>
          <w:sz w:val="20"/>
          <w:szCs w:val="20"/>
          <w:lang w:val="en-GB"/>
        </w:rPr>
        <w:t>latest</w:t>
      </w:r>
      <w:r>
        <w:rPr>
          <w:rFonts w:ascii="Verdana" w:hAnsi="Verdana"/>
          <w:sz w:val="20"/>
          <w:szCs w:val="20"/>
          <w:lang w:val="en-GB"/>
        </w:rPr>
        <w:t xml:space="preserve"> European data:</w:t>
      </w:r>
      <w:r w:rsidRPr="00254EB1">
        <w:rPr>
          <w:rFonts w:ascii="Verdana" w:hAnsi="Verdana" w:cs="Calibri"/>
          <w:color w:val="000000"/>
          <w:sz w:val="20"/>
          <w:szCs w:val="20"/>
          <w:lang w:val="en-GB"/>
        </w:rPr>
        <w:t xml:space="preserve"> students</w:t>
      </w:r>
      <w:r>
        <w:rPr>
          <w:rFonts w:ascii="Verdana" w:hAnsi="Verdana" w:cs="Calibri"/>
          <w:color w:val="000000"/>
          <w:sz w:val="20"/>
          <w:szCs w:val="20"/>
          <w:lang w:val="en-GB"/>
        </w:rPr>
        <w:t xml:space="preserve"> with a low parental educational background</w:t>
      </w:r>
      <w:r w:rsidRPr="00254EB1">
        <w:rPr>
          <w:rFonts w:ascii="Verdana" w:hAnsi="Verdana" w:cs="Calibri"/>
          <w:color w:val="000000"/>
          <w:sz w:val="20"/>
          <w:szCs w:val="20"/>
          <w:lang w:val="en-GB"/>
        </w:rPr>
        <w:t xml:space="preserve">, students with delayed transition </w:t>
      </w:r>
      <w:r w:rsidRPr="00C31021">
        <w:rPr>
          <w:rFonts w:ascii="Verdana" w:hAnsi="Verdana" w:cs="Calibri"/>
          <w:color w:val="000000"/>
          <w:sz w:val="20"/>
          <w:szCs w:val="20"/>
          <w:lang w:val="en-GB"/>
        </w:rPr>
        <w:t>into higher education</w:t>
      </w:r>
      <w:r>
        <w:rPr>
          <w:rFonts w:ascii="Verdana" w:hAnsi="Verdana" w:cs="Calibri"/>
          <w:color w:val="000000"/>
          <w:sz w:val="20"/>
          <w:szCs w:val="20"/>
          <w:lang w:val="en-GB"/>
        </w:rPr>
        <w:t xml:space="preserve"> (later than 2 years after completing secondary education), </w:t>
      </w:r>
      <w:r w:rsidRPr="00C31021">
        <w:rPr>
          <w:rFonts w:ascii="Verdana" w:hAnsi="Verdana" w:cs="Calibri"/>
          <w:color w:val="000000"/>
          <w:sz w:val="20"/>
          <w:szCs w:val="20"/>
          <w:lang w:val="en-GB"/>
        </w:rPr>
        <w:t xml:space="preserve">and older students. </w:t>
      </w:r>
    </w:p>
    <w:p w:rsidR="0027056A" w:rsidRPr="00C31021" w:rsidRDefault="0027056A" w:rsidP="0027056A">
      <w:pPr>
        <w:spacing w:after="0" w:line="312" w:lineRule="auto"/>
        <w:jc w:val="both"/>
        <w:rPr>
          <w:rFonts w:ascii="Verdana" w:hAnsi="Verdana" w:cs="Calibri"/>
          <w:color w:val="000000"/>
          <w:sz w:val="20"/>
          <w:szCs w:val="20"/>
          <w:lang w:val="en-GB"/>
        </w:rPr>
      </w:pPr>
    </w:p>
    <w:p w:rsidR="0027056A" w:rsidRDefault="0027056A" w:rsidP="0027056A">
      <w:pPr>
        <w:autoSpaceDE w:val="0"/>
        <w:autoSpaceDN w:val="0"/>
        <w:adjustRightInd w:val="0"/>
        <w:spacing w:after="0" w:line="312" w:lineRule="auto"/>
        <w:jc w:val="both"/>
        <w:rPr>
          <w:rFonts w:ascii="Verdana" w:hAnsi="Verdana"/>
          <w:sz w:val="20"/>
          <w:szCs w:val="20"/>
          <w:lang w:val="en-GB"/>
        </w:rPr>
      </w:pPr>
      <w:r>
        <w:rPr>
          <w:rFonts w:ascii="Verdana" w:hAnsi="Verdana"/>
          <w:sz w:val="20"/>
          <w:szCs w:val="20"/>
          <w:lang w:val="en-GB"/>
        </w:rPr>
        <w:t>T</w:t>
      </w:r>
      <w:r w:rsidRPr="00C31021">
        <w:rPr>
          <w:rFonts w:ascii="Verdana" w:hAnsi="Verdana"/>
          <w:sz w:val="20"/>
          <w:szCs w:val="20"/>
          <w:lang w:val="en-GB"/>
        </w:rPr>
        <w:t xml:space="preserve">he </w:t>
      </w:r>
      <w:r>
        <w:rPr>
          <w:rFonts w:ascii="Verdana" w:hAnsi="Verdana"/>
          <w:sz w:val="20"/>
          <w:szCs w:val="20"/>
          <w:lang w:val="en-GB"/>
        </w:rPr>
        <w:t xml:space="preserve">WG </w:t>
      </w:r>
      <w:r w:rsidRPr="00C31021">
        <w:rPr>
          <w:rFonts w:ascii="Verdana" w:hAnsi="Verdana"/>
          <w:sz w:val="20"/>
          <w:szCs w:val="20"/>
          <w:lang w:val="en-GB"/>
        </w:rPr>
        <w:t>discuss</w:t>
      </w:r>
      <w:r>
        <w:rPr>
          <w:rFonts w:ascii="Verdana" w:hAnsi="Verdana"/>
          <w:sz w:val="20"/>
          <w:szCs w:val="20"/>
          <w:lang w:val="en-GB"/>
        </w:rPr>
        <w:t>ed</w:t>
      </w:r>
      <w:r w:rsidRPr="00C31021">
        <w:rPr>
          <w:rFonts w:ascii="Verdana" w:hAnsi="Verdana"/>
          <w:sz w:val="20"/>
          <w:szCs w:val="20"/>
          <w:lang w:val="en-GB"/>
        </w:rPr>
        <w:t xml:space="preserve"> the necessity for providing better data and how the main obstacles for underrepresented groups can be addressed. </w:t>
      </w:r>
      <w:r w:rsidR="00E02734">
        <w:rPr>
          <w:rFonts w:ascii="Verdana" w:hAnsi="Verdana"/>
          <w:sz w:val="20"/>
          <w:szCs w:val="20"/>
          <w:lang w:val="en-GB"/>
        </w:rPr>
        <w:t>O</w:t>
      </w:r>
      <w:r w:rsidRPr="00C31021">
        <w:rPr>
          <w:rFonts w:ascii="Verdana" w:hAnsi="Verdana"/>
          <w:sz w:val="20"/>
          <w:szCs w:val="20"/>
          <w:lang w:val="en-GB"/>
        </w:rPr>
        <w:t xml:space="preserve">ther categories of underrepresented student groups should also be considered, in addition to the ones identified in the study, namely second-chance students, handicapped students, students with a migrant background, etc. </w:t>
      </w:r>
    </w:p>
    <w:p w:rsidR="00E97772" w:rsidRDefault="00E97772" w:rsidP="0027056A">
      <w:pPr>
        <w:autoSpaceDE w:val="0"/>
        <w:autoSpaceDN w:val="0"/>
        <w:adjustRightInd w:val="0"/>
        <w:spacing w:after="0" w:line="312" w:lineRule="auto"/>
        <w:jc w:val="both"/>
        <w:rPr>
          <w:rFonts w:ascii="Verdana" w:hAnsi="Verdana"/>
          <w:sz w:val="20"/>
          <w:szCs w:val="20"/>
          <w:lang w:val="en-GB"/>
        </w:rPr>
      </w:pPr>
    </w:p>
    <w:p w:rsidR="00E97772" w:rsidRPr="00C31021" w:rsidRDefault="00E97772" w:rsidP="0027056A">
      <w:pPr>
        <w:autoSpaceDE w:val="0"/>
        <w:autoSpaceDN w:val="0"/>
        <w:adjustRightInd w:val="0"/>
        <w:spacing w:after="0" w:line="312" w:lineRule="auto"/>
        <w:jc w:val="both"/>
        <w:rPr>
          <w:rFonts w:ascii="Verdana" w:hAnsi="Verdana"/>
          <w:sz w:val="20"/>
          <w:szCs w:val="20"/>
          <w:lang w:val="en-GB"/>
        </w:rPr>
      </w:pPr>
      <w:r>
        <w:rPr>
          <w:rFonts w:ascii="Verdana" w:hAnsi="Verdana"/>
          <w:sz w:val="20"/>
          <w:szCs w:val="20"/>
          <w:lang w:val="en-GB"/>
        </w:rPr>
        <w:t>The WG underlined that:</w:t>
      </w:r>
    </w:p>
    <w:p w:rsidR="0027056A" w:rsidRPr="00C31021" w:rsidRDefault="0027056A" w:rsidP="009D17BC">
      <w:pPr>
        <w:autoSpaceDE w:val="0"/>
        <w:autoSpaceDN w:val="0"/>
        <w:adjustRightInd w:val="0"/>
        <w:spacing w:after="0" w:line="312" w:lineRule="auto"/>
        <w:jc w:val="both"/>
        <w:rPr>
          <w:rFonts w:ascii="Verdana" w:hAnsi="Verdana"/>
          <w:sz w:val="20"/>
          <w:szCs w:val="20"/>
          <w:lang w:val="en-GB"/>
        </w:rPr>
      </w:pPr>
    </w:p>
    <w:p w:rsidR="00E33D68" w:rsidRPr="00C31021" w:rsidRDefault="00E33D68" w:rsidP="00B07A9D">
      <w:pPr>
        <w:pStyle w:val="ListParagraph"/>
        <w:numPr>
          <w:ilvl w:val="0"/>
          <w:numId w:val="5"/>
        </w:numPr>
        <w:autoSpaceDE w:val="0"/>
        <w:autoSpaceDN w:val="0"/>
        <w:adjustRightInd w:val="0"/>
        <w:spacing w:line="312" w:lineRule="auto"/>
        <w:jc w:val="both"/>
        <w:rPr>
          <w:rFonts w:ascii="Verdana" w:hAnsi="Verdana"/>
          <w:sz w:val="20"/>
          <w:szCs w:val="20"/>
          <w:lang w:val="en-GB"/>
        </w:rPr>
      </w:pPr>
      <w:r w:rsidRPr="00C31021">
        <w:rPr>
          <w:rFonts w:ascii="Verdana" w:hAnsi="Verdana"/>
          <w:sz w:val="20"/>
          <w:szCs w:val="20"/>
          <w:lang w:val="en-GB"/>
        </w:rPr>
        <w:t>It is desirable that (information on) mobility is already offered in secondary education;</w:t>
      </w:r>
    </w:p>
    <w:p w:rsidR="00E33D68" w:rsidRPr="00C31021" w:rsidRDefault="00E33D68" w:rsidP="00B07A9D">
      <w:pPr>
        <w:pStyle w:val="ListParagraph"/>
        <w:numPr>
          <w:ilvl w:val="0"/>
          <w:numId w:val="5"/>
        </w:numPr>
        <w:autoSpaceDE w:val="0"/>
        <w:autoSpaceDN w:val="0"/>
        <w:adjustRightInd w:val="0"/>
        <w:spacing w:line="312" w:lineRule="auto"/>
        <w:jc w:val="both"/>
        <w:rPr>
          <w:rFonts w:ascii="Verdana" w:hAnsi="Verdana"/>
          <w:sz w:val="20"/>
          <w:szCs w:val="20"/>
          <w:lang w:val="en-GB"/>
        </w:rPr>
      </w:pPr>
      <w:r w:rsidRPr="00C31021">
        <w:rPr>
          <w:rFonts w:ascii="Verdana" w:hAnsi="Verdana"/>
          <w:sz w:val="20"/>
          <w:szCs w:val="20"/>
          <w:lang w:val="en-GB"/>
        </w:rPr>
        <w:t>Visa issues</w:t>
      </w:r>
      <w:r w:rsidR="00224D4B">
        <w:rPr>
          <w:rFonts w:ascii="Verdana" w:hAnsi="Verdana"/>
          <w:sz w:val="20"/>
          <w:szCs w:val="20"/>
          <w:lang w:val="en-GB"/>
        </w:rPr>
        <w:t xml:space="preserve"> at times</w:t>
      </w:r>
      <w:r w:rsidRPr="00C31021">
        <w:rPr>
          <w:rFonts w:ascii="Verdana" w:hAnsi="Verdana"/>
          <w:sz w:val="20"/>
          <w:szCs w:val="20"/>
          <w:lang w:val="en-GB"/>
        </w:rPr>
        <w:t xml:space="preserve"> hinder mobility for underrepresented groups with migrant background;</w:t>
      </w:r>
    </w:p>
    <w:p w:rsidR="00E33D68" w:rsidRPr="00C31021" w:rsidRDefault="00E97772" w:rsidP="00B07A9D">
      <w:pPr>
        <w:pStyle w:val="ListParagraph"/>
        <w:numPr>
          <w:ilvl w:val="0"/>
          <w:numId w:val="5"/>
        </w:numPr>
        <w:autoSpaceDE w:val="0"/>
        <w:autoSpaceDN w:val="0"/>
        <w:adjustRightInd w:val="0"/>
        <w:spacing w:line="312" w:lineRule="auto"/>
        <w:jc w:val="both"/>
        <w:rPr>
          <w:rFonts w:ascii="Verdana" w:hAnsi="Verdana"/>
          <w:sz w:val="20"/>
          <w:szCs w:val="20"/>
          <w:lang w:val="en-GB"/>
        </w:rPr>
      </w:pPr>
      <w:r>
        <w:rPr>
          <w:rFonts w:ascii="Verdana" w:hAnsi="Verdana"/>
          <w:sz w:val="20"/>
          <w:szCs w:val="20"/>
          <w:lang w:val="en-GB"/>
        </w:rPr>
        <w:t>M</w:t>
      </w:r>
      <w:r w:rsidR="00E33D68" w:rsidRPr="00C31021">
        <w:rPr>
          <w:rFonts w:ascii="Verdana" w:hAnsi="Verdana"/>
          <w:sz w:val="20"/>
          <w:szCs w:val="20"/>
          <w:lang w:val="en-GB"/>
        </w:rPr>
        <w:t>ore financial support is needed to increase the mobility of underrepresented groups.</w:t>
      </w:r>
    </w:p>
    <w:p w:rsidR="00E33D68" w:rsidRPr="00C31021" w:rsidRDefault="00E33D68" w:rsidP="009D17BC">
      <w:pPr>
        <w:autoSpaceDE w:val="0"/>
        <w:autoSpaceDN w:val="0"/>
        <w:adjustRightInd w:val="0"/>
        <w:spacing w:after="0" w:line="312" w:lineRule="auto"/>
        <w:jc w:val="both"/>
        <w:rPr>
          <w:rFonts w:ascii="Verdana" w:hAnsi="Verdana"/>
          <w:sz w:val="20"/>
          <w:szCs w:val="20"/>
          <w:lang w:val="en-GB"/>
        </w:rPr>
      </w:pPr>
    </w:p>
    <w:p w:rsidR="00E33D68" w:rsidRPr="00C31021" w:rsidRDefault="00E33D68" w:rsidP="007A1F62">
      <w:pPr>
        <w:autoSpaceDE w:val="0"/>
        <w:autoSpaceDN w:val="0"/>
        <w:adjustRightInd w:val="0"/>
        <w:spacing w:after="0" w:line="312" w:lineRule="auto"/>
        <w:jc w:val="both"/>
        <w:rPr>
          <w:rFonts w:ascii="Verdana" w:hAnsi="Verdana"/>
          <w:sz w:val="20"/>
          <w:szCs w:val="20"/>
          <w:lang w:val="en-GB"/>
        </w:rPr>
      </w:pPr>
      <w:r w:rsidRPr="00C31021">
        <w:rPr>
          <w:rFonts w:ascii="Verdana" w:hAnsi="Verdana"/>
          <w:sz w:val="20"/>
          <w:szCs w:val="20"/>
          <w:lang w:val="en-GB"/>
        </w:rPr>
        <w:lastRenderedPageBreak/>
        <w:t xml:space="preserve">The mobility of underrepresented groups should be considered as an added value. Thus, the WG </w:t>
      </w:r>
      <w:r w:rsidR="00E97772">
        <w:rPr>
          <w:rFonts w:ascii="Verdana" w:hAnsi="Verdana"/>
          <w:sz w:val="20"/>
          <w:szCs w:val="20"/>
          <w:lang w:val="en-GB"/>
        </w:rPr>
        <w:t xml:space="preserve">recommends </w:t>
      </w:r>
      <w:r w:rsidRPr="00C31021">
        <w:rPr>
          <w:rFonts w:ascii="Verdana" w:hAnsi="Verdana"/>
          <w:sz w:val="20"/>
          <w:szCs w:val="20"/>
          <w:lang w:val="en-GB"/>
        </w:rPr>
        <w:t xml:space="preserve">further research on the main obstacles of mobility of underrepresented groups and </w:t>
      </w:r>
      <w:r w:rsidR="00E97772">
        <w:rPr>
          <w:rFonts w:ascii="Verdana" w:hAnsi="Verdana"/>
          <w:sz w:val="20"/>
          <w:szCs w:val="20"/>
          <w:lang w:val="en-GB"/>
        </w:rPr>
        <w:t xml:space="preserve">to </w:t>
      </w:r>
      <w:r w:rsidRPr="00C31021">
        <w:rPr>
          <w:rFonts w:ascii="Verdana" w:hAnsi="Verdana"/>
          <w:sz w:val="20"/>
          <w:szCs w:val="20"/>
          <w:lang w:val="en-GB"/>
        </w:rPr>
        <w:t xml:space="preserve">develop a mobility strategy for those groups. Meanwhile, different countries should make up their own policies, depending on which groups of underrepresented students they are primordially dealing with. </w:t>
      </w:r>
      <w:r w:rsidR="00E97772">
        <w:rPr>
          <w:rFonts w:ascii="Verdana" w:hAnsi="Verdana"/>
          <w:sz w:val="20"/>
          <w:szCs w:val="20"/>
          <w:lang w:val="en-GB"/>
        </w:rPr>
        <w:t>F</w:t>
      </w:r>
      <w:r w:rsidRPr="00C31021">
        <w:rPr>
          <w:rFonts w:ascii="Verdana" w:hAnsi="Verdana"/>
          <w:sz w:val="20"/>
          <w:szCs w:val="20"/>
          <w:lang w:val="en-GB"/>
        </w:rPr>
        <w:t>urther relevant data on the national and European level</w:t>
      </w:r>
      <w:r w:rsidR="00E97772">
        <w:rPr>
          <w:rFonts w:ascii="Verdana" w:hAnsi="Verdana"/>
          <w:sz w:val="20"/>
          <w:szCs w:val="20"/>
          <w:lang w:val="en-GB"/>
        </w:rPr>
        <w:t xml:space="preserve"> are necessary</w:t>
      </w:r>
      <w:r w:rsidRPr="00C31021">
        <w:rPr>
          <w:rFonts w:ascii="Verdana" w:hAnsi="Verdana"/>
          <w:sz w:val="20"/>
          <w:szCs w:val="20"/>
          <w:lang w:val="en-GB"/>
        </w:rPr>
        <w:t xml:space="preserve"> to be able to better identify the student groups underrepresented in mobility </w:t>
      </w:r>
      <w:r w:rsidR="00E97772">
        <w:rPr>
          <w:rFonts w:ascii="Verdana" w:hAnsi="Verdana"/>
          <w:sz w:val="20"/>
          <w:szCs w:val="20"/>
          <w:lang w:val="en-GB"/>
        </w:rPr>
        <w:t>as well as the actions and means to satisfy</w:t>
      </w:r>
      <w:r w:rsidR="00036ED9">
        <w:rPr>
          <w:rFonts w:ascii="Verdana" w:hAnsi="Verdana"/>
          <w:sz w:val="20"/>
          <w:szCs w:val="20"/>
          <w:lang w:val="en-GB"/>
        </w:rPr>
        <w:t xml:space="preserve"> </w:t>
      </w:r>
      <w:r w:rsidRPr="00C31021">
        <w:rPr>
          <w:rFonts w:ascii="Verdana" w:hAnsi="Verdana"/>
          <w:sz w:val="20"/>
          <w:szCs w:val="20"/>
          <w:lang w:val="en-GB"/>
        </w:rPr>
        <w:t>their needs.</w:t>
      </w:r>
    </w:p>
    <w:p w:rsidR="00E33D68" w:rsidRPr="00C31021" w:rsidRDefault="00E33D68" w:rsidP="007A1F62">
      <w:pPr>
        <w:autoSpaceDE w:val="0"/>
        <w:autoSpaceDN w:val="0"/>
        <w:adjustRightInd w:val="0"/>
        <w:spacing w:after="0" w:line="312" w:lineRule="auto"/>
        <w:jc w:val="both"/>
        <w:rPr>
          <w:rFonts w:ascii="Verdana" w:hAnsi="Verdana"/>
          <w:sz w:val="20"/>
          <w:szCs w:val="20"/>
          <w:lang w:val="en-GB"/>
        </w:rPr>
      </w:pPr>
    </w:p>
    <w:p w:rsidR="00E33D68" w:rsidRPr="00C31021" w:rsidRDefault="00E33D68" w:rsidP="007A1F62">
      <w:pPr>
        <w:autoSpaceDE w:val="0"/>
        <w:autoSpaceDN w:val="0"/>
        <w:adjustRightInd w:val="0"/>
        <w:spacing w:after="0" w:line="312" w:lineRule="auto"/>
        <w:jc w:val="both"/>
        <w:rPr>
          <w:rFonts w:ascii="Verdana" w:hAnsi="Verdana"/>
          <w:b/>
          <w:lang w:val="en-GB"/>
        </w:rPr>
      </w:pPr>
      <w:r w:rsidRPr="00C31021">
        <w:rPr>
          <w:rFonts w:ascii="Verdana" w:hAnsi="Verdana"/>
          <w:b/>
          <w:lang w:val="en-GB"/>
        </w:rPr>
        <w:t>II.I Internationalisation</w:t>
      </w:r>
    </w:p>
    <w:p w:rsidR="00E33D68" w:rsidRPr="00C31021" w:rsidRDefault="00E33D68" w:rsidP="007A1F62">
      <w:pPr>
        <w:autoSpaceDE w:val="0"/>
        <w:autoSpaceDN w:val="0"/>
        <w:adjustRightInd w:val="0"/>
        <w:spacing w:after="0" w:line="312" w:lineRule="auto"/>
        <w:jc w:val="both"/>
        <w:rPr>
          <w:rFonts w:ascii="Verdana" w:hAnsi="Verdana"/>
          <w:sz w:val="20"/>
          <w:szCs w:val="20"/>
          <w:lang w:val="en-GB"/>
        </w:rPr>
      </w:pPr>
    </w:p>
    <w:p w:rsidR="00E33D68" w:rsidRPr="00C31021" w:rsidRDefault="00E33D68" w:rsidP="007A1F62">
      <w:pPr>
        <w:autoSpaceDE w:val="0"/>
        <w:autoSpaceDN w:val="0"/>
        <w:adjustRightInd w:val="0"/>
        <w:spacing w:after="0" w:line="312" w:lineRule="auto"/>
        <w:jc w:val="both"/>
        <w:rPr>
          <w:rFonts w:ascii="Verdana" w:hAnsi="Verdana"/>
          <w:b/>
          <w:sz w:val="20"/>
          <w:szCs w:val="20"/>
          <w:lang w:val="en-GB"/>
        </w:rPr>
      </w:pPr>
      <w:r w:rsidRPr="00C31021">
        <w:rPr>
          <w:rFonts w:ascii="Verdana" w:hAnsi="Verdana"/>
          <w:b/>
          <w:sz w:val="20"/>
          <w:szCs w:val="20"/>
          <w:lang w:val="en-GB"/>
        </w:rPr>
        <w:t>Description of Study Programmes</w:t>
      </w:r>
    </w:p>
    <w:p w:rsidR="00E33D68" w:rsidRPr="00C31021" w:rsidRDefault="00E33D68" w:rsidP="009F5B26">
      <w:pPr>
        <w:autoSpaceDE w:val="0"/>
        <w:autoSpaceDN w:val="0"/>
        <w:adjustRightInd w:val="0"/>
        <w:spacing w:after="0" w:line="312" w:lineRule="auto"/>
        <w:jc w:val="both"/>
        <w:rPr>
          <w:rFonts w:ascii="Verdana" w:hAnsi="Verdana"/>
          <w:b/>
          <w:sz w:val="20"/>
          <w:szCs w:val="20"/>
          <w:lang w:val="en-GB"/>
        </w:rPr>
      </w:pPr>
    </w:p>
    <w:p w:rsidR="00E33D68" w:rsidRPr="00C31021" w:rsidRDefault="00FB0AA1" w:rsidP="00E764D1">
      <w:pPr>
        <w:pStyle w:val="Default"/>
        <w:spacing w:line="312" w:lineRule="auto"/>
        <w:jc w:val="both"/>
        <w:rPr>
          <w:rFonts w:ascii="Verdana" w:hAnsi="Verdana"/>
          <w:sz w:val="20"/>
          <w:szCs w:val="20"/>
          <w:lang w:val="en-GB"/>
        </w:rPr>
      </w:pPr>
      <w:r>
        <w:rPr>
          <w:rFonts w:ascii="Verdana" w:hAnsi="Verdana"/>
          <w:sz w:val="20"/>
          <w:szCs w:val="20"/>
          <w:lang w:val="en-GB"/>
        </w:rPr>
        <w:t>T</w:t>
      </w:r>
      <w:r w:rsidR="00E33D68" w:rsidRPr="00C31021">
        <w:rPr>
          <w:rFonts w:ascii="Verdana" w:hAnsi="Verdana"/>
          <w:sz w:val="20"/>
          <w:szCs w:val="20"/>
          <w:lang w:val="en-GB"/>
        </w:rPr>
        <w:t xml:space="preserve">he </w:t>
      </w:r>
      <w:proofErr w:type="spellStart"/>
      <w:r w:rsidR="00E33D68" w:rsidRPr="00C31021">
        <w:rPr>
          <w:rFonts w:ascii="Verdana" w:hAnsi="Verdana"/>
          <w:sz w:val="20"/>
          <w:szCs w:val="20"/>
          <w:lang w:val="en-GB"/>
        </w:rPr>
        <w:t>ToR</w:t>
      </w:r>
      <w:proofErr w:type="spellEnd"/>
      <w:r w:rsidR="00E33D68" w:rsidRPr="00C31021">
        <w:rPr>
          <w:rFonts w:ascii="Verdana" w:hAnsi="Verdana"/>
          <w:sz w:val="20"/>
          <w:szCs w:val="20"/>
          <w:lang w:val="en-GB"/>
        </w:rPr>
        <w:t xml:space="preserve"> of the M&amp;I WG include a specific task, “</w:t>
      </w:r>
      <w:r w:rsidR="00E33D68" w:rsidRPr="00C31021">
        <w:rPr>
          <w:rFonts w:ascii="Verdana" w:hAnsi="Verdana"/>
          <w:iCs/>
          <w:sz w:val="20"/>
          <w:szCs w:val="20"/>
          <w:lang w:val="en-GB"/>
        </w:rPr>
        <w:t>to explore options of improving the information on study programs and admission systems in the EHEA”</w:t>
      </w:r>
      <w:r w:rsidR="00E33D68" w:rsidRPr="00C31021">
        <w:rPr>
          <w:rFonts w:ascii="Verdana" w:hAnsi="Verdana"/>
          <w:sz w:val="20"/>
          <w:szCs w:val="20"/>
          <w:lang w:val="en-GB"/>
        </w:rPr>
        <w:t>, also addressed in point 8 of the Mobility Strategy for Better Learning adopted in the Bucharest Ministerial Conference, as a mean</w:t>
      </w:r>
      <w:r w:rsidR="006474A3">
        <w:rPr>
          <w:rFonts w:ascii="Verdana" w:hAnsi="Verdana"/>
          <w:sz w:val="20"/>
          <w:szCs w:val="20"/>
          <w:lang w:val="en-GB"/>
        </w:rPr>
        <w:t>s</w:t>
      </w:r>
      <w:r w:rsidR="00E33D68" w:rsidRPr="00C31021">
        <w:rPr>
          <w:rFonts w:ascii="Verdana" w:hAnsi="Verdana"/>
          <w:sz w:val="20"/>
          <w:szCs w:val="20"/>
          <w:lang w:val="en-GB"/>
        </w:rPr>
        <w:t xml:space="preserve"> to increase mobility through improved information on study programs. Thus, the main goal of the WG </w:t>
      </w:r>
      <w:r w:rsidR="00F94F12">
        <w:rPr>
          <w:rFonts w:ascii="Verdana" w:hAnsi="Verdana"/>
          <w:sz w:val="20"/>
          <w:szCs w:val="20"/>
          <w:lang w:val="en-GB"/>
        </w:rPr>
        <w:t xml:space="preserve">has been </w:t>
      </w:r>
      <w:r w:rsidR="00E33D68" w:rsidRPr="00C31021">
        <w:rPr>
          <w:rFonts w:ascii="Verdana" w:hAnsi="Verdana"/>
          <w:sz w:val="20"/>
          <w:szCs w:val="20"/>
          <w:lang w:val="en-GB"/>
        </w:rPr>
        <w:t>to develop a system for the standardized description of all study programmes offered across EHEA and propose changes to the stru</w:t>
      </w:r>
      <w:r w:rsidR="00E74BDE">
        <w:rPr>
          <w:rFonts w:ascii="Verdana" w:hAnsi="Verdana"/>
          <w:sz w:val="20"/>
          <w:szCs w:val="20"/>
          <w:lang w:val="en-GB"/>
        </w:rPr>
        <w:t>cture of programme descriptions</w:t>
      </w:r>
      <w:r w:rsidR="00E33D68" w:rsidRPr="00C31021">
        <w:rPr>
          <w:rFonts w:ascii="Verdana" w:hAnsi="Verdana" w:cs="Calibri"/>
          <w:sz w:val="20"/>
          <w:szCs w:val="20"/>
          <w:lang w:val="en-GB"/>
        </w:rPr>
        <w:t>.</w:t>
      </w:r>
      <w:r w:rsidR="00AF6F63">
        <w:rPr>
          <w:rFonts w:ascii="Verdana" w:hAnsi="Verdana" w:cs="Calibri"/>
          <w:sz w:val="20"/>
          <w:szCs w:val="20"/>
          <w:lang w:val="en-GB"/>
        </w:rPr>
        <w:t xml:space="preserve"> </w:t>
      </w:r>
      <w:r w:rsidR="00931630">
        <w:rPr>
          <w:rFonts w:ascii="Verdana" w:hAnsi="Verdana"/>
          <w:sz w:val="20"/>
          <w:szCs w:val="20"/>
          <w:lang w:val="en-GB"/>
        </w:rPr>
        <w:t>The work on this task was le</w:t>
      </w:r>
      <w:r w:rsidR="00AF6F63">
        <w:rPr>
          <w:rFonts w:ascii="Verdana" w:hAnsi="Verdana"/>
          <w:sz w:val="20"/>
          <w:szCs w:val="20"/>
          <w:lang w:val="en-GB"/>
        </w:rPr>
        <w:t>d by the Spanish Co-Chair.</w:t>
      </w:r>
    </w:p>
    <w:p w:rsidR="00CC5696" w:rsidRDefault="00CC5696" w:rsidP="00CC5696">
      <w:pPr>
        <w:spacing w:after="0" w:line="312" w:lineRule="auto"/>
        <w:jc w:val="both"/>
        <w:rPr>
          <w:rFonts w:ascii="Verdana" w:hAnsi="Verdana"/>
          <w:sz w:val="20"/>
          <w:szCs w:val="20"/>
          <w:lang w:val="en-GB"/>
        </w:rPr>
      </w:pPr>
    </w:p>
    <w:p w:rsidR="00CC5696" w:rsidRDefault="00CC5696" w:rsidP="00CC5696">
      <w:pPr>
        <w:spacing w:after="0" w:line="312" w:lineRule="auto"/>
        <w:jc w:val="both"/>
        <w:rPr>
          <w:rFonts w:ascii="Verdana" w:hAnsi="Verdana"/>
          <w:sz w:val="20"/>
          <w:szCs w:val="20"/>
          <w:lang w:val="en-GB"/>
        </w:rPr>
      </w:pPr>
      <w:r w:rsidRPr="00C31021">
        <w:rPr>
          <w:rFonts w:ascii="Verdana" w:hAnsi="Verdana"/>
          <w:sz w:val="20"/>
          <w:szCs w:val="20"/>
          <w:lang w:val="en-GB"/>
        </w:rPr>
        <w:t xml:space="preserve">The already existing European, national and institutional tools should be </w:t>
      </w:r>
      <w:r>
        <w:rPr>
          <w:rFonts w:ascii="Verdana" w:hAnsi="Verdana"/>
          <w:sz w:val="20"/>
          <w:szCs w:val="20"/>
          <w:lang w:val="en-GB"/>
        </w:rPr>
        <w:t>reviewed</w:t>
      </w:r>
      <w:r w:rsidRPr="00C31021">
        <w:rPr>
          <w:rFonts w:ascii="Verdana" w:hAnsi="Verdana"/>
          <w:sz w:val="20"/>
          <w:szCs w:val="20"/>
          <w:lang w:val="en-GB"/>
        </w:rPr>
        <w:t xml:space="preserve"> to create common standards for </w:t>
      </w:r>
      <w:r w:rsidR="006474A3">
        <w:rPr>
          <w:rFonts w:ascii="Verdana" w:hAnsi="Verdana"/>
          <w:sz w:val="20"/>
          <w:szCs w:val="20"/>
          <w:lang w:val="en-GB"/>
        </w:rPr>
        <w:t xml:space="preserve">the </w:t>
      </w:r>
      <w:r w:rsidRPr="00C31021">
        <w:rPr>
          <w:rFonts w:ascii="Verdana" w:hAnsi="Verdana"/>
          <w:sz w:val="20"/>
          <w:szCs w:val="20"/>
          <w:lang w:val="en-GB"/>
        </w:rPr>
        <w:t>description of study program</w:t>
      </w:r>
      <w:r w:rsidR="006474A3">
        <w:rPr>
          <w:rFonts w:ascii="Verdana" w:hAnsi="Verdana"/>
          <w:sz w:val="20"/>
          <w:szCs w:val="20"/>
          <w:lang w:val="en-GB"/>
        </w:rPr>
        <w:t>me</w:t>
      </w:r>
      <w:r w:rsidRPr="00C31021">
        <w:rPr>
          <w:rFonts w:ascii="Verdana" w:hAnsi="Verdana"/>
          <w:sz w:val="20"/>
          <w:szCs w:val="20"/>
          <w:lang w:val="en-GB"/>
        </w:rPr>
        <w:t>s. The existing EHEA and EU tools, such as the credit system,</w:t>
      </w:r>
      <w:r w:rsidR="00124D5B">
        <w:rPr>
          <w:rFonts w:ascii="Verdana" w:hAnsi="Verdana"/>
          <w:sz w:val="20"/>
          <w:szCs w:val="20"/>
          <w:lang w:val="en-GB"/>
        </w:rPr>
        <w:t xml:space="preserve"> the learning outcomes, the QFs</w:t>
      </w:r>
      <w:r w:rsidRPr="00C31021">
        <w:rPr>
          <w:rFonts w:ascii="Verdana" w:hAnsi="Verdana"/>
          <w:sz w:val="20"/>
          <w:szCs w:val="20"/>
          <w:lang w:val="en-GB"/>
        </w:rPr>
        <w:t xml:space="preserve"> should be used as instruments to achieve common standards. Nevertheless, the university web-sites should be considered as one of the main sources of information.</w:t>
      </w:r>
    </w:p>
    <w:p w:rsidR="00E74BDE" w:rsidRDefault="00E74BDE" w:rsidP="00CC5696">
      <w:pPr>
        <w:spacing w:after="0" w:line="312" w:lineRule="auto"/>
        <w:jc w:val="both"/>
        <w:rPr>
          <w:rFonts w:ascii="Verdana" w:hAnsi="Verdana"/>
          <w:sz w:val="20"/>
          <w:szCs w:val="20"/>
          <w:lang w:val="en-GB"/>
        </w:rPr>
      </w:pPr>
    </w:p>
    <w:p w:rsidR="005E2A41" w:rsidRPr="00C31021" w:rsidRDefault="005E2A41" w:rsidP="005E2A41">
      <w:pPr>
        <w:spacing w:after="0" w:line="312" w:lineRule="auto"/>
        <w:jc w:val="both"/>
        <w:rPr>
          <w:rFonts w:ascii="Verdana" w:hAnsi="Verdana"/>
          <w:sz w:val="20"/>
          <w:szCs w:val="20"/>
          <w:lang w:val="en-GB"/>
        </w:rPr>
      </w:pPr>
      <w:r w:rsidRPr="00C31021">
        <w:rPr>
          <w:rFonts w:ascii="Verdana" w:hAnsi="Verdana"/>
          <w:sz w:val="20"/>
          <w:szCs w:val="20"/>
          <w:lang w:val="en-GB"/>
        </w:rPr>
        <w:t>Information about all the EHEA member country study programs should be available in order to eliminate inequalit</w:t>
      </w:r>
      <w:r w:rsidR="006474A3">
        <w:rPr>
          <w:rFonts w:ascii="Verdana" w:hAnsi="Verdana"/>
          <w:sz w:val="20"/>
          <w:szCs w:val="20"/>
          <w:lang w:val="en-GB"/>
        </w:rPr>
        <w:t>ies</w:t>
      </w:r>
      <w:r w:rsidR="00931630">
        <w:rPr>
          <w:rFonts w:ascii="Verdana" w:hAnsi="Verdana"/>
          <w:sz w:val="20"/>
          <w:szCs w:val="20"/>
          <w:lang w:val="en-GB"/>
        </w:rPr>
        <w:t xml:space="preserve"> </w:t>
      </w:r>
      <w:r w:rsidRPr="00C31021">
        <w:rPr>
          <w:rFonts w:ascii="Verdana" w:hAnsi="Verdana"/>
          <w:sz w:val="20"/>
          <w:szCs w:val="20"/>
          <w:lang w:val="en-GB"/>
        </w:rPr>
        <w:t xml:space="preserve">between Western and Eastern Europe. On the other hand, it will be a real challenge to collect and update information from up to five thousand universities under one platform. </w:t>
      </w:r>
    </w:p>
    <w:p w:rsidR="00E33D68" w:rsidRPr="00C31021" w:rsidRDefault="00E33D68" w:rsidP="00E764D1">
      <w:pPr>
        <w:spacing w:after="0" w:line="312" w:lineRule="auto"/>
        <w:rPr>
          <w:rFonts w:ascii="Verdana" w:hAnsi="Verdana"/>
          <w:sz w:val="20"/>
          <w:szCs w:val="20"/>
          <w:lang w:val="en-GB"/>
        </w:rPr>
      </w:pPr>
    </w:p>
    <w:p w:rsidR="00AF6F63" w:rsidRDefault="00AF6F63" w:rsidP="00E764D1">
      <w:pPr>
        <w:spacing w:after="0" w:line="312" w:lineRule="auto"/>
        <w:jc w:val="both"/>
        <w:rPr>
          <w:rFonts w:ascii="Verdana" w:hAnsi="Verdana"/>
          <w:sz w:val="20"/>
          <w:szCs w:val="20"/>
          <w:lang w:val="en-GB"/>
        </w:rPr>
      </w:pPr>
      <w:r w:rsidRPr="00AF6F63">
        <w:rPr>
          <w:rFonts w:ascii="Verdana" w:hAnsi="Verdana"/>
          <w:sz w:val="20"/>
          <w:szCs w:val="20"/>
          <w:lang w:val="en-GB"/>
        </w:rPr>
        <w:t xml:space="preserve">Following the outcomes of the discussion </w:t>
      </w:r>
      <w:r>
        <w:rPr>
          <w:rFonts w:ascii="Verdana" w:hAnsi="Verdana"/>
          <w:sz w:val="20"/>
          <w:szCs w:val="20"/>
          <w:lang w:val="en-GB"/>
        </w:rPr>
        <w:t>of the WG</w:t>
      </w:r>
      <w:r w:rsidRPr="00AF6F63">
        <w:rPr>
          <w:rFonts w:ascii="Verdana" w:hAnsi="Verdana"/>
          <w:sz w:val="20"/>
          <w:szCs w:val="20"/>
          <w:lang w:val="en-GB"/>
        </w:rPr>
        <w:t xml:space="preserve"> to promote a standardized approach to programme description at national level in the EHEA countries</w:t>
      </w:r>
      <w:r>
        <w:rPr>
          <w:rFonts w:ascii="Verdana" w:hAnsi="Verdana"/>
          <w:sz w:val="20"/>
          <w:szCs w:val="20"/>
          <w:lang w:val="en-GB"/>
        </w:rPr>
        <w:t xml:space="preserve"> while </w:t>
      </w:r>
      <w:r w:rsidRPr="00AF6F63">
        <w:rPr>
          <w:rFonts w:ascii="Verdana" w:hAnsi="Verdana"/>
          <w:sz w:val="20"/>
          <w:szCs w:val="20"/>
          <w:lang w:val="en-GB"/>
        </w:rPr>
        <w:t xml:space="preserve">leaving work at institutional level to the ECTS </w:t>
      </w:r>
      <w:r>
        <w:rPr>
          <w:rFonts w:ascii="Verdana" w:hAnsi="Verdana"/>
          <w:sz w:val="20"/>
          <w:szCs w:val="20"/>
          <w:lang w:val="en-GB"/>
        </w:rPr>
        <w:t xml:space="preserve">ad-hoc </w:t>
      </w:r>
      <w:r w:rsidRPr="00AF6F63">
        <w:rPr>
          <w:rFonts w:ascii="Verdana" w:hAnsi="Verdana"/>
          <w:sz w:val="20"/>
          <w:szCs w:val="20"/>
          <w:lang w:val="en-GB"/>
        </w:rPr>
        <w:t xml:space="preserve">Working Group, and based on a presentation by HRK on the structure of Higher Education </w:t>
      </w:r>
      <w:proofErr w:type="spellStart"/>
      <w:r w:rsidRPr="00AF6F63">
        <w:rPr>
          <w:rFonts w:ascii="Verdana" w:hAnsi="Verdana"/>
          <w:sz w:val="20"/>
          <w:szCs w:val="20"/>
          <w:lang w:val="en-GB"/>
        </w:rPr>
        <w:t>Kompass</w:t>
      </w:r>
      <w:proofErr w:type="spellEnd"/>
      <w:r w:rsidRPr="00AF6F63">
        <w:rPr>
          <w:rFonts w:ascii="Verdana" w:hAnsi="Verdana"/>
          <w:sz w:val="20"/>
          <w:szCs w:val="20"/>
          <w:lang w:val="en-GB"/>
        </w:rPr>
        <w:t xml:space="preserve">, the database on degree programmes of the German Rectors Conference, the group discussed draft guidelines on the description of study programmes in the EHEA with recommendations on a common structure at national level. The group decided to further develop the guidance including a template for a possible database structure at national level. </w:t>
      </w:r>
    </w:p>
    <w:p w:rsidR="00E33D68" w:rsidRPr="00C31021" w:rsidRDefault="00E33D68" w:rsidP="00E764D1">
      <w:pPr>
        <w:spacing w:after="0" w:line="312" w:lineRule="auto"/>
        <w:jc w:val="both"/>
        <w:rPr>
          <w:rFonts w:ascii="Verdana" w:hAnsi="Verdana"/>
          <w:sz w:val="20"/>
          <w:szCs w:val="20"/>
          <w:lang w:val="en-GB"/>
        </w:rPr>
      </w:pPr>
    </w:p>
    <w:p w:rsidR="00E33D68" w:rsidRPr="00CD3413" w:rsidRDefault="00E33D68" w:rsidP="00E764D1">
      <w:pPr>
        <w:autoSpaceDE w:val="0"/>
        <w:autoSpaceDN w:val="0"/>
        <w:adjustRightInd w:val="0"/>
        <w:spacing w:after="0" w:line="312" w:lineRule="auto"/>
        <w:jc w:val="both"/>
        <w:rPr>
          <w:rFonts w:ascii="Verdana" w:hAnsi="Verdana"/>
          <w:sz w:val="20"/>
          <w:szCs w:val="20"/>
          <w:lang w:val="en-GB"/>
        </w:rPr>
      </w:pPr>
      <w:r w:rsidRPr="00CD3413">
        <w:rPr>
          <w:rFonts w:ascii="Verdana" w:hAnsi="Verdana" w:cs="Calibri"/>
          <w:color w:val="000000"/>
          <w:sz w:val="20"/>
          <w:szCs w:val="20"/>
          <w:lang w:val="en-GB"/>
        </w:rPr>
        <w:lastRenderedPageBreak/>
        <w:t>The aim of the WG is not the proposal of a structure for a common database for the EHEA run by a single unit</w:t>
      </w:r>
      <w:r w:rsidR="00F85610" w:rsidRPr="00CD3413">
        <w:rPr>
          <w:rFonts w:ascii="Verdana" w:hAnsi="Verdana" w:cs="Calibri"/>
          <w:color w:val="000000"/>
          <w:sz w:val="20"/>
          <w:szCs w:val="20"/>
          <w:lang w:val="en-GB"/>
        </w:rPr>
        <w:t xml:space="preserve">, but </w:t>
      </w:r>
      <w:r w:rsidRPr="00CD3413">
        <w:rPr>
          <w:rFonts w:ascii="Verdana" w:hAnsi="Verdana"/>
          <w:sz w:val="20"/>
          <w:szCs w:val="20"/>
          <w:lang w:val="en-GB"/>
        </w:rPr>
        <w:t>a common structure of</w:t>
      </w:r>
      <w:r w:rsidR="00F85610" w:rsidRPr="00CD3413">
        <w:rPr>
          <w:rFonts w:ascii="Verdana" w:hAnsi="Verdana"/>
          <w:sz w:val="20"/>
          <w:szCs w:val="20"/>
          <w:lang w:val="en-GB"/>
        </w:rPr>
        <w:t xml:space="preserve"> the existing</w:t>
      </w:r>
      <w:r w:rsidRPr="00CD3413">
        <w:rPr>
          <w:rFonts w:ascii="Verdana" w:hAnsi="Verdana"/>
          <w:sz w:val="20"/>
          <w:szCs w:val="20"/>
          <w:lang w:val="en-GB"/>
        </w:rPr>
        <w:t xml:space="preserve"> national</w:t>
      </w:r>
      <w:r w:rsidR="005E2A41" w:rsidRPr="00CD3413">
        <w:rPr>
          <w:rFonts w:ascii="Verdana" w:hAnsi="Verdana"/>
          <w:sz w:val="20"/>
          <w:szCs w:val="20"/>
          <w:lang w:val="en-GB"/>
        </w:rPr>
        <w:t>/regional</w:t>
      </w:r>
      <w:r w:rsidRPr="00CD3413">
        <w:rPr>
          <w:rFonts w:ascii="Verdana" w:hAnsi="Verdana"/>
          <w:sz w:val="20"/>
          <w:szCs w:val="20"/>
          <w:lang w:val="en-GB"/>
        </w:rPr>
        <w:t xml:space="preserve"> databases. </w:t>
      </w:r>
      <w:r w:rsidR="00CD3413" w:rsidRPr="00CD3413">
        <w:rPr>
          <w:rFonts w:ascii="Verdana" w:hAnsi="Verdana" w:cs="Segoe UI"/>
          <w:color w:val="000000"/>
          <w:sz w:val="20"/>
          <w:szCs w:val="20"/>
        </w:rPr>
        <w:t>It was underlined that the recommendations should take into account and be consistent with the checklist for the description of study programs included in the recently approved ECTS User’s Guide</w:t>
      </w:r>
      <w:r w:rsidR="00CD3413">
        <w:rPr>
          <w:rFonts w:ascii="Verdana" w:hAnsi="Verdana" w:cs="Segoe UI"/>
          <w:color w:val="000000"/>
          <w:sz w:val="20"/>
          <w:szCs w:val="20"/>
        </w:rPr>
        <w:t>.</w:t>
      </w:r>
      <w:r w:rsidRPr="00CD3413">
        <w:rPr>
          <w:rFonts w:ascii="Verdana" w:hAnsi="Verdana"/>
          <w:sz w:val="20"/>
          <w:szCs w:val="20"/>
          <w:lang w:val="en-GB"/>
        </w:rPr>
        <w:t xml:space="preserve"> </w:t>
      </w:r>
    </w:p>
    <w:p w:rsidR="00E33D68" w:rsidRPr="00C31021" w:rsidRDefault="00E33D68" w:rsidP="00E764D1">
      <w:pPr>
        <w:spacing w:after="0" w:line="312" w:lineRule="auto"/>
        <w:jc w:val="both"/>
        <w:rPr>
          <w:rFonts w:ascii="Verdana" w:hAnsi="Verdana" w:cs="Calibri"/>
          <w:color w:val="000000"/>
          <w:sz w:val="20"/>
          <w:szCs w:val="20"/>
          <w:lang w:val="en-GB"/>
        </w:rPr>
      </w:pPr>
    </w:p>
    <w:p w:rsidR="00E33D68" w:rsidRDefault="00E33D68" w:rsidP="00E764D1">
      <w:pPr>
        <w:spacing w:after="0" w:line="312" w:lineRule="auto"/>
        <w:jc w:val="both"/>
        <w:rPr>
          <w:rFonts w:ascii="Verdana" w:hAnsi="Verdana"/>
          <w:color w:val="000000"/>
          <w:sz w:val="20"/>
          <w:szCs w:val="20"/>
          <w:lang w:val="en-GB"/>
        </w:rPr>
      </w:pPr>
      <w:r w:rsidRPr="00C31021">
        <w:rPr>
          <w:rFonts w:ascii="Verdana" w:hAnsi="Verdana" w:cs="Calibri"/>
          <w:color w:val="000000"/>
          <w:sz w:val="20"/>
          <w:szCs w:val="20"/>
          <w:lang w:val="en-GB"/>
        </w:rPr>
        <w:t xml:space="preserve">The proposed structure of the </w:t>
      </w:r>
      <w:r w:rsidR="00F85610">
        <w:rPr>
          <w:rFonts w:ascii="Verdana" w:hAnsi="Verdana" w:cs="Calibri"/>
          <w:color w:val="000000"/>
          <w:sz w:val="20"/>
          <w:szCs w:val="20"/>
          <w:lang w:val="en-GB"/>
        </w:rPr>
        <w:t>recommendations</w:t>
      </w:r>
      <w:r w:rsidR="00F85610" w:rsidRPr="00C31021">
        <w:rPr>
          <w:rFonts w:ascii="Verdana" w:hAnsi="Verdana" w:cs="Calibri"/>
          <w:color w:val="000000"/>
          <w:sz w:val="20"/>
          <w:szCs w:val="20"/>
          <w:lang w:val="en-GB"/>
        </w:rPr>
        <w:t xml:space="preserve"> </w:t>
      </w:r>
      <w:r w:rsidRPr="00C31021">
        <w:rPr>
          <w:rFonts w:ascii="Verdana" w:hAnsi="Verdana" w:cs="Calibri"/>
          <w:color w:val="000000"/>
          <w:sz w:val="20"/>
          <w:szCs w:val="20"/>
          <w:lang w:val="en-GB"/>
        </w:rPr>
        <w:t xml:space="preserve">on the description of study programmes covers the complete journey of a potential international student from the very first contact with the EHEA and national HE systems through admission and enrolment, learning and teaching processes and finally information on further studies and work opportunities. </w:t>
      </w:r>
      <w:r w:rsidRPr="00C31021">
        <w:rPr>
          <w:rFonts w:ascii="Verdana" w:hAnsi="Verdana"/>
          <w:color w:val="000000"/>
          <w:sz w:val="20"/>
          <w:szCs w:val="20"/>
          <w:lang w:val="en-GB"/>
        </w:rPr>
        <w:t>One of the main messages of the document is the need of harmonization of information provision on study programmes within the EHEA.</w:t>
      </w:r>
    </w:p>
    <w:p w:rsidR="00E74BDE" w:rsidRDefault="00E74BDE" w:rsidP="00E764D1">
      <w:pPr>
        <w:spacing w:after="0" w:line="312" w:lineRule="auto"/>
        <w:jc w:val="both"/>
        <w:rPr>
          <w:rFonts w:ascii="Verdana" w:hAnsi="Verdana"/>
          <w:color w:val="000000"/>
          <w:sz w:val="20"/>
          <w:szCs w:val="20"/>
          <w:lang w:val="en-GB"/>
        </w:rPr>
      </w:pPr>
    </w:p>
    <w:p w:rsidR="00E74BDE" w:rsidRDefault="00CC5696" w:rsidP="00E764D1">
      <w:pPr>
        <w:spacing w:after="0" w:line="312" w:lineRule="auto"/>
        <w:jc w:val="both"/>
        <w:rPr>
          <w:rFonts w:ascii="Verdana" w:hAnsi="Verdana"/>
          <w:color w:val="000000"/>
          <w:sz w:val="20"/>
          <w:szCs w:val="20"/>
        </w:rPr>
      </w:pPr>
      <w:r w:rsidRPr="00CC5696">
        <w:rPr>
          <w:rFonts w:ascii="Verdana" w:hAnsi="Verdana"/>
          <w:color w:val="000000"/>
          <w:sz w:val="20"/>
          <w:szCs w:val="20"/>
        </w:rPr>
        <w:t xml:space="preserve">A draft recommendation on a common structure of national databases describing study </w:t>
      </w:r>
      <w:proofErr w:type="spellStart"/>
      <w:r w:rsidRPr="00CC5696">
        <w:rPr>
          <w:rFonts w:ascii="Verdana" w:hAnsi="Verdana"/>
          <w:color w:val="000000"/>
          <w:sz w:val="20"/>
          <w:szCs w:val="20"/>
        </w:rPr>
        <w:t>programmes</w:t>
      </w:r>
      <w:proofErr w:type="spellEnd"/>
      <w:r w:rsidRPr="00CC5696">
        <w:rPr>
          <w:rFonts w:ascii="Verdana" w:hAnsi="Verdana"/>
          <w:color w:val="000000"/>
          <w:sz w:val="20"/>
          <w:szCs w:val="20"/>
        </w:rPr>
        <w:t xml:space="preserve"> was presented and discussed in </w:t>
      </w:r>
      <w:r>
        <w:rPr>
          <w:rFonts w:ascii="Verdana" w:hAnsi="Verdana"/>
          <w:color w:val="000000"/>
          <w:sz w:val="20"/>
          <w:szCs w:val="20"/>
        </w:rPr>
        <w:t xml:space="preserve">the fifth meeting of the WG in </w:t>
      </w:r>
      <w:r w:rsidRPr="00CC5696">
        <w:rPr>
          <w:rFonts w:ascii="Verdana" w:hAnsi="Verdana"/>
          <w:color w:val="000000"/>
          <w:sz w:val="20"/>
          <w:szCs w:val="20"/>
        </w:rPr>
        <w:t>Dublin</w:t>
      </w:r>
      <w:r w:rsidR="006474A3">
        <w:rPr>
          <w:rFonts w:ascii="Verdana" w:hAnsi="Verdana"/>
          <w:color w:val="000000"/>
          <w:sz w:val="20"/>
          <w:szCs w:val="20"/>
        </w:rPr>
        <w:t>,</w:t>
      </w:r>
      <w:r w:rsidRPr="00CC5696">
        <w:rPr>
          <w:rFonts w:ascii="Verdana" w:hAnsi="Verdana"/>
          <w:color w:val="000000"/>
          <w:sz w:val="20"/>
          <w:szCs w:val="20"/>
        </w:rPr>
        <w:t xml:space="preserve"> including recommendations on how to present attractive information to recruit international students at institutional level. The WG discussed the addressees to whom the recommendations are targeted and decided to further develop the recommendations.</w:t>
      </w:r>
    </w:p>
    <w:p w:rsidR="00CC5696" w:rsidRDefault="00CC5696" w:rsidP="00E764D1">
      <w:pPr>
        <w:spacing w:after="0" w:line="312" w:lineRule="auto"/>
        <w:jc w:val="both"/>
        <w:rPr>
          <w:rFonts w:ascii="Verdana" w:hAnsi="Verdana"/>
          <w:color w:val="000000"/>
          <w:sz w:val="20"/>
          <w:szCs w:val="20"/>
        </w:rPr>
      </w:pPr>
      <w:r w:rsidRPr="00CC5696">
        <w:rPr>
          <w:rFonts w:ascii="Verdana" w:hAnsi="Verdana"/>
          <w:color w:val="000000"/>
          <w:sz w:val="20"/>
          <w:szCs w:val="20"/>
        </w:rPr>
        <w:t xml:space="preserve"> </w:t>
      </w:r>
    </w:p>
    <w:p w:rsidR="00CC5696" w:rsidRPr="00844CB9" w:rsidRDefault="00CC5696" w:rsidP="00E764D1">
      <w:pPr>
        <w:spacing w:after="0" w:line="312" w:lineRule="auto"/>
        <w:jc w:val="both"/>
        <w:rPr>
          <w:rFonts w:ascii="Verdana" w:hAnsi="Verdana"/>
          <w:color w:val="000000"/>
          <w:sz w:val="20"/>
          <w:szCs w:val="20"/>
        </w:rPr>
      </w:pPr>
      <w:r w:rsidRPr="00CC5696">
        <w:rPr>
          <w:rFonts w:ascii="Verdana" w:hAnsi="Verdana"/>
          <w:color w:val="000000"/>
          <w:sz w:val="20"/>
          <w:szCs w:val="20"/>
        </w:rPr>
        <w:t xml:space="preserve">A final draft </w:t>
      </w:r>
      <w:r>
        <w:rPr>
          <w:rFonts w:ascii="Verdana" w:hAnsi="Verdana"/>
          <w:color w:val="000000"/>
          <w:sz w:val="20"/>
          <w:szCs w:val="20"/>
        </w:rPr>
        <w:t>was</w:t>
      </w:r>
      <w:r w:rsidRPr="00CC5696">
        <w:rPr>
          <w:rFonts w:ascii="Verdana" w:hAnsi="Verdana"/>
          <w:color w:val="000000"/>
          <w:sz w:val="20"/>
          <w:szCs w:val="20"/>
        </w:rPr>
        <w:t xml:space="preserve"> presented </w:t>
      </w:r>
      <w:r>
        <w:rPr>
          <w:rFonts w:ascii="Verdana" w:hAnsi="Verdana"/>
          <w:color w:val="000000"/>
          <w:sz w:val="20"/>
          <w:szCs w:val="20"/>
        </w:rPr>
        <w:t xml:space="preserve">and adopted </w:t>
      </w:r>
      <w:r w:rsidR="006474A3">
        <w:rPr>
          <w:rFonts w:ascii="Verdana" w:hAnsi="Verdana"/>
          <w:color w:val="000000"/>
          <w:sz w:val="20"/>
          <w:szCs w:val="20"/>
        </w:rPr>
        <w:t>at</w:t>
      </w:r>
      <w:r w:rsidRPr="00CC5696">
        <w:rPr>
          <w:rFonts w:ascii="Verdana" w:hAnsi="Verdana"/>
          <w:color w:val="000000"/>
          <w:sz w:val="20"/>
          <w:szCs w:val="20"/>
        </w:rPr>
        <w:t xml:space="preserve"> the last meeting of the WG in Vienna in September</w:t>
      </w:r>
      <w:r>
        <w:rPr>
          <w:rFonts w:ascii="Verdana" w:hAnsi="Verdana"/>
          <w:color w:val="000000"/>
          <w:sz w:val="20"/>
          <w:szCs w:val="20"/>
        </w:rPr>
        <w:t xml:space="preserve"> 2014</w:t>
      </w:r>
      <w:r w:rsidRPr="00CC5696">
        <w:rPr>
          <w:rFonts w:ascii="Verdana" w:hAnsi="Verdana"/>
          <w:color w:val="000000"/>
          <w:sz w:val="20"/>
          <w:szCs w:val="20"/>
        </w:rPr>
        <w:t>.</w:t>
      </w:r>
    </w:p>
    <w:p w:rsidR="00E33D68" w:rsidRPr="00844CB9" w:rsidRDefault="00E33D68" w:rsidP="002960E2">
      <w:pPr>
        <w:spacing w:after="0" w:line="312" w:lineRule="auto"/>
        <w:jc w:val="both"/>
        <w:rPr>
          <w:rFonts w:ascii="Verdana" w:hAnsi="Verdana"/>
          <w:b/>
          <w:sz w:val="20"/>
          <w:szCs w:val="20"/>
        </w:rPr>
      </w:pPr>
    </w:p>
    <w:p w:rsidR="00E33D68" w:rsidRPr="00C31021" w:rsidRDefault="00E33D68" w:rsidP="002960E2">
      <w:pPr>
        <w:spacing w:after="0" w:line="312" w:lineRule="auto"/>
        <w:jc w:val="both"/>
        <w:rPr>
          <w:rFonts w:ascii="Verdana" w:hAnsi="Verdana"/>
          <w:b/>
          <w:sz w:val="20"/>
          <w:szCs w:val="20"/>
          <w:lang w:val="en-GB"/>
        </w:rPr>
      </w:pPr>
      <w:r w:rsidRPr="00C31021">
        <w:rPr>
          <w:rFonts w:ascii="Verdana" w:hAnsi="Verdana"/>
          <w:b/>
          <w:sz w:val="20"/>
          <w:szCs w:val="20"/>
          <w:lang w:val="en-GB"/>
        </w:rPr>
        <w:t>Revision of the “The EHEA in a global setting strategy”</w:t>
      </w:r>
    </w:p>
    <w:p w:rsidR="00E33D68" w:rsidRPr="00C31021" w:rsidRDefault="00E33D68" w:rsidP="00F00383">
      <w:pPr>
        <w:autoSpaceDE w:val="0"/>
        <w:autoSpaceDN w:val="0"/>
        <w:adjustRightInd w:val="0"/>
        <w:spacing w:after="0" w:line="312" w:lineRule="auto"/>
        <w:jc w:val="both"/>
        <w:rPr>
          <w:rFonts w:ascii="Verdana" w:hAnsi="Verdana"/>
          <w:color w:val="000000"/>
          <w:sz w:val="20"/>
          <w:szCs w:val="20"/>
          <w:lang w:val="en-GB"/>
        </w:rPr>
      </w:pPr>
    </w:p>
    <w:p w:rsidR="00571C59" w:rsidRPr="00C31021" w:rsidRDefault="00571C59" w:rsidP="00571C59">
      <w:pPr>
        <w:autoSpaceDE w:val="0"/>
        <w:autoSpaceDN w:val="0"/>
        <w:adjustRightInd w:val="0"/>
        <w:spacing w:after="0" w:line="312" w:lineRule="auto"/>
        <w:jc w:val="both"/>
        <w:rPr>
          <w:rFonts w:ascii="Verdana" w:hAnsi="Verdana"/>
          <w:color w:val="000000"/>
          <w:sz w:val="20"/>
          <w:szCs w:val="20"/>
          <w:lang w:val="en-GB"/>
        </w:rPr>
      </w:pPr>
      <w:r w:rsidRPr="00C31021">
        <w:rPr>
          <w:rFonts w:ascii="Verdana" w:hAnsi="Verdana"/>
          <w:color w:val="000000"/>
          <w:sz w:val="20"/>
          <w:szCs w:val="20"/>
          <w:lang w:val="en-GB"/>
        </w:rPr>
        <w:t>During the second meeting of the M&amp;I WG it was agreed</w:t>
      </w:r>
      <w:r>
        <w:rPr>
          <w:rFonts w:ascii="Verdana" w:hAnsi="Verdana"/>
          <w:color w:val="000000"/>
          <w:sz w:val="20"/>
          <w:szCs w:val="20"/>
          <w:lang w:val="en-GB"/>
        </w:rPr>
        <w:t xml:space="preserve"> that o</w:t>
      </w:r>
      <w:r w:rsidRPr="00C31021">
        <w:rPr>
          <w:rFonts w:ascii="Verdana" w:hAnsi="Verdana"/>
          <w:color w:val="000000"/>
          <w:sz w:val="20"/>
          <w:szCs w:val="20"/>
          <w:lang w:val="en-GB"/>
        </w:rPr>
        <w:t xml:space="preserve">ne of the main outcomes of the work on further internationalisation developments in the EHEA should focus on the revision of the 2007 strategy “EHEA in a Global Setting”. </w:t>
      </w:r>
    </w:p>
    <w:p w:rsidR="00571C59" w:rsidRPr="00C31021" w:rsidRDefault="00571C59" w:rsidP="00571C59">
      <w:pPr>
        <w:autoSpaceDE w:val="0"/>
        <w:autoSpaceDN w:val="0"/>
        <w:adjustRightInd w:val="0"/>
        <w:spacing w:after="0" w:line="312" w:lineRule="auto"/>
        <w:jc w:val="both"/>
        <w:rPr>
          <w:rFonts w:ascii="Verdana" w:hAnsi="Verdana"/>
          <w:color w:val="000000"/>
          <w:sz w:val="20"/>
          <w:szCs w:val="20"/>
          <w:lang w:val="en-GB"/>
        </w:rPr>
      </w:pPr>
    </w:p>
    <w:p w:rsidR="00571C59" w:rsidRPr="00C31021" w:rsidRDefault="00571C59" w:rsidP="00571C59">
      <w:pPr>
        <w:autoSpaceDE w:val="0"/>
        <w:autoSpaceDN w:val="0"/>
        <w:adjustRightInd w:val="0"/>
        <w:spacing w:after="0" w:line="312" w:lineRule="auto"/>
        <w:jc w:val="both"/>
        <w:rPr>
          <w:rFonts w:ascii="Verdana" w:hAnsi="Verdana"/>
          <w:b/>
          <w:sz w:val="20"/>
          <w:szCs w:val="20"/>
          <w:lang w:val="en-GB"/>
        </w:rPr>
      </w:pPr>
      <w:r w:rsidRPr="00C31021">
        <w:rPr>
          <w:rFonts w:ascii="Verdana" w:hAnsi="Verdana"/>
          <w:color w:val="000000"/>
          <w:sz w:val="20"/>
          <w:szCs w:val="20"/>
          <w:lang w:val="en-GB"/>
        </w:rPr>
        <w:t xml:space="preserve">The revision of the 2007 strategy would focus on the overall development of the five policy </w:t>
      </w:r>
      <w:r w:rsidRPr="00844CB9">
        <w:rPr>
          <w:rFonts w:ascii="Verdana" w:hAnsi="Verdana"/>
          <w:color w:val="000000"/>
          <w:sz w:val="20"/>
          <w:szCs w:val="20"/>
          <w:lang w:val="en-GB"/>
        </w:rPr>
        <w:t xml:space="preserve">areas of the 2007 strategy at </w:t>
      </w:r>
      <w:r>
        <w:rPr>
          <w:rFonts w:ascii="Verdana" w:hAnsi="Verdana"/>
          <w:color w:val="000000"/>
          <w:sz w:val="20"/>
          <w:szCs w:val="20"/>
          <w:lang w:val="en-GB"/>
        </w:rPr>
        <w:t xml:space="preserve">European, </w:t>
      </w:r>
      <w:r w:rsidRPr="00844CB9">
        <w:rPr>
          <w:rFonts w:ascii="Verdana" w:hAnsi="Verdana"/>
          <w:color w:val="000000"/>
          <w:sz w:val="20"/>
          <w:szCs w:val="20"/>
          <w:lang w:val="en-GB"/>
        </w:rPr>
        <w:t>national</w:t>
      </w:r>
      <w:r>
        <w:rPr>
          <w:rFonts w:ascii="Verdana" w:hAnsi="Verdana"/>
          <w:color w:val="000000"/>
          <w:sz w:val="20"/>
          <w:szCs w:val="20"/>
          <w:lang w:val="en-GB"/>
        </w:rPr>
        <w:t xml:space="preserve">, regional and institutional </w:t>
      </w:r>
      <w:r w:rsidRPr="00844CB9">
        <w:rPr>
          <w:rFonts w:ascii="Verdana" w:hAnsi="Verdana"/>
          <w:color w:val="000000"/>
          <w:sz w:val="20"/>
          <w:szCs w:val="20"/>
          <w:lang w:val="en-GB"/>
        </w:rPr>
        <w:t xml:space="preserve">level putting </w:t>
      </w:r>
      <w:r w:rsidRPr="00C31021">
        <w:rPr>
          <w:rFonts w:ascii="Verdana" w:hAnsi="Verdana"/>
          <w:color w:val="000000"/>
          <w:sz w:val="20"/>
          <w:szCs w:val="20"/>
          <w:lang w:val="en-GB"/>
        </w:rPr>
        <w:t>emphasis on the sharing of good practices and launching of joint new initiatives. Thus, t</w:t>
      </w:r>
      <w:r w:rsidRPr="00C31021">
        <w:rPr>
          <w:rFonts w:ascii="Verdana" w:hAnsi="Verdana"/>
          <w:sz w:val="20"/>
          <w:szCs w:val="20"/>
          <w:lang w:val="en-GB"/>
        </w:rPr>
        <w:t xml:space="preserve">he WG M&amp;I focused its work on: I) Revision of the 2007 strategy </w:t>
      </w:r>
      <w:r>
        <w:rPr>
          <w:rFonts w:ascii="Verdana" w:hAnsi="Verdana"/>
          <w:sz w:val="20"/>
          <w:szCs w:val="20"/>
          <w:lang w:val="en-GB"/>
        </w:rPr>
        <w:t>“The EHEA in a global setting”,</w:t>
      </w:r>
      <w:r w:rsidRPr="00C31021">
        <w:rPr>
          <w:rFonts w:ascii="Verdana" w:hAnsi="Verdana"/>
          <w:sz w:val="20"/>
          <w:szCs w:val="20"/>
          <w:lang w:val="en-GB"/>
        </w:rPr>
        <w:t xml:space="preserve"> II) </w:t>
      </w:r>
      <w:r w:rsidRPr="00C31021">
        <w:rPr>
          <w:rFonts w:ascii="Verdana" w:hAnsi="Verdana"/>
          <w:bCs/>
          <w:sz w:val="20"/>
          <w:szCs w:val="20"/>
          <w:lang w:val="en-GB"/>
        </w:rPr>
        <w:t>Internationalization part</w:t>
      </w:r>
      <w:r w:rsidRPr="00C31021">
        <w:rPr>
          <w:rFonts w:ascii="Verdana" w:hAnsi="Verdana"/>
          <w:b/>
          <w:bCs/>
          <w:sz w:val="20"/>
          <w:szCs w:val="20"/>
          <w:lang w:val="en-GB"/>
        </w:rPr>
        <w:t xml:space="preserve"> </w:t>
      </w:r>
      <w:r w:rsidRPr="00C31021">
        <w:rPr>
          <w:rFonts w:ascii="Verdana" w:hAnsi="Verdana"/>
          <w:sz w:val="20"/>
          <w:szCs w:val="20"/>
          <w:lang w:val="en-GB"/>
        </w:rPr>
        <w:t>of the Questionnaire, focusing on the implementation of the 2007 strategy as indicated before and on indicators  for the attractiveness of the EHEA for third countries.</w:t>
      </w:r>
    </w:p>
    <w:p w:rsidR="00571C59" w:rsidRPr="00C31021" w:rsidRDefault="00571C59" w:rsidP="00571C59">
      <w:pPr>
        <w:autoSpaceDE w:val="0"/>
        <w:autoSpaceDN w:val="0"/>
        <w:adjustRightInd w:val="0"/>
        <w:spacing w:after="0" w:line="312" w:lineRule="auto"/>
        <w:jc w:val="both"/>
        <w:rPr>
          <w:rFonts w:ascii="Verdana" w:hAnsi="Verdana" w:cs="Calibri"/>
          <w:color w:val="000000"/>
          <w:sz w:val="20"/>
          <w:szCs w:val="20"/>
          <w:lang w:val="en-GB"/>
        </w:rPr>
      </w:pPr>
    </w:p>
    <w:p w:rsidR="00571C59" w:rsidRDefault="00571C59" w:rsidP="00571C59">
      <w:pPr>
        <w:autoSpaceDE w:val="0"/>
        <w:autoSpaceDN w:val="0"/>
        <w:adjustRightInd w:val="0"/>
        <w:spacing w:after="0" w:line="312" w:lineRule="auto"/>
        <w:jc w:val="both"/>
        <w:rPr>
          <w:rFonts w:ascii="Verdana" w:hAnsi="Verdana"/>
          <w:sz w:val="20"/>
          <w:szCs w:val="20"/>
          <w:lang w:val="en-GB"/>
        </w:rPr>
      </w:pPr>
      <w:r w:rsidRPr="00C31021">
        <w:rPr>
          <w:rFonts w:ascii="Verdana" w:hAnsi="Verdana" w:cs="Calibri"/>
          <w:color w:val="000000"/>
          <w:sz w:val="20"/>
          <w:szCs w:val="20"/>
          <w:lang w:val="en-GB"/>
        </w:rPr>
        <w:t xml:space="preserve">Furthermore, the representative of EUA Mrs. </w:t>
      </w:r>
      <w:r w:rsidRPr="00C31021">
        <w:rPr>
          <w:rFonts w:ascii="Verdana" w:hAnsi="Verdana"/>
          <w:sz w:val="20"/>
          <w:szCs w:val="20"/>
          <w:lang w:val="en-GB"/>
        </w:rPr>
        <w:t xml:space="preserve">Elizabeth </w:t>
      </w:r>
      <w:proofErr w:type="spellStart"/>
      <w:r w:rsidRPr="00C31021">
        <w:rPr>
          <w:rFonts w:ascii="Verdana" w:hAnsi="Verdana"/>
          <w:sz w:val="20"/>
          <w:szCs w:val="20"/>
          <w:lang w:val="en-GB"/>
        </w:rPr>
        <w:t>Colucci</w:t>
      </w:r>
      <w:proofErr w:type="spellEnd"/>
      <w:r w:rsidRPr="00C31021">
        <w:rPr>
          <w:rFonts w:ascii="Verdana" w:hAnsi="Verdana"/>
          <w:sz w:val="20"/>
          <w:szCs w:val="20"/>
          <w:lang w:val="en-GB"/>
        </w:rPr>
        <w:t xml:space="preserve"> </w:t>
      </w:r>
      <w:r>
        <w:rPr>
          <w:rFonts w:ascii="Verdana" w:hAnsi="Verdana"/>
          <w:sz w:val="20"/>
          <w:szCs w:val="20"/>
          <w:lang w:val="en-GB"/>
        </w:rPr>
        <w:t>produced a</w:t>
      </w:r>
      <w:r w:rsidRPr="00C31021">
        <w:rPr>
          <w:rFonts w:ascii="Verdana" w:hAnsi="Verdana"/>
          <w:sz w:val="20"/>
          <w:szCs w:val="20"/>
          <w:lang w:val="en-GB"/>
        </w:rPr>
        <w:t xml:space="preserve"> paper on “</w:t>
      </w:r>
      <w:r w:rsidRPr="00C31021">
        <w:rPr>
          <w:rFonts w:ascii="Verdana" w:hAnsi="Verdana" w:cs="Calibri"/>
          <w:sz w:val="20"/>
          <w:szCs w:val="20"/>
          <w:lang w:val="en-GB"/>
        </w:rPr>
        <w:t>Evaluating the Strategy for European Higher Education in a Global Setting</w:t>
      </w:r>
      <w:r>
        <w:rPr>
          <w:rFonts w:ascii="Verdana" w:hAnsi="Verdana" w:cs="Calibri"/>
          <w:sz w:val="20"/>
          <w:szCs w:val="20"/>
          <w:lang w:val="en-GB"/>
        </w:rPr>
        <w:t xml:space="preserve">”. This was compiled based on contributions received of WG members of </w:t>
      </w:r>
      <w:r w:rsidRPr="00C31021">
        <w:rPr>
          <w:rFonts w:ascii="Verdana" w:hAnsi="Verdana"/>
          <w:sz w:val="20"/>
          <w:szCs w:val="20"/>
          <w:lang w:val="en-GB"/>
        </w:rPr>
        <w:t>examples under the five priority areas of the Strategy</w:t>
      </w:r>
      <w:r>
        <w:rPr>
          <w:rFonts w:ascii="Verdana" w:hAnsi="Verdana"/>
          <w:sz w:val="20"/>
          <w:szCs w:val="20"/>
          <w:lang w:val="en-GB"/>
        </w:rPr>
        <w:t xml:space="preserve">: Information on the EHEA, promotion/attractiveness, policy dialogue, partnership and recognition. </w:t>
      </w:r>
      <w:r w:rsidRPr="00C31021">
        <w:rPr>
          <w:rFonts w:ascii="Verdana" w:hAnsi="Verdana"/>
          <w:sz w:val="20"/>
          <w:szCs w:val="20"/>
          <w:lang w:val="en-GB"/>
        </w:rPr>
        <w:t xml:space="preserve"> </w:t>
      </w:r>
    </w:p>
    <w:p w:rsidR="00571C59" w:rsidRPr="00C31021" w:rsidRDefault="00571C59" w:rsidP="00571C59">
      <w:pPr>
        <w:autoSpaceDE w:val="0"/>
        <w:autoSpaceDN w:val="0"/>
        <w:adjustRightInd w:val="0"/>
        <w:spacing w:after="0" w:line="312" w:lineRule="auto"/>
        <w:jc w:val="both"/>
        <w:rPr>
          <w:rFonts w:ascii="Verdana" w:hAnsi="Verdana"/>
          <w:sz w:val="20"/>
          <w:szCs w:val="20"/>
          <w:lang w:val="en-GB"/>
        </w:rPr>
      </w:pPr>
    </w:p>
    <w:p w:rsidR="00931630" w:rsidRDefault="00571C59" w:rsidP="00571C59">
      <w:pPr>
        <w:autoSpaceDE w:val="0"/>
        <w:autoSpaceDN w:val="0"/>
        <w:adjustRightInd w:val="0"/>
        <w:spacing w:after="0" w:line="312" w:lineRule="auto"/>
        <w:jc w:val="both"/>
        <w:rPr>
          <w:rFonts w:ascii="Verdana" w:hAnsi="Verdana"/>
          <w:sz w:val="20"/>
          <w:szCs w:val="20"/>
          <w:lang w:val="en-GB"/>
        </w:rPr>
      </w:pPr>
      <w:r>
        <w:rPr>
          <w:rFonts w:ascii="Verdana" w:hAnsi="Verdana"/>
          <w:sz w:val="20"/>
          <w:szCs w:val="20"/>
          <w:lang w:val="en-GB"/>
        </w:rPr>
        <w:t>The purpose of the exercise was to assess developments under the five pillars of the strategy at various levels</w:t>
      </w:r>
      <w:r w:rsidR="00001BA1">
        <w:rPr>
          <w:rFonts w:ascii="Verdana" w:hAnsi="Verdana"/>
          <w:sz w:val="20"/>
          <w:szCs w:val="20"/>
          <w:lang w:val="en-GB"/>
        </w:rPr>
        <w:t xml:space="preserve"> </w:t>
      </w:r>
      <w:r>
        <w:rPr>
          <w:rFonts w:ascii="Verdana" w:hAnsi="Verdana"/>
          <w:sz w:val="20"/>
          <w:szCs w:val="20"/>
          <w:lang w:val="en-GB"/>
        </w:rPr>
        <w:t>- national, institutional and European</w:t>
      </w:r>
      <w:r w:rsidR="00001BA1">
        <w:rPr>
          <w:rFonts w:ascii="Verdana" w:hAnsi="Verdana"/>
          <w:sz w:val="20"/>
          <w:szCs w:val="20"/>
          <w:lang w:val="en-GB"/>
        </w:rPr>
        <w:t xml:space="preserve"> </w:t>
      </w:r>
      <w:r>
        <w:rPr>
          <w:rFonts w:ascii="Verdana" w:hAnsi="Verdana"/>
          <w:sz w:val="20"/>
          <w:szCs w:val="20"/>
          <w:lang w:val="en-GB"/>
        </w:rPr>
        <w:t>- since 2007, when the strategy was adopted.</w:t>
      </w:r>
    </w:p>
    <w:p w:rsidR="00571C59" w:rsidRDefault="00571C59" w:rsidP="00571C59">
      <w:pPr>
        <w:autoSpaceDE w:val="0"/>
        <w:autoSpaceDN w:val="0"/>
        <w:adjustRightInd w:val="0"/>
        <w:spacing w:after="0" w:line="312" w:lineRule="auto"/>
        <w:jc w:val="both"/>
        <w:rPr>
          <w:rFonts w:ascii="Verdana" w:hAnsi="Verdana"/>
          <w:b/>
          <w:sz w:val="20"/>
          <w:szCs w:val="20"/>
          <w:lang w:val="en-GB"/>
        </w:rPr>
      </w:pPr>
    </w:p>
    <w:p w:rsidR="004F0416" w:rsidRDefault="004F0416" w:rsidP="00571C59">
      <w:pPr>
        <w:autoSpaceDE w:val="0"/>
        <w:autoSpaceDN w:val="0"/>
        <w:adjustRightInd w:val="0"/>
        <w:spacing w:after="0" w:line="312" w:lineRule="auto"/>
        <w:jc w:val="both"/>
        <w:rPr>
          <w:rFonts w:ascii="Verdana" w:hAnsi="Verdana"/>
          <w:b/>
          <w:sz w:val="20"/>
          <w:szCs w:val="20"/>
          <w:lang w:val="en-GB"/>
        </w:rPr>
      </w:pPr>
      <w:r w:rsidRPr="00C31021">
        <w:rPr>
          <w:rFonts w:ascii="Verdana" w:hAnsi="Verdana"/>
          <w:sz w:val="20"/>
          <w:szCs w:val="20"/>
          <w:lang w:val="en-GB"/>
        </w:rPr>
        <w:t xml:space="preserve">The group </w:t>
      </w:r>
      <w:r>
        <w:rPr>
          <w:rFonts w:ascii="Verdana" w:hAnsi="Verdana"/>
          <w:sz w:val="20"/>
          <w:szCs w:val="20"/>
          <w:lang w:val="en-GB"/>
        </w:rPr>
        <w:t xml:space="preserve">then </w:t>
      </w:r>
      <w:r w:rsidRPr="00C31021">
        <w:rPr>
          <w:rFonts w:ascii="Verdana" w:hAnsi="Verdana"/>
          <w:sz w:val="20"/>
          <w:szCs w:val="20"/>
          <w:lang w:val="en-GB"/>
        </w:rPr>
        <w:t>agreed  to evaluate the strategy for European Higher Education in a global setting</w:t>
      </w:r>
      <w:r>
        <w:rPr>
          <w:rFonts w:ascii="Verdana" w:hAnsi="Verdana"/>
          <w:sz w:val="20"/>
          <w:szCs w:val="20"/>
          <w:lang w:val="en-GB"/>
        </w:rPr>
        <w:t xml:space="preserve"> </w:t>
      </w:r>
      <w:r w:rsidRPr="00782E1F">
        <w:rPr>
          <w:rFonts w:ascii="Verdana" w:hAnsi="Verdana"/>
          <w:sz w:val="20"/>
          <w:szCs w:val="20"/>
          <w:lang w:val="en-GB"/>
        </w:rPr>
        <w:t>and assess whether it should be revised, abandoned or maintained going forward</w:t>
      </w:r>
      <w:r w:rsidRPr="00782E1F">
        <w:rPr>
          <w:rFonts w:ascii="Verdana" w:hAnsi="Verdana"/>
          <w:b/>
          <w:sz w:val="20"/>
          <w:szCs w:val="20"/>
          <w:lang w:val="en-GB"/>
        </w:rPr>
        <w:t xml:space="preserve">. </w:t>
      </w:r>
      <w:r>
        <w:rPr>
          <w:rFonts w:ascii="Verdana" w:hAnsi="Verdana"/>
          <w:sz w:val="20"/>
          <w:szCs w:val="20"/>
          <w:lang w:val="en-GB"/>
        </w:rPr>
        <w:t xml:space="preserve">It was as well underlined that </w:t>
      </w:r>
      <w:r w:rsidRPr="00782E1F">
        <w:rPr>
          <w:rFonts w:ascii="Verdana" w:hAnsi="Verdana"/>
          <w:sz w:val="20"/>
          <w:szCs w:val="20"/>
        </w:rPr>
        <w:t xml:space="preserve">information on the EHEA has improved, but common promotion of the EHEA is difficult given the diverse nature of </w:t>
      </w:r>
      <w:r>
        <w:rPr>
          <w:rFonts w:ascii="Verdana" w:hAnsi="Verdana"/>
          <w:sz w:val="20"/>
          <w:szCs w:val="20"/>
        </w:rPr>
        <w:t>EHEA</w:t>
      </w:r>
      <w:r w:rsidRPr="00782E1F">
        <w:rPr>
          <w:rFonts w:ascii="Verdana" w:hAnsi="Verdana"/>
          <w:sz w:val="20"/>
          <w:szCs w:val="20"/>
        </w:rPr>
        <w:t xml:space="preserve"> national promotion mechanisms. Policy dialogue and partnership happens at various levels and has been quite successful, yet this is not necessarily attributed to the EHEA strategy but to general </w:t>
      </w:r>
      <w:proofErr w:type="spellStart"/>
      <w:r w:rsidRPr="00782E1F">
        <w:rPr>
          <w:rFonts w:ascii="Verdana" w:hAnsi="Verdana"/>
          <w:sz w:val="20"/>
          <w:szCs w:val="20"/>
        </w:rPr>
        <w:t>internationalisation</w:t>
      </w:r>
      <w:proofErr w:type="spellEnd"/>
      <w:r w:rsidRPr="00782E1F">
        <w:rPr>
          <w:rFonts w:ascii="Verdana" w:hAnsi="Verdana"/>
          <w:sz w:val="20"/>
          <w:szCs w:val="20"/>
        </w:rPr>
        <w:t xml:space="preserve"> developments</w:t>
      </w:r>
      <w:r>
        <w:rPr>
          <w:rFonts w:ascii="Verdana" w:hAnsi="Verdana"/>
          <w:sz w:val="20"/>
          <w:szCs w:val="20"/>
        </w:rPr>
        <w:t>.</w:t>
      </w:r>
    </w:p>
    <w:p w:rsidR="004F0416" w:rsidRDefault="004F0416" w:rsidP="00571C59">
      <w:pPr>
        <w:autoSpaceDE w:val="0"/>
        <w:autoSpaceDN w:val="0"/>
        <w:adjustRightInd w:val="0"/>
        <w:spacing w:after="0" w:line="312" w:lineRule="auto"/>
        <w:jc w:val="both"/>
        <w:rPr>
          <w:rFonts w:ascii="Verdana" w:hAnsi="Verdana"/>
          <w:b/>
          <w:sz w:val="20"/>
          <w:szCs w:val="20"/>
          <w:lang w:val="en-GB"/>
        </w:rPr>
      </w:pPr>
    </w:p>
    <w:p w:rsidR="00926559" w:rsidRDefault="00926559" w:rsidP="00571C59">
      <w:pPr>
        <w:autoSpaceDE w:val="0"/>
        <w:autoSpaceDN w:val="0"/>
        <w:adjustRightInd w:val="0"/>
        <w:spacing w:after="0" w:line="312" w:lineRule="auto"/>
        <w:jc w:val="both"/>
        <w:rPr>
          <w:rFonts w:ascii="Verdana" w:hAnsi="Verdana"/>
          <w:sz w:val="20"/>
          <w:szCs w:val="20"/>
          <w:lang w:val="en-GB"/>
        </w:rPr>
      </w:pPr>
      <w:r>
        <w:rPr>
          <w:rFonts w:ascii="Verdana" w:hAnsi="Verdana"/>
          <w:sz w:val="20"/>
          <w:szCs w:val="20"/>
          <w:lang w:val="en-GB"/>
        </w:rPr>
        <w:t>A 2014 strategy review of the 2007 Strategy for the EHEA in a Global Setting was discussed and approved in the 6</w:t>
      </w:r>
      <w:r w:rsidRPr="00844CB9">
        <w:rPr>
          <w:rFonts w:ascii="Verdana" w:hAnsi="Verdana"/>
          <w:sz w:val="20"/>
          <w:szCs w:val="20"/>
          <w:vertAlign w:val="superscript"/>
          <w:lang w:val="en-GB"/>
        </w:rPr>
        <w:t>th</w:t>
      </w:r>
      <w:r>
        <w:rPr>
          <w:rFonts w:ascii="Verdana" w:hAnsi="Verdana"/>
          <w:sz w:val="20"/>
          <w:szCs w:val="20"/>
          <w:lang w:val="en-GB"/>
        </w:rPr>
        <w:t xml:space="preserve"> meeting of the WG in Vienna.</w:t>
      </w:r>
    </w:p>
    <w:p w:rsidR="00926559" w:rsidRDefault="00926559" w:rsidP="00571C59">
      <w:pPr>
        <w:autoSpaceDE w:val="0"/>
        <w:autoSpaceDN w:val="0"/>
        <w:adjustRightInd w:val="0"/>
        <w:spacing w:after="0" w:line="312" w:lineRule="auto"/>
        <w:jc w:val="both"/>
        <w:rPr>
          <w:rFonts w:ascii="Verdana" w:hAnsi="Verdana"/>
          <w:b/>
          <w:sz w:val="20"/>
          <w:szCs w:val="20"/>
          <w:lang w:val="en-GB"/>
        </w:rPr>
      </w:pPr>
    </w:p>
    <w:p w:rsidR="00E33D68" w:rsidRPr="00C31021" w:rsidRDefault="00E33D68" w:rsidP="000079F2">
      <w:pPr>
        <w:autoSpaceDE w:val="0"/>
        <w:autoSpaceDN w:val="0"/>
        <w:adjustRightInd w:val="0"/>
        <w:spacing w:after="0" w:line="312" w:lineRule="auto"/>
        <w:jc w:val="both"/>
        <w:rPr>
          <w:rFonts w:ascii="Verdana" w:hAnsi="Verdana"/>
          <w:b/>
          <w:sz w:val="20"/>
          <w:szCs w:val="20"/>
          <w:lang w:val="en-GB"/>
        </w:rPr>
      </w:pPr>
      <w:r w:rsidRPr="00C31021">
        <w:rPr>
          <w:rFonts w:ascii="Verdana" w:hAnsi="Verdana"/>
          <w:b/>
          <w:sz w:val="20"/>
          <w:szCs w:val="20"/>
          <w:lang w:val="en-GB"/>
        </w:rPr>
        <w:t>Attractiveness of the EHEA (Target for Incoming Mobility)</w:t>
      </w:r>
    </w:p>
    <w:p w:rsidR="00E33D68" w:rsidRPr="00C31021" w:rsidRDefault="00E33D68" w:rsidP="000079F2">
      <w:pPr>
        <w:spacing w:after="0" w:line="312" w:lineRule="auto"/>
        <w:jc w:val="both"/>
        <w:rPr>
          <w:rFonts w:ascii="Verdana" w:hAnsi="Verdana"/>
          <w:sz w:val="20"/>
          <w:szCs w:val="20"/>
          <w:lang w:val="en-GB"/>
        </w:rPr>
      </w:pPr>
    </w:p>
    <w:p w:rsidR="00E33D68" w:rsidRPr="00C31021" w:rsidRDefault="00E33D68" w:rsidP="00FF43B0">
      <w:pPr>
        <w:spacing w:after="0" w:line="312" w:lineRule="auto"/>
        <w:jc w:val="both"/>
        <w:rPr>
          <w:rFonts w:ascii="Verdana" w:hAnsi="Verdana"/>
          <w:sz w:val="20"/>
          <w:szCs w:val="20"/>
          <w:lang w:val="en-GB"/>
        </w:rPr>
      </w:pPr>
      <w:r w:rsidRPr="00C31021">
        <w:rPr>
          <w:rFonts w:ascii="Verdana" w:hAnsi="Verdana"/>
          <w:sz w:val="20"/>
          <w:szCs w:val="20"/>
          <w:lang w:val="en-GB"/>
        </w:rPr>
        <w:t xml:space="preserve">The WG discussed and agreed on a set of indicators to assess the attractiveness of the EHEA, such as the share of students and first-year-students in the EHEA who have obtained their prior qualification outside the EHEA as well as their study success and stay rates after graduation. Although quality, diversity, openness and comparability of degrees are widely known as the indicators of the EHEA attractiveness, students usually </w:t>
      </w:r>
      <w:r w:rsidR="00854A27">
        <w:rPr>
          <w:rFonts w:ascii="Verdana" w:hAnsi="Verdana"/>
          <w:sz w:val="20"/>
          <w:szCs w:val="20"/>
          <w:lang w:val="en-GB"/>
        </w:rPr>
        <w:t xml:space="preserve">also </w:t>
      </w:r>
      <w:r w:rsidRPr="00C31021">
        <w:rPr>
          <w:rFonts w:ascii="Verdana" w:hAnsi="Verdana"/>
          <w:sz w:val="20"/>
          <w:szCs w:val="20"/>
          <w:lang w:val="en-GB"/>
        </w:rPr>
        <w:t>consider safety, employability and good reputation. It was also underlined that nationality data of students who have obtained their prior qualification outside of EHEA could be collected.</w:t>
      </w:r>
    </w:p>
    <w:p w:rsidR="00E33D68" w:rsidRPr="00C31021" w:rsidRDefault="00E33D68" w:rsidP="00FF43B0">
      <w:pPr>
        <w:spacing w:after="0" w:line="312" w:lineRule="auto"/>
        <w:jc w:val="both"/>
        <w:rPr>
          <w:rFonts w:ascii="Verdana" w:hAnsi="Verdana"/>
          <w:sz w:val="20"/>
          <w:szCs w:val="20"/>
          <w:lang w:val="en-GB"/>
        </w:rPr>
      </w:pPr>
    </w:p>
    <w:p w:rsidR="00E33D68" w:rsidRPr="00C31021" w:rsidRDefault="00E33D68" w:rsidP="00FF43B0">
      <w:pPr>
        <w:spacing w:after="0" w:line="312" w:lineRule="auto"/>
        <w:jc w:val="both"/>
        <w:rPr>
          <w:rFonts w:ascii="Verdana" w:hAnsi="Verdana"/>
          <w:sz w:val="20"/>
          <w:szCs w:val="20"/>
          <w:lang w:val="en-GB"/>
        </w:rPr>
      </w:pPr>
      <w:r w:rsidRPr="00C31021">
        <w:rPr>
          <w:rFonts w:ascii="Verdana" w:hAnsi="Verdana"/>
          <w:sz w:val="20"/>
          <w:szCs w:val="20"/>
          <w:lang w:val="en-GB"/>
        </w:rPr>
        <w:t>During the discussions the WG agreed on several important points:</w:t>
      </w:r>
    </w:p>
    <w:p w:rsidR="00E33D68" w:rsidRPr="00C31021" w:rsidRDefault="00E33D68" w:rsidP="00FF43B0">
      <w:pPr>
        <w:spacing w:after="0" w:line="312" w:lineRule="auto"/>
        <w:jc w:val="both"/>
        <w:rPr>
          <w:rFonts w:ascii="Verdana" w:hAnsi="Verdana"/>
          <w:sz w:val="20"/>
          <w:szCs w:val="20"/>
          <w:lang w:val="en-GB"/>
        </w:rPr>
      </w:pPr>
    </w:p>
    <w:p w:rsidR="00E33D68" w:rsidRPr="00C31021" w:rsidRDefault="00E33D68" w:rsidP="00B07A9D">
      <w:pPr>
        <w:numPr>
          <w:ilvl w:val="0"/>
          <w:numId w:val="5"/>
        </w:numPr>
        <w:spacing w:after="0" w:line="312" w:lineRule="auto"/>
        <w:jc w:val="both"/>
        <w:rPr>
          <w:rFonts w:ascii="Verdana" w:hAnsi="Verdana"/>
          <w:color w:val="000000"/>
          <w:sz w:val="20"/>
          <w:szCs w:val="20"/>
          <w:lang w:val="en-GB"/>
        </w:rPr>
      </w:pPr>
      <w:r w:rsidRPr="00C31021">
        <w:rPr>
          <w:rFonts w:ascii="Verdana" w:hAnsi="Verdana"/>
          <w:color w:val="000000"/>
          <w:sz w:val="20"/>
          <w:szCs w:val="20"/>
          <w:lang w:val="en-GB"/>
        </w:rPr>
        <w:t>EHEA membership could help smaller countries to promote their educational systems worldwide;</w:t>
      </w:r>
    </w:p>
    <w:p w:rsidR="00E33D68" w:rsidRPr="00C31021" w:rsidRDefault="00E33D68" w:rsidP="00B07A9D">
      <w:pPr>
        <w:numPr>
          <w:ilvl w:val="0"/>
          <w:numId w:val="5"/>
        </w:numPr>
        <w:spacing w:after="0" w:line="312" w:lineRule="auto"/>
        <w:jc w:val="both"/>
        <w:rPr>
          <w:rFonts w:ascii="Verdana" w:hAnsi="Verdana"/>
          <w:color w:val="000000"/>
          <w:sz w:val="20"/>
          <w:szCs w:val="20"/>
          <w:lang w:val="en-GB"/>
        </w:rPr>
      </w:pPr>
      <w:r w:rsidRPr="00C31021">
        <w:rPr>
          <w:rFonts w:ascii="Verdana" w:hAnsi="Verdana"/>
          <w:color w:val="000000"/>
          <w:sz w:val="20"/>
          <w:szCs w:val="20"/>
          <w:lang w:val="en-GB"/>
        </w:rPr>
        <w:t>Quality assurance is one of the attractiveness indicators of EHEA;</w:t>
      </w:r>
    </w:p>
    <w:p w:rsidR="001B4A7A" w:rsidRPr="00C31021" w:rsidRDefault="001B4A7A" w:rsidP="00B07A9D">
      <w:pPr>
        <w:numPr>
          <w:ilvl w:val="0"/>
          <w:numId w:val="5"/>
        </w:numPr>
        <w:spacing w:after="0" w:line="312" w:lineRule="auto"/>
        <w:jc w:val="both"/>
        <w:rPr>
          <w:rFonts w:ascii="Verdana" w:hAnsi="Verdana"/>
          <w:color w:val="000000"/>
          <w:sz w:val="20"/>
          <w:szCs w:val="20"/>
          <w:lang w:val="en-GB"/>
        </w:rPr>
      </w:pPr>
      <w:r w:rsidRPr="00C31021">
        <w:rPr>
          <w:rFonts w:ascii="Verdana" w:hAnsi="Verdana" w:cs="Calibri"/>
          <w:color w:val="000000"/>
          <w:sz w:val="20"/>
          <w:szCs w:val="20"/>
          <w:lang w:val="en-GB"/>
        </w:rPr>
        <w:t>Incoming student mobility should be increased in EHEA</w:t>
      </w:r>
      <w:r>
        <w:rPr>
          <w:rFonts w:ascii="Verdana" w:hAnsi="Verdana" w:cs="Calibri"/>
          <w:color w:val="000000"/>
          <w:sz w:val="20"/>
          <w:szCs w:val="20"/>
          <w:lang w:val="en-GB"/>
        </w:rPr>
        <w:t>, however different countries may have different needs and targets</w:t>
      </w:r>
      <w:r w:rsidRPr="00C31021">
        <w:rPr>
          <w:rFonts w:ascii="Verdana" w:hAnsi="Verdana" w:cs="Calibri"/>
          <w:color w:val="000000"/>
          <w:sz w:val="20"/>
          <w:szCs w:val="20"/>
          <w:lang w:val="en-GB"/>
        </w:rPr>
        <w:t xml:space="preserve">; </w:t>
      </w:r>
    </w:p>
    <w:p w:rsidR="00E33D68" w:rsidRPr="00C31021" w:rsidRDefault="00E33D68" w:rsidP="00B07A9D">
      <w:pPr>
        <w:numPr>
          <w:ilvl w:val="0"/>
          <w:numId w:val="5"/>
        </w:numPr>
        <w:spacing w:after="0" w:line="312" w:lineRule="auto"/>
        <w:jc w:val="both"/>
        <w:rPr>
          <w:rFonts w:ascii="Verdana" w:hAnsi="Verdana"/>
          <w:color w:val="000000"/>
          <w:sz w:val="20"/>
          <w:szCs w:val="20"/>
          <w:lang w:val="en-GB"/>
        </w:rPr>
      </w:pPr>
      <w:r w:rsidRPr="00C31021">
        <w:rPr>
          <w:rFonts w:ascii="Verdana" w:hAnsi="Verdana" w:cs="Calibri"/>
          <w:color w:val="000000"/>
          <w:sz w:val="20"/>
          <w:szCs w:val="20"/>
          <w:lang w:val="en-GB"/>
        </w:rPr>
        <w:t>Data should be collected and reported to assess the attractiveness of EHEA on a regular basis.</w:t>
      </w:r>
    </w:p>
    <w:p w:rsidR="00E33D68" w:rsidRPr="00C31021" w:rsidRDefault="00E33D68" w:rsidP="00FF43B0">
      <w:pPr>
        <w:spacing w:after="0" w:line="312" w:lineRule="auto"/>
        <w:jc w:val="both"/>
        <w:rPr>
          <w:rFonts w:ascii="Verdana" w:hAnsi="Verdana"/>
          <w:sz w:val="20"/>
          <w:szCs w:val="20"/>
          <w:lang w:val="en-GB"/>
        </w:rPr>
      </w:pPr>
    </w:p>
    <w:p w:rsidR="00E33D68" w:rsidRPr="00C31021" w:rsidRDefault="00E33D68" w:rsidP="00FF43B0">
      <w:pPr>
        <w:spacing w:after="0" w:line="312" w:lineRule="auto"/>
        <w:jc w:val="both"/>
        <w:rPr>
          <w:rFonts w:ascii="Verdana" w:hAnsi="Verdana"/>
          <w:color w:val="000000"/>
          <w:sz w:val="20"/>
          <w:szCs w:val="20"/>
          <w:lang w:val="en-GB"/>
        </w:rPr>
      </w:pPr>
      <w:r w:rsidRPr="00C31021">
        <w:rPr>
          <w:rFonts w:ascii="Verdana" w:hAnsi="Verdana"/>
          <w:color w:val="000000"/>
          <w:sz w:val="20"/>
          <w:szCs w:val="20"/>
          <w:lang w:val="en-GB"/>
        </w:rPr>
        <w:t xml:space="preserve">During the deliberations of the issue it was underlined that there are many difficulties with attracting mobile students, e.g. national language regulations in smaller countries of the EHEA. The WG agreed that a common target for incoming mobility could be meaningless as only three European countries (Germany, France and UK) </w:t>
      </w:r>
      <w:r w:rsidR="003171FE">
        <w:rPr>
          <w:rFonts w:ascii="Verdana" w:hAnsi="Verdana"/>
          <w:color w:val="000000"/>
          <w:sz w:val="20"/>
          <w:szCs w:val="20"/>
          <w:lang w:val="en-GB"/>
        </w:rPr>
        <w:t>account for</w:t>
      </w:r>
      <w:r w:rsidRPr="00C31021">
        <w:rPr>
          <w:rFonts w:ascii="Verdana" w:hAnsi="Verdana"/>
          <w:color w:val="000000"/>
          <w:sz w:val="20"/>
          <w:szCs w:val="20"/>
          <w:lang w:val="en-GB"/>
        </w:rPr>
        <w:t xml:space="preserve"> 60% of EHEA incoming mobility. Thus, considering the diverse situation in the EHEA, national targets for </w:t>
      </w:r>
      <w:r w:rsidRPr="00C31021">
        <w:rPr>
          <w:rFonts w:ascii="Verdana" w:hAnsi="Verdana"/>
          <w:color w:val="000000"/>
          <w:sz w:val="20"/>
          <w:szCs w:val="20"/>
          <w:lang w:val="en-GB"/>
        </w:rPr>
        <w:lastRenderedPageBreak/>
        <w:t xml:space="preserve">incoming mobility could be more useful. </w:t>
      </w:r>
      <w:r w:rsidRPr="00C31021">
        <w:rPr>
          <w:rFonts w:ascii="Verdana" w:hAnsi="Verdana" w:cs="Calibri"/>
          <w:color w:val="000000"/>
          <w:sz w:val="20"/>
          <w:szCs w:val="20"/>
          <w:lang w:val="en-GB"/>
        </w:rPr>
        <w:t>Countries should address the topic in their international strategies and set national targets for incoming student mobility from outside the EHEA.</w:t>
      </w:r>
    </w:p>
    <w:p w:rsidR="00E33D68" w:rsidRPr="00C31021" w:rsidRDefault="00E33D68" w:rsidP="00FF43B0">
      <w:pPr>
        <w:pStyle w:val="ListParagraph"/>
        <w:spacing w:line="312" w:lineRule="auto"/>
        <w:ind w:left="0"/>
        <w:jc w:val="both"/>
        <w:rPr>
          <w:rFonts w:ascii="Verdana" w:hAnsi="Verdana"/>
          <w:sz w:val="20"/>
          <w:szCs w:val="20"/>
          <w:lang w:val="en-GB"/>
        </w:rPr>
      </w:pPr>
    </w:p>
    <w:p w:rsidR="00E33D68" w:rsidRPr="00C31021" w:rsidRDefault="00E33D68" w:rsidP="00FF43B0">
      <w:pPr>
        <w:pStyle w:val="ListParagraph"/>
        <w:spacing w:line="312" w:lineRule="auto"/>
        <w:ind w:left="0"/>
        <w:jc w:val="both"/>
        <w:rPr>
          <w:rFonts w:ascii="Verdana" w:hAnsi="Verdana"/>
          <w:sz w:val="20"/>
          <w:szCs w:val="20"/>
          <w:lang w:val="en-GB"/>
        </w:rPr>
      </w:pPr>
      <w:r w:rsidRPr="00C31021">
        <w:rPr>
          <w:rFonts w:ascii="Verdana" w:hAnsi="Verdana"/>
          <w:sz w:val="20"/>
          <w:szCs w:val="20"/>
          <w:lang w:val="en-GB"/>
        </w:rPr>
        <w:t xml:space="preserve">During the </w:t>
      </w:r>
      <w:r w:rsidRPr="00D30EE1">
        <w:rPr>
          <w:rFonts w:ascii="Verdana" w:hAnsi="Verdana"/>
          <w:sz w:val="20"/>
          <w:szCs w:val="20"/>
          <w:lang w:val="en-GB"/>
        </w:rPr>
        <w:t xml:space="preserve">BFUG meeting in Athens 9 – 10 April, 2014 the issue of the mobility target was discussed. </w:t>
      </w:r>
      <w:r w:rsidRPr="00C31021">
        <w:rPr>
          <w:rFonts w:ascii="Verdana" w:hAnsi="Verdana"/>
          <w:color w:val="000000"/>
          <w:sz w:val="20"/>
          <w:szCs w:val="20"/>
          <w:lang w:val="en-GB"/>
        </w:rPr>
        <w:t>The proposal t</w:t>
      </w:r>
      <w:r w:rsidRPr="00C31021">
        <w:rPr>
          <w:rFonts w:ascii="Verdana" w:hAnsi="Verdana"/>
          <w:sz w:val="20"/>
          <w:szCs w:val="20"/>
          <w:lang w:val="en-GB"/>
        </w:rPr>
        <w:t xml:space="preserve">o call upon all EHEA countries to consider making an increase in incoming student mobility from outside the EHEA an objective in their internationalisation strategies was introduced. </w:t>
      </w:r>
    </w:p>
    <w:p w:rsidR="00E33D68" w:rsidRPr="00C31021" w:rsidRDefault="00E33D68" w:rsidP="00FF43B0">
      <w:pPr>
        <w:autoSpaceDE w:val="0"/>
        <w:autoSpaceDN w:val="0"/>
        <w:adjustRightInd w:val="0"/>
        <w:spacing w:after="0" w:line="312" w:lineRule="auto"/>
        <w:jc w:val="both"/>
        <w:rPr>
          <w:rFonts w:ascii="Verdana" w:hAnsi="Verdana"/>
          <w:sz w:val="20"/>
          <w:szCs w:val="20"/>
          <w:lang w:val="en-GB"/>
        </w:rPr>
      </w:pPr>
    </w:p>
    <w:p w:rsidR="00E33D68" w:rsidRPr="00C31021" w:rsidRDefault="00E33D68" w:rsidP="00FF43B0">
      <w:pPr>
        <w:autoSpaceDE w:val="0"/>
        <w:autoSpaceDN w:val="0"/>
        <w:adjustRightInd w:val="0"/>
        <w:spacing w:after="0" w:line="312" w:lineRule="auto"/>
        <w:jc w:val="both"/>
        <w:rPr>
          <w:rFonts w:ascii="Verdana" w:hAnsi="Verdana"/>
          <w:sz w:val="20"/>
          <w:szCs w:val="20"/>
          <w:lang w:val="en-GB"/>
        </w:rPr>
      </w:pPr>
      <w:r w:rsidRPr="00C31021">
        <w:rPr>
          <w:rFonts w:ascii="Verdana" w:hAnsi="Verdana"/>
          <w:sz w:val="20"/>
          <w:szCs w:val="20"/>
          <w:lang w:val="en-GB"/>
        </w:rPr>
        <w:t>It was underlined that the sentence stating, “While increasing the international attractiveness of the EHEA is an important and desirable aim, setting a target for incoming mobility may not be an adequate indicator for reaching it” is the main message of the proposal and should be put in bold.</w:t>
      </w:r>
    </w:p>
    <w:p w:rsidR="00E33D68" w:rsidRPr="00C31021" w:rsidRDefault="00E33D68" w:rsidP="005518EC">
      <w:pPr>
        <w:autoSpaceDE w:val="0"/>
        <w:autoSpaceDN w:val="0"/>
        <w:adjustRightInd w:val="0"/>
        <w:spacing w:after="0" w:line="312" w:lineRule="auto"/>
        <w:jc w:val="both"/>
        <w:rPr>
          <w:rFonts w:ascii="Verdana" w:hAnsi="Verdana"/>
          <w:sz w:val="20"/>
          <w:szCs w:val="20"/>
          <w:lang w:val="en-GB"/>
        </w:rPr>
      </w:pPr>
    </w:p>
    <w:p w:rsidR="00E33D68" w:rsidRPr="00C31021" w:rsidRDefault="00E33D68" w:rsidP="005518EC">
      <w:pPr>
        <w:autoSpaceDE w:val="0"/>
        <w:autoSpaceDN w:val="0"/>
        <w:adjustRightInd w:val="0"/>
        <w:spacing w:after="0" w:line="312" w:lineRule="auto"/>
        <w:jc w:val="both"/>
        <w:rPr>
          <w:rFonts w:ascii="Verdana" w:hAnsi="Verdana"/>
          <w:b/>
          <w:sz w:val="20"/>
          <w:szCs w:val="20"/>
          <w:lang w:val="en-GB"/>
        </w:rPr>
      </w:pPr>
      <w:r w:rsidRPr="00C31021">
        <w:rPr>
          <w:rFonts w:ascii="Verdana" w:hAnsi="Verdana"/>
          <w:b/>
          <w:sz w:val="20"/>
          <w:szCs w:val="20"/>
          <w:lang w:val="en-GB"/>
        </w:rPr>
        <w:t>Bologna Policy Forum</w:t>
      </w:r>
    </w:p>
    <w:p w:rsidR="00E33D68" w:rsidRPr="00C31021" w:rsidRDefault="00E33D68" w:rsidP="005518EC">
      <w:pPr>
        <w:autoSpaceDE w:val="0"/>
        <w:autoSpaceDN w:val="0"/>
        <w:adjustRightInd w:val="0"/>
        <w:spacing w:after="0" w:line="312" w:lineRule="auto"/>
        <w:jc w:val="both"/>
        <w:rPr>
          <w:rFonts w:ascii="Verdana" w:hAnsi="Verdana"/>
          <w:b/>
          <w:sz w:val="20"/>
          <w:szCs w:val="20"/>
          <w:lang w:val="en-GB"/>
        </w:rPr>
      </w:pPr>
    </w:p>
    <w:p w:rsidR="00E33D68" w:rsidRDefault="00E33D68" w:rsidP="005518EC">
      <w:pPr>
        <w:autoSpaceDE w:val="0"/>
        <w:autoSpaceDN w:val="0"/>
        <w:adjustRightInd w:val="0"/>
        <w:spacing w:after="0" w:line="312" w:lineRule="auto"/>
        <w:jc w:val="both"/>
        <w:rPr>
          <w:rFonts w:ascii="Verdana" w:hAnsi="Verdana"/>
          <w:sz w:val="20"/>
          <w:szCs w:val="20"/>
          <w:lang w:val="en-GB"/>
        </w:rPr>
      </w:pPr>
      <w:r w:rsidRPr="00D30EE1">
        <w:rPr>
          <w:rFonts w:ascii="Verdana" w:hAnsi="Verdana"/>
          <w:sz w:val="20"/>
          <w:szCs w:val="20"/>
          <w:lang w:val="en-GB"/>
        </w:rPr>
        <w:t xml:space="preserve">Based on the experience from the Third Bologna Policy Forum (BPF), one of the main tasks of the M&amp;I WG was to assist the BFUG </w:t>
      </w:r>
      <w:r w:rsidR="00F85610">
        <w:rPr>
          <w:rFonts w:ascii="Verdana" w:hAnsi="Verdana"/>
          <w:sz w:val="20"/>
          <w:szCs w:val="20"/>
          <w:lang w:val="en-GB"/>
        </w:rPr>
        <w:t xml:space="preserve">Secretariat </w:t>
      </w:r>
      <w:r w:rsidRPr="00D30EE1">
        <w:rPr>
          <w:rFonts w:ascii="Verdana" w:hAnsi="Verdana"/>
          <w:sz w:val="20"/>
          <w:szCs w:val="20"/>
          <w:lang w:val="en-GB"/>
        </w:rPr>
        <w:t xml:space="preserve">and the </w:t>
      </w:r>
      <w:r>
        <w:rPr>
          <w:rFonts w:ascii="Verdana" w:hAnsi="Verdana"/>
          <w:sz w:val="20"/>
          <w:szCs w:val="20"/>
          <w:lang w:val="en-GB"/>
        </w:rPr>
        <w:t xml:space="preserve">Armenian Ministry of Education and Science in organizing the fourth edition of the Bologna Policy Forum. </w:t>
      </w:r>
    </w:p>
    <w:p w:rsidR="00E74BDE" w:rsidRPr="00D30EE1" w:rsidRDefault="00E74BDE" w:rsidP="005518EC">
      <w:pPr>
        <w:autoSpaceDE w:val="0"/>
        <w:autoSpaceDN w:val="0"/>
        <w:adjustRightInd w:val="0"/>
        <w:spacing w:after="0" w:line="312" w:lineRule="auto"/>
        <w:jc w:val="both"/>
        <w:rPr>
          <w:rFonts w:ascii="Verdana" w:hAnsi="Verdana"/>
          <w:sz w:val="20"/>
          <w:szCs w:val="20"/>
          <w:lang w:val="en-GB"/>
        </w:rPr>
      </w:pPr>
    </w:p>
    <w:p w:rsidR="00157FE1" w:rsidRDefault="00157FE1" w:rsidP="00157FE1">
      <w:pPr>
        <w:autoSpaceDE w:val="0"/>
        <w:autoSpaceDN w:val="0"/>
        <w:adjustRightInd w:val="0"/>
        <w:spacing w:after="0" w:line="312" w:lineRule="auto"/>
        <w:jc w:val="both"/>
        <w:rPr>
          <w:rFonts w:ascii="Verdana" w:hAnsi="Verdana"/>
          <w:color w:val="000000"/>
          <w:sz w:val="20"/>
          <w:szCs w:val="20"/>
          <w:lang w:val="en-GB"/>
        </w:rPr>
      </w:pPr>
      <w:r>
        <w:rPr>
          <w:rFonts w:ascii="Verdana" w:hAnsi="Verdana"/>
          <w:sz w:val="20"/>
          <w:szCs w:val="20"/>
          <w:lang w:val="en-GB"/>
        </w:rPr>
        <w:t xml:space="preserve">Mainly, it was </w:t>
      </w:r>
      <w:r w:rsidRPr="00C31021">
        <w:rPr>
          <w:rFonts w:ascii="Verdana" w:hAnsi="Verdana"/>
          <w:color w:val="000000"/>
          <w:sz w:val="20"/>
          <w:szCs w:val="20"/>
          <w:lang w:val="en-GB"/>
        </w:rPr>
        <w:t xml:space="preserve">recommended to </w:t>
      </w:r>
      <w:r>
        <w:rPr>
          <w:rFonts w:ascii="Verdana" w:hAnsi="Verdana"/>
          <w:color w:val="000000"/>
          <w:sz w:val="20"/>
          <w:szCs w:val="20"/>
          <w:lang w:val="en-GB"/>
        </w:rPr>
        <w:t xml:space="preserve">follow a regional approach to </w:t>
      </w:r>
      <w:r w:rsidRPr="00C31021">
        <w:rPr>
          <w:rFonts w:ascii="Verdana" w:hAnsi="Verdana"/>
          <w:color w:val="000000"/>
          <w:sz w:val="20"/>
          <w:szCs w:val="20"/>
          <w:lang w:val="en-GB"/>
        </w:rPr>
        <w:t xml:space="preserve">start a dialogue with one or two regions of the world before the Bologna Policy Forum. </w:t>
      </w:r>
      <w:r w:rsidRPr="00C31021">
        <w:rPr>
          <w:rFonts w:ascii="Verdana" w:hAnsi="Verdana" w:cs="Calibri"/>
          <w:color w:val="000000"/>
          <w:sz w:val="20"/>
          <w:szCs w:val="20"/>
          <w:lang w:val="en-GB"/>
        </w:rPr>
        <w:t xml:space="preserve">The main idea of BPF should be the intensification of cooperation of the chosen region with EHEA countries. </w:t>
      </w:r>
      <w:r w:rsidRPr="00C31021">
        <w:rPr>
          <w:rFonts w:ascii="Verdana" w:hAnsi="Verdana"/>
          <w:color w:val="000000"/>
          <w:sz w:val="20"/>
          <w:szCs w:val="20"/>
          <w:lang w:val="en-GB"/>
        </w:rPr>
        <w:t xml:space="preserve">Thus, </w:t>
      </w:r>
      <w:r w:rsidRPr="00C31021">
        <w:rPr>
          <w:rFonts w:ascii="Verdana" w:hAnsi="Verdana"/>
          <w:sz w:val="20"/>
          <w:szCs w:val="20"/>
          <w:lang w:val="en-GB"/>
        </w:rPr>
        <w:t xml:space="preserve">Regional integration could become a core </w:t>
      </w:r>
      <w:r>
        <w:rPr>
          <w:rFonts w:ascii="Verdana" w:hAnsi="Verdana"/>
          <w:sz w:val="20"/>
          <w:szCs w:val="20"/>
          <w:lang w:val="en-GB"/>
        </w:rPr>
        <w:t>theme</w:t>
      </w:r>
      <w:r w:rsidRPr="00C31021">
        <w:rPr>
          <w:rFonts w:ascii="Verdana" w:hAnsi="Verdana"/>
          <w:sz w:val="20"/>
          <w:szCs w:val="20"/>
          <w:lang w:val="en-GB"/>
        </w:rPr>
        <w:t xml:space="preserve"> for the 4</w:t>
      </w:r>
      <w:r w:rsidRPr="00C31021">
        <w:rPr>
          <w:rFonts w:ascii="Verdana" w:hAnsi="Verdana"/>
          <w:sz w:val="20"/>
          <w:szCs w:val="20"/>
          <w:vertAlign w:val="superscript"/>
          <w:lang w:val="en-GB"/>
        </w:rPr>
        <w:t>th</w:t>
      </w:r>
      <w:r w:rsidRPr="00C31021">
        <w:rPr>
          <w:rFonts w:ascii="Verdana" w:hAnsi="Verdana"/>
          <w:sz w:val="20"/>
          <w:szCs w:val="20"/>
          <w:lang w:val="en-GB"/>
        </w:rPr>
        <w:t xml:space="preserve"> BPF.</w:t>
      </w:r>
      <w:r w:rsidRPr="00C31021">
        <w:rPr>
          <w:rFonts w:ascii="Verdana" w:hAnsi="Verdana"/>
          <w:color w:val="000000"/>
          <w:sz w:val="20"/>
          <w:szCs w:val="20"/>
          <w:lang w:val="en-GB"/>
        </w:rPr>
        <w:t xml:space="preserve"> </w:t>
      </w:r>
    </w:p>
    <w:p w:rsidR="00E33D68" w:rsidRPr="00C31021" w:rsidRDefault="00E33D68" w:rsidP="005518EC">
      <w:pPr>
        <w:autoSpaceDE w:val="0"/>
        <w:autoSpaceDN w:val="0"/>
        <w:adjustRightInd w:val="0"/>
        <w:spacing w:after="0" w:line="312" w:lineRule="auto"/>
        <w:jc w:val="both"/>
        <w:rPr>
          <w:rFonts w:ascii="Verdana" w:hAnsi="Verdana"/>
          <w:color w:val="000000"/>
          <w:sz w:val="20"/>
          <w:szCs w:val="20"/>
          <w:lang w:val="en-GB"/>
        </w:rPr>
      </w:pPr>
    </w:p>
    <w:p w:rsidR="00E33D68" w:rsidRPr="00C31021" w:rsidRDefault="00E33D68" w:rsidP="005518EC">
      <w:pPr>
        <w:autoSpaceDE w:val="0"/>
        <w:autoSpaceDN w:val="0"/>
        <w:adjustRightInd w:val="0"/>
        <w:spacing w:after="0" w:line="312" w:lineRule="auto"/>
        <w:jc w:val="both"/>
        <w:rPr>
          <w:rFonts w:ascii="Verdana" w:hAnsi="Verdana"/>
          <w:sz w:val="20"/>
          <w:szCs w:val="20"/>
          <w:lang w:val="en-GB"/>
        </w:rPr>
      </w:pPr>
      <w:r w:rsidRPr="00C31021">
        <w:rPr>
          <w:rFonts w:ascii="Verdana" w:hAnsi="Verdana"/>
          <w:color w:val="000000"/>
          <w:sz w:val="20"/>
          <w:szCs w:val="20"/>
          <w:lang w:val="en-GB"/>
        </w:rPr>
        <w:t xml:space="preserve">Based on the experience of </w:t>
      </w:r>
      <w:r w:rsidR="00E50981">
        <w:rPr>
          <w:rFonts w:ascii="Verdana" w:hAnsi="Verdana"/>
          <w:color w:val="000000"/>
          <w:sz w:val="20"/>
          <w:szCs w:val="20"/>
          <w:lang w:val="en-GB"/>
        </w:rPr>
        <w:t xml:space="preserve">the three </w:t>
      </w:r>
      <w:r w:rsidRPr="00C31021">
        <w:rPr>
          <w:rFonts w:ascii="Verdana" w:hAnsi="Verdana"/>
          <w:color w:val="000000"/>
          <w:sz w:val="20"/>
          <w:szCs w:val="20"/>
          <w:lang w:val="en-GB"/>
        </w:rPr>
        <w:t xml:space="preserve">previous BPF the importance of </w:t>
      </w:r>
      <w:r w:rsidRPr="00C31021">
        <w:rPr>
          <w:rFonts w:ascii="Verdana" w:hAnsi="Verdana"/>
          <w:sz w:val="20"/>
          <w:szCs w:val="20"/>
          <w:lang w:val="en-GB"/>
        </w:rPr>
        <w:t>more interaction between the participants of the 4</w:t>
      </w:r>
      <w:r w:rsidRPr="00C31021">
        <w:rPr>
          <w:rFonts w:ascii="Verdana" w:hAnsi="Verdana"/>
          <w:sz w:val="20"/>
          <w:szCs w:val="20"/>
          <w:vertAlign w:val="superscript"/>
          <w:lang w:val="en-GB"/>
        </w:rPr>
        <w:t>th</w:t>
      </w:r>
      <w:r w:rsidRPr="00C31021">
        <w:rPr>
          <w:rFonts w:ascii="Verdana" w:hAnsi="Verdana"/>
          <w:sz w:val="20"/>
          <w:szCs w:val="20"/>
          <w:lang w:val="en-GB"/>
        </w:rPr>
        <w:t xml:space="preserve"> BPF was highlighted. Hence, the agenda should avoid too many</w:t>
      </w:r>
      <w:r w:rsidR="00E50981">
        <w:rPr>
          <w:rFonts w:ascii="Verdana" w:hAnsi="Verdana"/>
          <w:sz w:val="20"/>
          <w:szCs w:val="20"/>
          <w:lang w:val="en-GB"/>
        </w:rPr>
        <w:t>,</w:t>
      </w:r>
      <w:r w:rsidRPr="00C31021">
        <w:rPr>
          <w:rFonts w:ascii="Verdana" w:hAnsi="Verdana"/>
          <w:sz w:val="20"/>
          <w:szCs w:val="20"/>
          <w:lang w:val="en-GB"/>
        </w:rPr>
        <w:t xml:space="preserve"> as well as lengthy presentations. Moreover, the ministers should have a chance to exchange ideas and to bring about significant decisions, rather than endorse formulations drafted before the Forum. It is also important that more international press is invited.</w:t>
      </w:r>
    </w:p>
    <w:p w:rsidR="00E33D68" w:rsidRPr="00C31021" w:rsidRDefault="00E33D68" w:rsidP="005518EC">
      <w:pPr>
        <w:spacing w:after="0" w:line="312" w:lineRule="auto"/>
        <w:jc w:val="both"/>
        <w:rPr>
          <w:rFonts w:ascii="Verdana" w:hAnsi="Verdana"/>
          <w:sz w:val="20"/>
          <w:szCs w:val="20"/>
          <w:lang w:val="en-GB"/>
        </w:rPr>
      </w:pPr>
    </w:p>
    <w:p w:rsidR="00E33D68" w:rsidRPr="00C31021" w:rsidRDefault="00E33D68" w:rsidP="005518EC">
      <w:pPr>
        <w:spacing w:after="0" w:line="312" w:lineRule="auto"/>
        <w:jc w:val="both"/>
        <w:rPr>
          <w:rFonts w:ascii="Verdana" w:hAnsi="Verdana"/>
          <w:b/>
          <w:sz w:val="20"/>
          <w:szCs w:val="20"/>
          <w:lang w:val="en-GB"/>
        </w:rPr>
      </w:pPr>
      <w:r w:rsidRPr="00C31021">
        <w:rPr>
          <w:rFonts w:ascii="Verdana" w:hAnsi="Verdana"/>
          <w:sz w:val="20"/>
          <w:szCs w:val="20"/>
          <w:lang w:val="en-GB"/>
        </w:rPr>
        <w:t>It was agreed that the WG M&amp;I w</w:t>
      </w:r>
      <w:r w:rsidR="00893E5D">
        <w:rPr>
          <w:rFonts w:ascii="Verdana" w:hAnsi="Verdana"/>
          <w:sz w:val="20"/>
          <w:szCs w:val="20"/>
          <w:lang w:val="en-GB"/>
        </w:rPr>
        <w:t>ould</w:t>
      </w:r>
      <w:r w:rsidRPr="00C31021">
        <w:rPr>
          <w:rFonts w:ascii="Verdana" w:hAnsi="Verdana"/>
          <w:sz w:val="20"/>
          <w:szCs w:val="20"/>
          <w:lang w:val="en-GB"/>
        </w:rPr>
        <w:t xml:space="preserve"> provide inputs on the content, i.e. what topics can be of interest to attract Ministers from inside and outside the EHEA. </w:t>
      </w:r>
      <w:r w:rsidR="009543B8">
        <w:rPr>
          <w:rFonts w:ascii="Verdana" w:hAnsi="Verdana" w:cs="Calibri"/>
          <w:sz w:val="20"/>
          <w:szCs w:val="20"/>
          <w:lang w:val="en-GB"/>
        </w:rPr>
        <w:t xml:space="preserve">The WG </w:t>
      </w:r>
      <w:r w:rsidRPr="00C31021">
        <w:rPr>
          <w:rFonts w:ascii="Verdana" w:hAnsi="Verdana" w:cs="Calibri"/>
          <w:sz w:val="20"/>
          <w:szCs w:val="20"/>
          <w:lang w:val="en-GB"/>
        </w:rPr>
        <w:t>should draft and circulate a concept note on the content and regional/thematic approach of the next BPF</w:t>
      </w:r>
      <w:r w:rsidRPr="00C31021">
        <w:rPr>
          <w:rFonts w:ascii="Verdana" w:hAnsi="Verdana"/>
          <w:sz w:val="20"/>
          <w:szCs w:val="20"/>
          <w:lang w:val="en-GB"/>
        </w:rPr>
        <w:t>.</w:t>
      </w:r>
    </w:p>
    <w:p w:rsidR="00E33D68" w:rsidRPr="00C31021" w:rsidRDefault="00E33D68" w:rsidP="005518EC">
      <w:pPr>
        <w:spacing w:after="0" w:line="312" w:lineRule="auto"/>
        <w:jc w:val="both"/>
        <w:rPr>
          <w:rFonts w:ascii="Verdana" w:hAnsi="Verdana"/>
          <w:b/>
          <w:sz w:val="20"/>
          <w:szCs w:val="20"/>
          <w:lang w:val="en-GB"/>
        </w:rPr>
      </w:pPr>
    </w:p>
    <w:p w:rsidR="00E33D68" w:rsidRPr="00C31021" w:rsidRDefault="00F85610" w:rsidP="005518EC">
      <w:pPr>
        <w:spacing w:after="0" w:line="312" w:lineRule="auto"/>
        <w:jc w:val="both"/>
        <w:rPr>
          <w:rFonts w:ascii="Verdana" w:hAnsi="Verdana"/>
          <w:sz w:val="20"/>
          <w:szCs w:val="20"/>
          <w:lang w:val="en-GB"/>
        </w:rPr>
      </w:pPr>
      <w:r>
        <w:rPr>
          <w:rFonts w:ascii="Verdana" w:hAnsi="Verdana"/>
          <w:sz w:val="20"/>
          <w:szCs w:val="20"/>
          <w:lang w:val="en-GB"/>
        </w:rPr>
        <w:t>A</w:t>
      </w:r>
      <w:r w:rsidR="00E33D68" w:rsidRPr="00C31021">
        <w:rPr>
          <w:rFonts w:ascii="Verdana" w:hAnsi="Verdana"/>
          <w:sz w:val="20"/>
          <w:szCs w:val="20"/>
          <w:lang w:val="en-GB"/>
        </w:rPr>
        <w:t xml:space="preserve"> </w:t>
      </w:r>
      <w:r w:rsidR="00612BB3">
        <w:rPr>
          <w:rFonts w:ascii="Verdana" w:hAnsi="Verdana"/>
          <w:sz w:val="20"/>
          <w:szCs w:val="20"/>
          <w:lang w:val="en-GB"/>
        </w:rPr>
        <w:t>c</w:t>
      </w:r>
      <w:r w:rsidR="009543B8">
        <w:rPr>
          <w:rFonts w:ascii="Verdana" w:hAnsi="Verdana"/>
          <w:sz w:val="20"/>
          <w:szCs w:val="20"/>
          <w:lang w:val="en-GB"/>
        </w:rPr>
        <w:t xml:space="preserve">oncept </w:t>
      </w:r>
      <w:r w:rsidR="00612BB3">
        <w:rPr>
          <w:rFonts w:ascii="Verdana" w:hAnsi="Verdana"/>
          <w:sz w:val="20"/>
          <w:szCs w:val="20"/>
          <w:lang w:val="en-GB"/>
        </w:rPr>
        <w:t>n</w:t>
      </w:r>
      <w:r w:rsidR="009543B8">
        <w:rPr>
          <w:rFonts w:ascii="Verdana" w:hAnsi="Verdana"/>
          <w:sz w:val="20"/>
          <w:szCs w:val="20"/>
          <w:lang w:val="en-GB"/>
        </w:rPr>
        <w:t>ote</w:t>
      </w:r>
      <w:r w:rsidR="009543B8" w:rsidRPr="00C31021">
        <w:rPr>
          <w:rFonts w:ascii="Verdana" w:hAnsi="Verdana"/>
          <w:sz w:val="20"/>
          <w:szCs w:val="20"/>
          <w:lang w:val="en-GB"/>
        </w:rPr>
        <w:t xml:space="preserve"> </w:t>
      </w:r>
      <w:r w:rsidR="00E33D68" w:rsidRPr="00C31021">
        <w:rPr>
          <w:rFonts w:ascii="Verdana" w:hAnsi="Verdana"/>
          <w:sz w:val="20"/>
          <w:szCs w:val="20"/>
          <w:lang w:val="en-GB"/>
        </w:rPr>
        <w:t xml:space="preserve">on BPF was prepared by EC representative Mrs. </w:t>
      </w:r>
      <w:proofErr w:type="spellStart"/>
      <w:r w:rsidR="00E33D68" w:rsidRPr="00C31021">
        <w:rPr>
          <w:rFonts w:ascii="Verdana" w:hAnsi="Verdana"/>
          <w:sz w:val="20"/>
          <w:szCs w:val="20"/>
          <w:lang w:val="en-GB"/>
        </w:rPr>
        <w:t>Ragnhild</w:t>
      </w:r>
      <w:proofErr w:type="spellEnd"/>
      <w:r w:rsidR="00E33D68" w:rsidRPr="00C31021">
        <w:rPr>
          <w:rFonts w:ascii="Verdana" w:hAnsi="Verdana"/>
          <w:sz w:val="20"/>
          <w:szCs w:val="20"/>
          <w:lang w:val="en-GB"/>
        </w:rPr>
        <w:t xml:space="preserve"> Berg. </w:t>
      </w:r>
      <w:r>
        <w:rPr>
          <w:rFonts w:ascii="Verdana" w:hAnsi="Verdana"/>
          <w:sz w:val="20"/>
          <w:szCs w:val="20"/>
          <w:lang w:val="en-GB"/>
        </w:rPr>
        <w:t>It was</w:t>
      </w:r>
      <w:r w:rsidR="00E33D68" w:rsidRPr="00C31021">
        <w:rPr>
          <w:rFonts w:ascii="Verdana" w:hAnsi="Verdana"/>
          <w:sz w:val="20"/>
          <w:szCs w:val="20"/>
          <w:lang w:val="en-GB"/>
        </w:rPr>
        <w:t xml:space="preserve"> noted that there are difficulties to get the EHEA ministers to engage/participate in the discussion with the non-EHEA partners. This issue was partly solved by having the two parallel forums in Bucharest, instead of back to back. Moreover, the issue of diverse group of partners (different aims, different relationship with EHEA, different levels of education systems) was </w:t>
      </w:r>
      <w:r w:rsidR="00E33D68" w:rsidRPr="00C31021">
        <w:rPr>
          <w:rFonts w:ascii="Verdana" w:hAnsi="Verdana"/>
          <w:sz w:val="20"/>
          <w:szCs w:val="20"/>
          <w:lang w:val="en-GB"/>
        </w:rPr>
        <w:lastRenderedPageBreak/>
        <w:t xml:space="preserve">underlined as one of the main challenges. For the “BPF </w:t>
      </w:r>
      <w:r w:rsidR="00E33D68">
        <w:rPr>
          <w:rFonts w:ascii="Verdana" w:hAnsi="Verdana"/>
          <w:sz w:val="20"/>
          <w:szCs w:val="20"/>
          <w:lang w:val="en-GB"/>
        </w:rPr>
        <w:t>–</w:t>
      </w:r>
      <w:r w:rsidR="00E33D68" w:rsidRPr="00C31021">
        <w:rPr>
          <w:rFonts w:ascii="Verdana" w:hAnsi="Verdana"/>
          <w:sz w:val="20"/>
          <w:szCs w:val="20"/>
          <w:lang w:val="en-GB"/>
        </w:rPr>
        <w:t xml:space="preserve"> draft concept note” presented to the WG please refer to the link below: </w:t>
      </w:r>
    </w:p>
    <w:p w:rsidR="00E33D68" w:rsidRPr="00C31021" w:rsidRDefault="00E33D68" w:rsidP="00381B39">
      <w:pPr>
        <w:spacing w:line="288" w:lineRule="auto"/>
        <w:jc w:val="both"/>
        <w:rPr>
          <w:rFonts w:ascii="Verdana" w:hAnsi="Verdana"/>
          <w:sz w:val="20"/>
          <w:szCs w:val="20"/>
          <w:lang w:val="en-GB"/>
        </w:rPr>
      </w:pPr>
    </w:p>
    <w:bookmarkStart w:id="1" w:name="_MON_1473768139"/>
    <w:bookmarkEnd w:id="1"/>
    <w:p w:rsidR="00E33D68" w:rsidRPr="00C31021" w:rsidRDefault="00E33D68" w:rsidP="00381B39">
      <w:pPr>
        <w:spacing w:line="288" w:lineRule="auto"/>
        <w:jc w:val="both"/>
        <w:rPr>
          <w:rFonts w:ascii="Verdana" w:hAnsi="Verdana"/>
          <w:sz w:val="20"/>
          <w:szCs w:val="20"/>
          <w:lang w:val="en-GB"/>
        </w:rPr>
      </w:pPr>
      <w:r w:rsidRPr="00D30EE1">
        <w:rPr>
          <w:rFonts w:ascii="Verdana" w:hAnsi="Verdana"/>
          <w:sz w:val="20"/>
          <w:szCs w:val="20"/>
          <w:lang w:val="en-GB"/>
        </w:rPr>
        <w:object w:dxaOrig="1551" w:dyaOrig="1004">
          <v:shape id="_x0000_i1026" type="#_x0000_t75" style="width:76.5pt;height:50.5pt" o:ole="">
            <v:imagedata r:id="rId13" o:title=""/>
          </v:shape>
          <o:OLEObject Type="Embed" ProgID="Word.Document.12" ShapeID="_x0000_i1026" DrawAspect="Icon" ObjectID="_1478000782" r:id="rId14">
            <o:FieldCodes>\s</o:FieldCodes>
          </o:OLEObject>
        </w:object>
      </w:r>
    </w:p>
    <w:p w:rsidR="00E33D68" w:rsidRDefault="00E33D68" w:rsidP="00BE7F3C">
      <w:pPr>
        <w:autoSpaceDE w:val="0"/>
        <w:autoSpaceDN w:val="0"/>
        <w:adjustRightInd w:val="0"/>
        <w:spacing w:after="0" w:line="312" w:lineRule="auto"/>
        <w:jc w:val="both"/>
        <w:rPr>
          <w:rFonts w:ascii="Verdana" w:hAnsi="Verdana" w:cs="Calibri"/>
          <w:color w:val="000000"/>
          <w:sz w:val="20"/>
          <w:szCs w:val="20"/>
          <w:lang w:val="en-GB"/>
        </w:rPr>
      </w:pPr>
      <w:r w:rsidRPr="00C31021">
        <w:rPr>
          <w:rFonts w:ascii="Verdana" w:hAnsi="Verdana"/>
          <w:sz w:val="20"/>
          <w:szCs w:val="20"/>
          <w:lang w:val="en-GB"/>
        </w:rPr>
        <w:t xml:space="preserve">While deliberating the respective topic the WG underlined that the focus on </w:t>
      </w:r>
      <w:r w:rsidRPr="00C31021">
        <w:rPr>
          <w:rFonts w:ascii="Verdana" w:hAnsi="Verdana"/>
          <w:bCs/>
          <w:sz w:val="20"/>
          <w:szCs w:val="20"/>
          <w:lang w:val="en-GB"/>
        </w:rPr>
        <w:t xml:space="preserve">specific regional cooperation areas </w:t>
      </w:r>
      <w:r>
        <w:rPr>
          <w:rFonts w:ascii="Verdana" w:hAnsi="Verdana"/>
          <w:sz w:val="20"/>
          <w:szCs w:val="20"/>
          <w:lang w:val="en-GB"/>
        </w:rPr>
        <w:t>–</w:t>
      </w:r>
      <w:r w:rsidRPr="00C31021">
        <w:rPr>
          <w:rFonts w:ascii="Verdana" w:hAnsi="Verdana"/>
          <w:sz w:val="20"/>
          <w:szCs w:val="20"/>
          <w:lang w:val="en-GB"/>
        </w:rPr>
        <w:t xml:space="preserve"> such as the Asia/Pacific, Africa and Southern Mediterranean regions is very important. Though, there should be a clear explanation on the concept of selecting these regions. In this regard, t</w:t>
      </w:r>
      <w:r w:rsidRPr="00C31021">
        <w:rPr>
          <w:rFonts w:ascii="Verdana" w:hAnsi="Verdana" w:cs="Calibri"/>
          <w:color w:val="000000"/>
          <w:sz w:val="20"/>
          <w:szCs w:val="20"/>
          <w:lang w:val="en-GB"/>
        </w:rPr>
        <w:t>he organizers should guarantee that a partnership based dialogue between non-EHEA and EHEA countries takes place. Moreover, continuity between the BPFs is needed. In this purpose, it could be useful to widen the scope of meetings between EHEA and non-EHEA countries (e.g. meetings could take place once a year parallel to the BFUG meetings).</w:t>
      </w:r>
    </w:p>
    <w:p w:rsidR="00E74BDE" w:rsidRDefault="00E74BDE" w:rsidP="00BE7F3C">
      <w:pPr>
        <w:autoSpaceDE w:val="0"/>
        <w:autoSpaceDN w:val="0"/>
        <w:adjustRightInd w:val="0"/>
        <w:spacing w:after="0" w:line="312" w:lineRule="auto"/>
        <w:jc w:val="both"/>
        <w:rPr>
          <w:rFonts w:ascii="Verdana" w:hAnsi="Verdana" w:cs="Calibri"/>
          <w:color w:val="000000"/>
          <w:sz w:val="20"/>
          <w:szCs w:val="20"/>
          <w:lang w:val="en-GB"/>
        </w:rPr>
      </w:pPr>
    </w:p>
    <w:p w:rsidR="009543B8" w:rsidRPr="00C31021" w:rsidRDefault="009543B8" w:rsidP="00BE7F3C">
      <w:pPr>
        <w:autoSpaceDE w:val="0"/>
        <w:autoSpaceDN w:val="0"/>
        <w:adjustRightInd w:val="0"/>
        <w:spacing w:after="0" w:line="312" w:lineRule="auto"/>
        <w:jc w:val="both"/>
        <w:rPr>
          <w:rFonts w:ascii="Verdana" w:hAnsi="Verdana" w:cs="Calibri"/>
          <w:color w:val="000000"/>
          <w:sz w:val="20"/>
          <w:szCs w:val="20"/>
          <w:lang w:val="en-GB"/>
        </w:rPr>
      </w:pPr>
      <w:r>
        <w:rPr>
          <w:rFonts w:ascii="Verdana" w:hAnsi="Verdana" w:cs="Calibri"/>
          <w:color w:val="000000"/>
          <w:sz w:val="20"/>
          <w:szCs w:val="20"/>
          <w:lang w:val="en-GB"/>
        </w:rPr>
        <w:t>The Co</w:t>
      </w:r>
      <w:r w:rsidR="003E0B79">
        <w:rPr>
          <w:rFonts w:ascii="Verdana" w:hAnsi="Verdana" w:cs="Calibri"/>
          <w:color w:val="000000"/>
          <w:sz w:val="20"/>
          <w:szCs w:val="20"/>
          <w:lang w:val="en-GB"/>
        </w:rPr>
        <w:t>n</w:t>
      </w:r>
      <w:r>
        <w:rPr>
          <w:rFonts w:ascii="Verdana" w:hAnsi="Verdana" w:cs="Calibri"/>
          <w:color w:val="000000"/>
          <w:sz w:val="20"/>
          <w:szCs w:val="20"/>
          <w:lang w:val="en-GB"/>
        </w:rPr>
        <w:t>cept Note proposing a regional approach focused in the South Mediterranean area and a list of topics to be proposed to these countries was proposed and in principle endorsed b</w:t>
      </w:r>
      <w:r w:rsidR="00F85610">
        <w:rPr>
          <w:rFonts w:ascii="Verdana" w:hAnsi="Verdana" w:cs="Calibri"/>
          <w:color w:val="000000"/>
          <w:sz w:val="20"/>
          <w:szCs w:val="20"/>
          <w:lang w:val="en-GB"/>
        </w:rPr>
        <w:t>y</w:t>
      </w:r>
      <w:r>
        <w:rPr>
          <w:rFonts w:ascii="Verdana" w:hAnsi="Verdana" w:cs="Calibri"/>
          <w:color w:val="000000"/>
          <w:sz w:val="20"/>
          <w:szCs w:val="20"/>
          <w:lang w:val="en-GB"/>
        </w:rPr>
        <w:t xml:space="preserve"> the BFUG Board in Athens.</w:t>
      </w:r>
    </w:p>
    <w:p w:rsidR="00E33D68" w:rsidRPr="00C31021" w:rsidRDefault="00E33D68" w:rsidP="00BE7F3C">
      <w:pPr>
        <w:autoSpaceDE w:val="0"/>
        <w:autoSpaceDN w:val="0"/>
        <w:adjustRightInd w:val="0"/>
        <w:spacing w:after="0" w:line="312" w:lineRule="auto"/>
        <w:jc w:val="both"/>
        <w:rPr>
          <w:rFonts w:ascii="Verdana" w:hAnsi="Verdana" w:cs="Calibri"/>
          <w:color w:val="000000"/>
          <w:sz w:val="20"/>
          <w:szCs w:val="20"/>
          <w:lang w:val="en-GB"/>
        </w:rPr>
      </w:pPr>
    </w:p>
    <w:p w:rsidR="00DC72FA" w:rsidRDefault="00E33D68" w:rsidP="00570D95">
      <w:pPr>
        <w:autoSpaceDE w:val="0"/>
        <w:autoSpaceDN w:val="0"/>
        <w:adjustRightInd w:val="0"/>
        <w:spacing w:after="0" w:line="312" w:lineRule="auto"/>
        <w:jc w:val="both"/>
        <w:rPr>
          <w:rFonts w:ascii="Verdana" w:hAnsi="Verdana"/>
          <w:bCs/>
          <w:sz w:val="20"/>
          <w:szCs w:val="20"/>
          <w:lang w:val="en-GB"/>
        </w:rPr>
      </w:pPr>
      <w:r w:rsidRPr="00C31021">
        <w:rPr>
          <w:rFonts w:ascii="Verdana" w:hAnsi="Verdana" w:cs="Calibri"/>
          <w:color w:val="000000"/>
          <w:sz w:val="20"/>
          <w:szCs w:val="20"/>
          <w:lang w:val="en-GB"/>
        </w:rPr>
        <w:t xml:space="preserve">Furthermore, during the fifth meeting of M&amp;I WG in Dublin the participants were informed by the BFUG Secretariat that during the Athens BFUG meeting it was decided to </w:t>
      </w:r>
      <w:r w:rsidRPr="00C31021">
        <w:rPr>
          <w:rFonts w:ascii="Verdana" w:hAnsi="Verdana"/>
          <w:sz w:val="20"/>
          <w:szCs w:val="20"/>
          <w:lang w:val="en-GB"/>
        </w:rPr>
        <w:t xml:space="preserve">focus the discussion and the invitations to one </w:t>
      </w:r>
      <w:r w:rsidRPr="00C31021">
        <w:rPr>
          <w:rFonts w:ascii="Verdana" w:hAnsi="Verdana"/>
          <w:bCs/>
          <w:sz w:val="20"/>
          <w:szCs w:val="20"/>
          <w:lang w:val="en-GB"/>
        </w:rPr>
        <w:t xml:space="preserve">specific regional cooperation area </w:t>
      </w:r>
      <w:r>
        <w:rPr>
          <w:rFonts w:ascii="Verdana" w:hAnsi="Verdana"/>
          <w:bCs/>
          <w:sz w:val="20"/>
          <w:szCs w:val="20"/>
          <w:lang w:val="en-GB"/>
        </w:rPr>
        <w:t>–</w:t>
      </w:r>
      <w:r w:rsidRPr="00C31021">
        <w:rPr>
          <w:rFonts w:ascii="Verdana" w:hAnsi="Verdana"/>
          <w:bCs/>
          <w:sz w:val="20"/>
          <w:szCs w:val="20"/>
          <w:lang w:val="en-GB"/>
        </w:rPr>
        <w:t xml:space="preserve"> the South-Mediterranean region. </w:t>
      </w:r>
      <w:r w:rsidR="00DC72FA">
        <w:rPr>
          <w:rFonts w:ascii="Verdana" w:hAnsi="Verdana"/>
          <w:bCs/>
          <w:sz w:val="20"/>
          <w:szCs w:val="20"/>
          <w:lang w:val="en-GB"/>
        </w:rPr>
        <w:t xml:space="preserve">However, following the discussions during the Rome BFUG meeting the list of countries could be expanded to other countries including the neighbouring countries of Armenia and other third countries of interest for the EHEA members. </w:t>
      </w:r>
    </w:p>
    <w:p w:rsidR="00DC72FA" w:rsidRDefault="00DC72FA" w:rsidP="00570D95">
      <w:pPr>
        <w:autoSpaceDE w:val="0"/>
        <w:autoSpaceDN w:val="0"/>
        <w:adjustRightInd w:val="0"/>
        <w:spacing w:after="0" w:line="312" w:lineRule="auto"/>
        <w:jc w:val="both"/>
        <w:rPr>
          <w:rFonts w:ascii="Verdana" w:hAnsi="Verdana"/>
          <w:bCs/>
          <w:sz w:val="20"/>
          <w:szCs w:val="20"/>
          <w:lang w:val="en-GB"/>
        </w:rPr>
      </w:pPr>
    </w:p>
    <w:p w:rsidR="00E33D68" w:rsidRPr="00C31021" w:rsidRDefault="00E33D68" w:rsidP="00570D95">
      <w:pPr>
        <w:autoSpaceDE w:val="0"/>
        <w:autoSpaceDN w:val="0"/>
        <w:adjustRightInd w:val="0"/>
        <w:spacing w:after="0" w:line="312" w:lineRule="auto"/>
        <w:jc w:val="both"/>
        <w:rPr>
          <w:rFonts w:ascii="Verdana" w:hAnsi="Verdana" w:cs="Calibri"/>
          <w:color w:val="000000"/>
          <w:sz w:val="20"/>
          <w:szCs w:val="20"/>
          <w:lang w:val="en-GB"/>
        </w:rPr>
      </w:pPr>
      <w:r w:rsidRPr="00C31021">
        <w:rPr>
          <w:rFonts w:ascii="Verdana" w:hAnsi="Verdana"/>
          <w:bCs/>
          <w:sz w:val="20"/>
          <w:szCs w:val="20"/>
          <w:lang w:val="en-GB"/>
        </w:rPr>
        <w:t xml:space="preserve">While talking on the topics of the BPF it was noted that </w:t>
      </w:r>
      <w:r w:rsidRPr="00C31021">
        <w:rPr>
          <w:rFonts w:ascii="Verdana" w:hAnsi="Verdana" w:cs="Calibri"/>
          <w:color w:val="000000"/>
          <w:sz w:val="20"/>
          <w:szCs w:val="20"/>
          <w:lang w:val="en-GB"/>
        </w:rPr>
        <w:t>the issue of recognition should be a point for discussion during the BPF as a core element of student mobility.</w:t>
      </w:r>
      <w:r w:rsidRPr="00C31021">
        <w:rPr>
          <w:rFonts w:ascii="Verdana" w:hAnsi="Verdana"/>
          <w:bCs/>
          <w:sz w:val="20"/>
          <w:szCs w:val="20"/>
          <w:lang w:val="en-GB"/>
        </w:rPr>
        <w:t xml:space="preserve"> </w:t>
      </w:r>
      <w:r w:rsidRPr="00C31021">
        <w:rPr>
          <w:rFonts w:ascii="Verdana" w:hAnsi="Verdana" w:cs="Calibri"/>
          <w:color w:val="000000"/>
          <w:sz w:val="20"/>
          <w:szCs w:val="20"/>
          <w:lang w:val="en-GB"/>
        </w:rPr>
        <w:t>Nevertheless, the non-EHEA countries could also propose topics for discussion. The BPF Steering Committee could propose a list of topics for discussion for the Ministers to choose.</w:t>
      </w:r>
    </w:p>
    <w:p w:rsidR="00104630" w:rsidRDefault="00104630" w:rsidP="00205531">
      <w:pPr>
        <w:spacing w:after="0" w:line="312" w:lineRule="auto"/>
        <w:rPr>
          <w:rFonts w:ascii="Verdana" w:hAnsi="Verdana"/>
          <w:b/>
          <w:sz w:val="24"/>
          <w:szCs w:val="24"/>
          <w:lang w:val="en-GB"/>
        </w:rPr>
      </w:pPr>
    </w:p>
    <w:p w:rsidR="00E33D68" w:rsidRPr="00C31021" w:rsidRDefault="00E33D68" w:rsidP="00205531">
      <w:pPr>
        <w:spacing w:after="0" w:line="312" w:lineRule="auto"/>
        <w:rPr>
          <w:rFonts w:ascii="Verdana" w:hAnsi="Verdana"/>
          <w:b/>
          <w:sz w:val="24"/>
          <w:szCs w:val="24"/>
          <w:lang w:val="en-GB"/>
        </w:rPr>
      </w:pPr>
      <w:r w:rsidRPr="00C31021">
        <w:rPr>
          <w:rFonts w:ascii="Verdana" w:hAnsi="Verdana"/>
          <w:b/>
          <w:sz w:val="24"/>
          <w:szCs w:val="24"/>
          <w:lang w:val="en-GB"/>
        </w:rPr>
        <w:t>PART III</w:t>
      </w:r>
    </w:p>
    <w:p w:rsidR="00E33D68" w:rsidRPr="00C31021" w:rsidRDefault="00E33D68" w:rsidP="00205531">
      <w:pPr>
        <w:spacing w:after="0" w:line="312" w:lineRule="auto"/>
        <w:rPr>
          <w:rFonts w:ascii="Verdana" w:hAnsi="Verdana"/>
          <w:b/>
          <w:sz w:val="20"/>
          <w:szCs w:val="20"/>
          <w:lang w:val="en-GB"/>
        </w:rPr>
      </w:pPr>
    </w:p>
    <w:p w:rsidR="00E33D68" w:rsidRPr="00C31021" w:rsidRDefault="00E33D68" w:rsidP="00205531">
      <w:pPr>
        <w:spacing w:after="0" w:line="312" w:lineRule="auto"/>
        <w:rPr>
          <w:rFonts w:ascii="Verdana" w:hAnsi="Verdana"/>
          <w:b/>
          <w:lang w:val="en-GB"/>
        </w:rPr>
      </w:pPr>
      <w:r w:rsidRPr="00C31021">
        <w:rPr>
          <w:rFonts w:ascii="Verdana" w:hAnsi="Verdana"/>
          <w:b/>
          <w:lang w:val="en-GB"/>
        </w:rPr>
        <w:t>APPENDICES</w:t>
      </w:r>
    </w:p>
    <w:p w:rsidR="00E33D68" w:rsidRPr="00C31021" w:rsidRDefault="00E33D68" w:rsidP="00205531">
      <w:pPr>
        <w:spacing w:after="0" w:line="312" w:lineRule="auto"/>
        <w:rPr>
          <w:rFonts w:ascii="Verdana" w:hAnsi="Verdana"/>
          <w:b/>
          <w:sz w:val="20"/>
          <w:szCs w:val="20"/>
          <w:lang w:val="en-GB"/>
        </w:rPr>
      </w:pPr>
    </w:p>
    <w:p w:rsidR="00E33D68" w:rsidRDefault="00A62AE8" w:rsidP="00A62AE8">
      <w:pPr>
        <w:spacing w:after="0" w:line="312" w:lineRule="auto"/>
        <w:rPr>
          <w:rFonts w:ascii="Verdana" w:hAnsi="Verdana"/>
          <w:b/>
          <w:lang w:val="en-GB"/>
        </w:rPr>
      </w:pPr>
      <w:r w:rsidRPr="00A62AE8">
        <w:rPr>
          <w:rFonts w:ascii="Verdana" w:hAnsi="Verdana"/>
          <w:b/>
          <w:lang w:val="en-GB"/>
        </w:rPr>
        <w:t xml:space="preserve">ANNEX </w:t>
      </w:r>
      <w:proofErr w:type="gramStart"/>
      <w:r w:rsidRPr="00A62AE8">
        <w:rPr>
          <w:rFonts w:ascii="Verdana" w:hAnsi="Verdana"/>
          <w:b/>
          <w:lang w:val="en-GB"/>
        </w:rPr>
        <w:t>I</w:t>
      </w:r>
      <w:proofErr w:type="gramEnd"/>
      <w:r w:rsidRPr="00A62AE8">
        <w:rPr>
          <w:rFonts w:ascii="Verdana" w:hAnsi="Verdana"/>
          <w:b/>
          <w:lang w:val="en-GB"/>
        </w:rPr>
        <w:t xml:space="preserve">: </w:t>
      </w:r>
      <w:r w:rsidR="00E33D68" w:rsidRPr="00A62AE8">
        <w:rPr>
          <w:rFonts w:ascii="Verdana" w:hAnsi="Verdana"/>
          <w:b/>
          <w:lang w:val="en-GB"/>
        </w:rPr>
        <w:t>Terms of Reference of the Mobility and Int</w:t>
      </w:r>
      <w:r w:rsidRPr="00A62AE8">
        <w:rPr>
          <w:rFonts w:ascii="Verdana" w:hAnsi="Verdana"/>
          <w:b/>
          <w:lang w:val="en-GB"/>
        </w:rPr>
        <w:t>ernationalisation Working Group</w:t>
      </w:r>
    </w:p>
    <w:p w:rsidR="00A62AE8" w:rsidRDefault="00A62AE8" w:rsidP="00A62AE8">
      <w:pPr>
        <w:spacing w:after="0" w:line="312" w:lineRule="auto"/>
        <w:rPr>
          <w:rFonts w:ascii="Verdana" w:hAnsi="Verdana"/>
          <w:b/>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9540"/>
      </w:tblGrid>
      <w:tr w:rsidR="00A62AE8" w:rsidRPr="002D6983" w:rsidTr="005F15DB">
        <w:trPr>
          <w:trHeight w:val="655"/>
        </w:trPr>
        <w:tc>
          <w:tcPr>
            <w:tcW w:w="9540" w:type="dxa"/>
          </w:tcPr>
          <w:p w:rsidR="00A62AE8" w:rsidRPr="00A9398D" w:rsidRDefault="00A62AE8" w:rsidP="005F15DB">
            <w:pPr>
              <w:rPr>
                <w:rFonts w:ascii="Verdana" w:hAnsi="Verdana"/>
                <w:b/>
                <w:bCs/>
                <w:sz w:val="20"/>
                <w:szCs w:val="20"/>
                <w:lang w:val="en-GB"/>
              </w:rPr>
            </w:pPr>
            <w:r w:rsidRPr="00A9398D">
              <w:rPr>
                <w:rFonts w:ascii="Verdana" w:hAnsi="Verdana"/>
                <w:b/>
                <w:bCs/>
                <w:sz w:val="20"/>
                <w:szCs w:val="20"/>
                <w:lang w:val="en-GB"/>
              </w:rPr>
              <w:lastRenderedPageBreak/>
              <w:t>Working Group on Mobility</w:t>
            </w:r>
            <w:r>
              <w:rPr>
                <w:rFonts w:ascii="Verdana" w:hAnsi="Verdana"/>
                <w:b/>
                <w:bCs/>
                <w:sz w:val="20"/>
                <w:szCs w:val="20"/>
                <w:lang w:val="en-GB"/>
              </w:rPr>
              <w:t xml:space="preserve"> and Internationalisation</w:t>
            </w:r>
          </w:p>
        </w:tc>
      </w:tr>
      <w:tr w:rsidR="00A62AE8" w:rsidRPr="00A75E62" w:rsidTr="005F15DB">
        <w:trPr>
          <w:trHeight w:val="844"/>
        </w:trPr>
        <w:tc>
          <w:tcPr>
            <w:tcW w:w="9540" w:type="dxa"/>
          </w:tcPr>
          <w:p w:rsidR="00A62AE8" w:rsidRDefault="00A62AE8" w:rsidP="005F15DB">
            <w:pPr>
              <w:rPr>
                <w:rFonts w:ascii="Verdana" w:hAnsi="Verdana"/>
                <w:bCs/>
                <w:sz w:val="20"/>
                <w:szCs w:val="20"/>
              </w:rPr>
            </w:pPr>
            <w:r w:rsidRPr="00A9398D">
              <w:rPr>
                <w:rFonts w:ascii="Verdana" w:hAnsi="Verdana"/>
                <w:b/>
                <w:bCs/>
                <w:sz w:val="20"/>
                <w:szCs w:val="20"/>
                <w:lang w:val="en-GB"/>
              </w:rPr>
              <w:t>Contact person</w:t>
            </w:r>
          </w:p>
          <w:p w:rsidR="00A62AE8" w:rsidRDefault="00A62AE8" w:rsidP="00A62AE8">
            <w:pPr>
              <w:spacing w:after="0"/>
              <w:rPr>
                <w:rFonts w:ascii="Verdana" w:hAnsi="Verdana"/>
                <w:bCs/>
                <w:sz w:val="20"/>
                <w:szCs w:val="20"/>
              </w:rPr>
            </w:pPr>
            <w:r w:rsidRPr="00370D56">
              <w:rPr>
                <w:rFonts w:ascii="Verdana" w:hAnsi="Verdana"/>
                <w:bCs/>
                <w:sz w:val="20"/>
                <w:szCs w:val="20"/>
              </w:rPr>
              <w:t xml:space="preserve">Peter </w:t>
            </w:r>
            <w:r>
              <w:rPr>
                <w:rFonts w:ascii="Verdana" w:hAnsi="Verdana"/>
                <w:bCs/>
                <w:sz w:val="20"/>
                <w:szCs w:val="20"/>
              </w:rPr>
              <w:t xml:space="preserve">GREISLER – </w:t>
            </w:r>
            <w:r w:rsidRPr="00370D56">
              <w:rPr>
                <w:rFonts w:ascii="Verdana" w:hAnsi="Verdana"/>
                <w:bCs/>
                <w:sz w:val="20"/>
                <w:szCs w:val="20"/>
              </w:rPr>
              <w:t>Germany (</w:t>
            </w:r>
            <w:hyperlink r:id="rId15" w:history="1">
              <w:r w:rsidRPr="00370D56">
                <w:rPr>
                  <w:rStyle w:val="Hyperlink"/>
                  <w:rFonts w:ascii="Verdana" w:hAnsi="Verdana"/>
                  <w:bCs/>
                  <w:sz w:val="20"/>
                  <w:szCs w:val="20"/>
                </w:rPr>
                <w:t>peter.greisler@bmbf.bund.de</w:t>
              </w:r>
            </w:hyperlink>
            <w:r w:rsidRPr="00370D56">
              <w:rPr>
                <w:rFonts w:ascii="Verdana" w:hAnsi="Verdana"/>
                <w:bCs/>
                <w:sz w:val="20"/>
                <w:szCs w:val="20"/>
              </w:rPr>
              <w:t xml:space="preserve">) </w:t>
            </w:r>
          </w:p>
          <w:p w:rsidR="00A62AE8" w:rsidRDefault="00A62AE8" w:rsidP="00A62AE8">
            <w:pPr>
              <w:spacing w:after="0"/>
              <w:rPr>
                <w:rFonts w:ascii="Verdana" w:hAnsi="Verdana"/>
                <w:bCs/>
                <w:sz w:val="20"/>
                <w:szCs w:val="20"/>
              </w:rPr>
            </w:pPr>
            <w:r>
              <w:rPr>
                <w:rFonts w:ascii="Verdana" w:hAnsi="Verdana"/>
                <w:bCs/>
                <w:sz w:val="20"/>
                <w:szCs w:val="20"/>
              </w:rPr>
              <w:t>Gottfried BACHER – Austria (</w:t>
            </w:r>
            <w:hyperlink r:id="rId16" w:history="1">
              <w:r w:rsidRPr="00AD3257">
                <w:rPr>
                  <w:rStyle w:val="Hyperlink"/>
                  <w:rFonts w:ascii="Verdana" w:hAnsi="Verdana"/>
                  <w:bCs/>
                  <w:sz w:val="20"/>
                  <w:szCs w:val="20"/>
                </w:rPr>
                <w:t>Gottfried.Bacher@bmwf.gv.at</w:t>
              </w:r>
            </w:hyperlink>
            <w:r>
              <w:rPr>
                <w:rFonts w:ascii="Verdana" w:hAnsi="Verdana"/>
                <w:bCs/>
                <w:sz w:val="20"/>
                <w:szCs w:val="20"/>
              </w:rPr>
              <w:t xml:space="preserve">) </w:t>
            </w:r>
          </w:p>
          <w:p w:rsidR="00A62AE8" w:rsidRPr="00A62AE8" w:rsidRDefault="00A62AE8" w:rsidP="00A62AE8">
            <w:pPr>
              <w:spacing w:after="0"/>
              <w:rPr>
                <w:rFonts w:ascii="Verdana" w:hAnsi="Verdana"/>
                <w:bCs/>
                <w:sz w:val="20"/>
                <w:szCs w:val="20"/>
                <w:lang w:val="es-ES_tradnl"/>
              </w:rPr>
            </w:pPr>
            <w:r w:rsidRPr="00DD68A8">
              <w:rPr>
                <w:rFonts w:ascii="Verdana" w:hAnsi="Verdana"/>
                <w:bCs/>
                <w:sz w:val="20"/>
                <w:szCs w:val="20"/>
                <w:lang w:val="es-ES_tradnl"/>
              </w:rPr>
              <w:t xml:space="preserve">Luis DELGADO – </w:t>
            </w:r>
            <w:proofErr w:type="spellStart"/>
            <w:r w:rsidRPr="00A75E62">
              <w:rPr>
                <w:rFonts w:ascii="Verdana" w:hAnsi="Verdana"/>
                <w:bCs/>
                <w:sz w:val="20"/>
                <w:szCs w:val="20"/>
                <w:lang w:val="es-ES_tradnl"/>
              </w:rPr>
              <w:t>Spain</w:t>
            </w:r>
            <w:proofErr w:type="spellEnd"/>
            <w:r w:rsidRPr="00DD68A8">
              <w:rPr>
                <w:rFonts w:ascii="Verdana" w:hAnsi="Verdana"/>
                <w:bCs/>
                <w:sz w:val="20"/>
                <w:szCs w:val="20"/>
                <w:lang w:val="es-ES_tradnl"/>
              </w:rPr>
              <w:t xml:space="preserve"> (</w:t>
            </w:r>
            <w:hyperlink r:id="rId17" w:history="1">
              <w:r w:rsidR="00347317" w:rsidRPr="0059773B">
                <w:rPr>
                  <w:rStyle w:val="Hyperlink"/>
                  <w:rFonts w:ascii="Verdana" w:hAnsi="Verdana"/>
                  <w:bCs/>
                  <w:sz w:val="20"/>
                  <w:szCs w:val="20"/>
                  <w:lang w:val="es-ES_tradnl"/>
                </w:rPr>
                <w:t>luism.delgado@mecd.es</w:t>
              </w:r>
            </w:hyperlink>
            <w:r w:rsidRPr="00DD68A8">
              <w:rPr>
                <w:rFonts w:ascii="Verdana" w:hAnsi="Verdana"/>
                <w:bCs/>
                <w:sz w:val="20"/>
                <w:szCs w:val="20"/>
                <w:lang w:val="es-ES_tradnl"/>
              </w:rPr>
              <w:t xml:space="preserve">) </w:t>
            </w:r>
          </w:p>
        </w:tc>
      </w:tr>
      <w:tr w:rsidR="00A62AE8" w:rsidRPr="002D6983" w:rsidTr="005F15DB">
        <w:trPr>
          <w:trHeight w:val="1084"/>
        </w:trPr>
        <w:tc>
          <w:tcPr>
            <w:tcW w:w="9540" w:type="dxa"/>
          </w:tcPr>
          <w:p w:rsidR="00A62AE8" w:rsidRPr="00A9398D" w:rsidRDefault="00A62AE8" w:rsidP="005F15DB">
            <w:pPr>
              <w:rPr>
                <w:rFonts w:ascii="Verdana" w:hAnsi="Verdana"/>
                <w:b/>
                <w:bCs/>
                <w:sz w:val="20"/>
                <w:szCs w:val="20"/>
                <w:lang w:val="en-GB"/>
              </w:rPr>
            </w:pPr>
            <w:r w:rsidRPr="00A9398D">
              <w:rPr>
                <w:rFonts w:ascii="Verdana" w:hAnsi="Verdana"/>
                <w:b/>
                <w:bCs/>
                <w:sz w:val="20"/>
                <w:szCs w:val="20"/>
                <w:lang w:val="en-GB"/>
              </w:rPr>
              <w:t xml:space="preserve">Composition </w:t>
            </w:r>
          </w:p>
          <w:p w:rsidR="00A62AE8" w:rsidRPr="00D50D3C" w:rsidRDefault="00A62AE8" w:rsidP="00A62AE8">
            <w:pPr>
              <w:jc w:val="both"/>
              <w:rPr>
                <w:rFonts w:ascii="Verdana" w:hAnsi="Verdana"/>
                <w:sz w:val="20"/>
                <w:szCs w:val="20"/>
                <w:lang w:val="en-GB"/>
              </w:rPr>
            </w:pPr>
            <w:r w:rsidRPr="00D50D3C">
              <w:rPr>
                <w:rFonts w:ascii="Verdana" w:hAnsi="Verdana"/>
                <w:sz w:val="20"/>
                <w:szCs w:val="20"/>
                <w:lang w:val="en-GB"/>
              </w:rPr>
              <w:t>The group will be made up of a wide range of countries and should be balanced with regard to EU and Non-EU Bologna countries, geography and size. The group should include members of the 2010-2012 working group as well as new members.</w:t>
            </w:r>
          </w:p>
          <w:p w:rsidR="00A62AE8" w:rsidRPr="00A62AE8" w:rsidRDefault="00A62AE8" w:rsidP="00A62AE8">
            <w:pPr>
              <w:jc w:val="both"/>
              <w:rPr>
                <w:rFonts w:ascii="Verdana" w:hAnsi="Verdana"/>
                <w:sz w:val="20"/>
                <w:szCs w:val="20"/>
              </w:rPr>
            </w:pPr>
            <w:r w:rsidRPr="00D50D3C">
              <w:rPr>
                <w:rFonts w:ascii="Verdana" w:hAnsi="Verdana"/>
                <w:sz w:val="20"/>
                <w:szCs w:val="20"/>
              </w:rPr>
              <w:t xml:space="preserve">The following countries </w:t>
            </w:r>
            <w:r>
              <w:rPr>
                <w:rFonts w:ascii="Verdana" w:hAnsi="Verdana"/>
                <w:sz w:val="20"/>
                <w:szCs w:val="20"/>
              </w:rPr>
              <w:t xml:space="preserve">and </w:t>
            </w:r>
            <w:proofErr w:type="spellStart"/>
            <w:r>
              <w:rPr>
                <w:rFonts w:ascii="Verdana" w:hAnsi="Verdana"/>
                <w:sz w:val="20"/>
                <w:szCs w:val="20"/>
              </w:rPr>
              <w:t>organisations</w:t>
            </w:r>
            <w:proofErr w:type="spellEnd"/>
            <w:r>
              <w:rPr>
                <w:rFonts w:ascii="Verdana" w:hAnsi="Verdana"/>
                <w:sz w:val="20"/>
                <w:szCs w:val="20"/>
              </w:rPr>
              <w:t xml:space="preserve"> </w:t>
            </w:r>
            <w:r w:rsidRPr="00D50D3C">
              <w:rPr>
                <w:rFonts w:ascii="Verdana" w:hAnsi="Verdana"/>
                <w:sz w:val="20"/>
                <w:szCs w:val="20"/>
              </w:rPr>
              <w:t>expressed their willingness to participate in the WG:</w:t>
            </w:r>
            <w:r>
              <w:rPr>
                <w:rFonts w:ascii="Verdana" w:hAnsi="Verdana"/>
                <w:sz w:val="20"/>
                <w:szCs w:val="20"/>
              </w:rPr>
              <w:t xml:space="preserve"> </w:t>
            </w:r>
            <w:r w:rsidRPr="002A69CB">
              <w:rPr>
                <w:rFonts w:ascii="Verdana" w:hAnsi="Verdana"/>
                <w:sz w:val="20"/>
                <w:shd w:val="clear" w:color="auto" w:fill="FFFFFF"/>
              </w:rPr>
              <w:t>Armenia</w:t>
            </w:r>
            <w:r w:rsidRPr="002A69CB">
              <w:rPr>
                <w:rFonts w:ascii="Verdana" w:hAnsi="Verdana"/>
                <w:sz w:val="20"/>
              </w:rPr>
              <w:t xml:space="preserve">, </w:t>
            </w:r>
            <w:r w:rsidRPr="00D50D3C">
              <w:rPr>
                <w:rFonts w:ascii="Verdana" w:hAnsi="Verdana"/>
                <w:sz w:val="20"/>
                <w:szCs w:val="20"/>
              </w:rPr>
              <w:t xml:space="preserve">Belgium/Flemish Community, Belgium/French Community, Cyprus, Denmark, France, </w:t>
            </w:r>
            <w:r>
              <w:rPr>
                <w:rFonts w:ascii="Verdana" w:hAnsi="Verdana"/>
                <w:sz w:val="20"/>
                <w:szCs w:val="20"/>
              </w:rPr>
              <w:t xml:space="preserve">Hungary, </w:t>
            </w:r>
            <w:r w:rsidRPr="00D50D3C">
              <w:rPr>
                <w:rFonts w:ascii="Verdana" w:hAnsi="Verdana"/>
                <w:sz w:val="20"/>
                <w:szCs w:val="20"/>
              </w:rPr>
              <w:t xml:space="preserve">Ireland, Italy, </w:t>
            </w:r>
            <w:r>
              <w:rPr>
                <w:rFonts w:ascii="Verdana" w:hAnsi="Verdana"/>
                <w:sz w:val="20"/>
                <w:szCs w:val="20"/>
              </w:rPr>
              <w:t xml:space="preserve">Kazakhstan, </w:t>
            </w:r>
            <w:r w:rsidRPr="00D50D3C">
              <w:rPr>
                <w:rFonts w:ascii="Verdana" w:hAnsi="Verdana"/>
                <w:sz w:val="20"/>
                <w:szCs w:val="20"/>
              </w:rPr>
              <w:t xml:space="preserve">Lithuania, </w:t>
            </w:r>
            <w:r>
              <w:rPr>
                <w:rFonts w:ascii="Verdana" w:hAnsi="Verdana"/>
                <w:sz w:val="20"/>
                <w:szCs w:val="20"/>
              </w:rPr>
              <w:t>Moldova,</w:t>
            </w:r>
            <w:r w:rsidRPr="002A69CB">
              <w:rPr>
                <w:rFonts w:ascii="Verdana" w:hAnsi="Verdana"/>
                <w:sz w:val="20"/>
              </w:rPr>
              <w:t xml:space="preserve"> Netherlands, </w:t>
            </w:r>
            <w:r w:rsidRPr="00D50D3C">
              <w:rPr>
                <w:rFonts w:ascii="Verdana" w:hAnsi="Verdana"/>
                <w:sz w:val="20"/>
                <w:szCs w:val="20"/>
              </w:rPr>
              <w:t xml:space="preserve">Poland, </w:t>
            </w:r>
            <w:r>
              <w:rPr>
                <w:rFonts w:ascii="Verdana" w:hAnsi="Verdana"/>
                <w:sz w:val="20"/>
                <w:szCs w:val="20"/>
              </w:rPr>
              <w:t xml:space="preserve">Romania, Slovenia, </w:t>
            </w:r>
            <w:r w:rsidRPr="00D50D3C">
              <w:rPr>
                <w:rFonts w:ascii="Verdana" w:hAnsi="Verdana"/>
                <w:sz w:val="20"/>
                <w:szCs w:val="20"/>
              </w:rPr>
              <w:t xml:space="preserve">Turkey, UK, Council of Europe, </w:t>
            </w:r>
            <w:r>
              <w:rPr>
                <w:rFonts w:ascii="Verdana" w:hAnsi="Verdana"/>
                <w:sz w:val="20"/>
                <w:szCs w:val="20"/>
              </w:rPr>
              <w:t>EC</w:t>
            </w:r>
            <w:r w:rsidRPr="00D50D3C">
              <w:rPr>
                <w:rFonts w:ascii="Verdana" w:hAnsi="Verdana"/>
                <w:sz w:val="20"/>
                <w:szCs w:val="20"/>
              </w:rPr>
              <w:t>, ENQA, ESU</w:t>
            </w:r>
            <w:r>
              <w:rPr>
                <w:rFonts w:ascii="Verdana" w:hAnsi="Verdana"/>
                <w:sz w:val="20"/>
                <w:szCs w:val="20"/>
              </w:rPr>
              <w:t xml:space="preserve">, EUA, EI, EQAR, </w:t>
            </w:r>
            <w:proofErr w:type="gramStart"/>
            <w:r>
              <w:rPr>
                <w:rFonts w:ascii="Verdana" w:hAnsi="Verdana"/>
                <w:sz w:val="20"/>
                <w:szCs w:val="20"/>
              </w:rPr>
              <w:t>Business</w:t>
            </w:r>
            <w:proofErr w:type="gramEnd"/>
            <w:r>
              <w:rPr>
                <w:rFonts w:ascii="Verdana" w:hAnsi="Verdana"/>
                <w:sz w:val="20"/>
                <w:szCs w:val="20"/>
              </w:rPr>
              <w:t xml:space="preserve"> Europe</w:t>
            </w:r>
            <w:r w:rsidRPr="00D50D3C">
              <w:rPr>
                <w:rFonts w:ascii="Verdana" w:hAnsi="Verdana"/>
                <w:sz w:val="20"/>
                <w:szCs w:val="20"/>
              </w:rPr>
              <w:t>.</w:t>
            </w:r>
          </w:p>
        </w:tc>
      </w:tr>
      <w:tr w:rsidR="00A62AE8" w:rsidRPr="002D6983" w:rsidTr="005F15DB">
        <w:trPr>
          <w:trHeight w:val="844"/>
        </w:trPr>
        <w:tc>
          <w:tcPr>
            <w:tcW w:w="9540" w:type="dxa"/>
          </w:tcPr>
          <w:p w:rsidR="00A62AE8" w:rsidRPr="00A9398D" w:rsidRDefault="00A62AE8" w:rsidP="005F15DB">
            <w:pPr>
              <w:rPr>
                <w:rFonts w:ascii="Verdana" w:hAnsi="Verdana"/>
                <w:b/>
                <w:bCs/>
                <w:sz w:val="20"/>
                <w:szCs w:val="20"/>
                <w:lang w:val="en-GB"/>
              </w:rPr>
            </w:pPr>
            <w:r w:rsidRPr="00A9398D">
              <w:rPr>
                <w:rFonts w:ascii="Verdana" w:hAnsi="Verdana"/>
                <w:b/>
                <w:bCs/>
                <w:sz w:val="20"/>
                <w:szCs w:val="20"/>
                <w:lang w:val="en-GB"/>
              </w:rPr>
              <w:t xml:space="preserve">Purpose and/or outcome </w:t>
            </w:r>
          </w:p>
          <w:p w:rsidR="00A62AE8" w:rsidRPr="00465507" w:rsidRDefault="00A62AE8" w:rsidP="00B07A9D">
            <w:pPr>
              <w:numPr>
                <w:ilvl w:val="0"/>
                <w:numId w:val="1"/>
              </w:numPr>
              <w:tabs>
                <w:tab w:val="clear" w:pos="568"/>
                <w:tab w:val="num" w:pos="284"/>
              </w:tabs>
              <w:spacing w:after="0" w:line="312" w:lineRule="auto"/>
              <w:ind w:left="288" w:hanging="288"/>
              <w:rPr>
                <w:rFonts w:ascii="Verdana" w:hAnsi="Verdana"/>
                <w:sz w:val="20"/>
                <w:szCs w:val="20"/>
                <w:lang w:val="en-GB"/>
              </w:rPr>
            </w:pPr>
            <w:r w:rsidRPr="00A9398D">
              <w:rPr>
                <w:rFonts w:ascii="Verdana" w:hAnsi="Verdana"/>
                <w:sz w:val="20"/>
                <w:szCs w:val="20"/>
                <w:lang w:val="en-GB"/>
              </w:rPr>
              <w:t xml:space="preserve">To contribute to </w:t>
            </w:r>
            <w:r>
              <w:rPr>
                <w:rFonts w:ascii="Verdana" w:hAnsi="Verdana"/>
                <w:sz w:val="20"/>
                <w:szCs w:val="20"/>
                <w:lang w:val="en-GB"/>
              </w:rPr>
              <w:t xml:space="preserve">the implementation of the </w:t>
            </w:r>
            <w:r w:rsidRPr="00A9398D">
              <w:rPr>
                <w:rFonts w:ascii="Verdana" w:hAnsi="Verdana"/>
                <w:sz w:val="20"/>
                <w:szCs w:val="20"/>
                <w:lang w:val="en-GB"/>
              </w:rPr>
              <w:t xml:space="preserve">EHEA Strategy </w:t>
            </w:r>
            <w:r>
              <w:rPr>
                <w:rFonts w:ascii="Verdana" w:hAnsi="Verdana"/>
                <w:sz w:val="20"/>
                <w:szCs w:val="20"/>
                <w:lang w:val="en-GB"/>
              </w:rPr>
              <w:t xml:space="preserve">“Mobility for better Learning” at national and European level and </w:t>
            </w:r>
            <w:r w:rsidRPr="00465507">
              <w:rPr>
                <w:rFonts w:ascii="Verdana" w:hAnsi="Verdana"/>
                <w:sz w:val="20"/>
                <w:szCs w:val="20"/>
                <w:lang w:val="en-GB"/>
              </w:rPr>
              <w:t xml:space="preserve">to </w:t>
            </w:r>
            <w:r>
              <w:rPr>
                <w:rFonts w:ascii="Verdana" w:hAnsi="Verdana"/>
                <w:sz w:val="20"/>
                <w:szCs w:val="20"/>
                <w:lang w:val="en-GB"/>
              </w:rPr>
              <w:t xml:space="preserve">assist in </w:t>
            </w:r>
            <w:r w:rsidRPr="00465507">
              <w:rPr>
                <w:rFonts w:ascii="Verdana" w:hAnsi="Verdana"/>
                <w:sz w:val="20"/>
                <w:szCs w:val="20"/>
                <w:lang w:val="en-GB"/>
              </w:rPr>
              <w:t>the reporting to Ministers in 2015</w:t>
            </w:r>
            <w:r>
              <w:rPr>
                <w:rFonts w:ascii="Verdana" w:hAnsi="Verdana"/>
                <w:sz w:val="20"/>
                <w:szCs w:val="20"/>
                <w:lang w:val="en-GB"/>
              </w:rPr>
              <w:t xml:space="preserve"> </w:t>
            </w:r>
            <w:r w:rsidRPr="00465507">
              <w:rPr>
                <w:rFonts w:ascii="Verdana" w:hAnsi="Verdana"/>
                <w:sz w:val="20"/>
                <w:szCs w:val="20"/>
                <w:lang w:val="en-GB"/>
              </w:rPr>
              <w:t>on the progress made,</w:t>
            </w:r>
          </w:p>
          <w:p w:rsidR="00A62AE8" w:rsidRDefault="00A62AE8" w:rsidP="00B07A9D">
            <w:pPr>
              <w:numPr>
                <w:ilvl w:val="0"/>
                <w:numId w:val="1"/>
              </w:numPr>
              <w:tabs>
                <w:tab w:val="clear" w:pos="568"/>
                <w:tab w:val="num" w:pos="284"/>
              </w:tabs>
              <w:spacing w:after="0" w:line="312" w:lineRule="auto"/>
              <w:ind w:left="288" w:hanging="288"/>
              <w:rPr>
                <w:rFonts w:ascii="Verdana" w:hAnsi="Verdana"/>
                <w:sz w:val="20"/>
                <w:szCs w:val="20"/>
                <w:lang w:val="en-GB"/>
              </w:rPr>
            </w:pPr>
            <w:r w:rsidRPr="00A9398D">
              <w:rPr>
                <w:rFonts w:ascii="Verdana" w:hAnsi="Verdana"/>
                <w:sz w:val="20"/>
                <w:szCs w:val="20"/>
                <w:lang w:val="en-GB"/>
              </w:rPr>
              <w:t xml:space="preserve">To </w:t>
            </w:r>
            <w:r>
              <w:rPr>
                <w:rFonts w:ascii="Verdana" w:hAnsi="Verdana"/>
                <w:sz w:val="20"/>
                <w:szCs w:val="20"/>
                <w:lang w:val="en-GB"/>
              </w:rPr>
              <w:t>support countries in their national implementation efforts regarding the mobility strategy,</w:t>
            </w:r>
          </w:p>
          <w:p w:rsidR="00A62AE8" w:rsidRPr="00F71F88" w:rsidRDefault="00A62AE8" w:rsidP="00B07A9D">
            <w:pPr>
              <w:numPr>
                <w:ilvl w:val="0"/>
                <w:numId w:val="1"/>
              </w:numPr>
              <w:tabs>
                <w:tab w:val="clear" w:pos="568"/>
                <w:tab w:val="num" w:pos="284"/>
              </w:tabs>
              <w:spacing w:after="0" w:line="312" w:lineRule="auto"/>
              <w:ind w:left="288" w:hanging="288"/>
              <w:rPr>
                <w:rFonts w:ascii="Verdana" w:hAnsi="Verdana"/>
                <w:sz w:val="20"/>
                <w:szCs w:val="20"/>
                <w:lang w:val="en-GB"/>
              </w:rPr>
            </w:pPr>
            <w:r>
              <w:rPr>
                <w:rFonts w:ascii="Verdana" w:hAnsi="Verdana"/>
                <w:sz w:val="20"/>
                <w:szCs w:val="20"/>
                <w:lang w:val="en-GB"/>
              </w:rPr>
              <w:t>To contribute to the evaluation of the strategy “EHEA in a Global Setting” and to the further internationalisation of</w:t>
            </w:r>
            <w:r w:rsidRPr="00F71F88">
              <w:rPr>
                <w:rFonts w:ascii="Verdana" w:hAnsi="Verdana"/>
                <w:sz w:val="20"/>
                <w:szCs w:val="20"/>
                <w:lang w:val="en-GB"/>
              </w:rPr>
              <w:t xml:space="preserve"> the EHEA,</w:t>
            </w:r>
          </w:p>
          <w:p w:rsidR="00A62AE8" w:rsidRPr="00A9398D" w:rsidRDefault="00A62AE8" w:rsidP="00B07A9D">
            <w:pPr>
              <w:numPr>
                <w:ilvl w:val="0"/>
                <w:numId w:val="1"/>
              </w:numPr>
              <w:tabs>
                <w:tab w:val="clear" w:pos="568"/>
                <w:tab w:val="num" w:pos="284"/>
              </w:tabs>
              <w:spacing w:after="0" w:line="312" w:lineRule="auto"/>
              <w:ind w:left="288" w:hanging="288"/>
              <w:rPr>
                <w:rFonts w:ascii="Verdana" w:hAnsi="Verdana"/>
                <w:sz w:val="20"/>
                <w:szCs w:val="20"/>
                <w:lang w:val="en-GB"/>
              </w:rPr>
            </w:pPr>
            <w:r>
              <w:rPr>
                <w:rFonts w:ascii="Verdana" w:hAnsi="Verdana"/>
                <w:sz w:val="20"/>
                <w:szCs w:val="20"/>
                <w:lang w:val="en-GB"/>
              </w:rPr>
              <w:t>To review the Bologna Policy concept with the aim of further improving policy dialogue with non-EHEA countries.</w:t>
            </w:r>
          </w:p>
        </w:tc>
      </w:tr>
      <w:tr w:rsidR="00A62AE8" w:rsidRPr="00A9398D" w:rsidTr="005F15DB">
        <w:trPr>
          <w:trHeight w:val="844"/>
        </w:trPr>
        <w:tc>
          <w:tcPr>
            <w:tcW w:w="9540" w:type="dxa"/>
          </w:tcPr>
          <w:p w:rsidR="00A62AE8" w:rsidRPr="00DD68A8" w:rsidRDefault="00A62AE8" w:rsidP="005F15DB">
            <w:pPr>
              <w:rPr>
                <w:rFonts w:ascii="Verdana" w:hAnsi="Verdana"/>
                <w:b/>
                <w:bCs/>
                <w:sz w:val="20"/>
                <w:szCs w:val="20"/>
              </w:rPr>
            </w:pPr>
            <w:r w:rsidRPr="00DD68A8">
              <w:rPr>
                <w:rFonts w:ascii="Verdana" w:hAnsi="Verdana"/>
                <w:b/>
                <w:bCs/>
                <w:sz w:val="20"/>
                <w:szCs w:val="20"/>
              </w:rPr>
              <w:t xml:space="preserve">Reference to the Bucharest Communiqué </w:t>
            </w:r>
          </w:p>
          <w:p w:rsidR="00A62AE8" w:rsidRPr="00DD68A8" w:rsidRDefault="00A62AE8" w:rsidP="005F15DB">
            <w:pPr>
              <w:rPr>
                <w:rFonts w:ascii="Verdana" w:hAnsi="Verdana"/>
                <w:sz w:val="20"/>
                <w:szCs w:val="20"/>
              </w:rPr>
            </w:pPr>
            <w:r w:rsidRPr="00DD68A8">
              <w:rPr>
                <w:rFonts w:ascii="Verdana" w:hAnsi="Verdana"/>
                <w:sz w:val="20"/>
                <w:szCs w:val="20"/>
              </w:rPr>
              <w:t xml:space="preserve">Paragraphs 23-28. </w:t>
            </w:r>
          </w:p>
          <w:p w:rsidR="00A62AE8" w:rsidRPr="00AD0079" w:rsidRDefault="00A62AE8" w:rsidP="005F15DB">
            <w:pPr>
              <w:rPr>
                <w:rFonts w:ascii="Verdana" w:hAnsi="Verdana"/>
                <w:b/>
                <w:sz w:val="20"/>
                <w:szCs w:val="20"/>
                <w:lang w:val="en-GB"/>
              </w:rPr>
            </w:pPr>
            <w:r w:rsidRPr="00DD68A8">
              <w:rPr>
                <w:rFonts w:ascii="Verdana" w:hAnsi="Verdana"/>
                <w:b/>
                <w:sz w:val="20"/>
                <w:szCs w:val="20"/>
              </w:rPr>
              <w:t>Mobility Strategy 2020 for the EHEA «Mobility for better Learning»</w:t>
            </w:r>
          </w:p>
        </w:tc>
      </w:tr>
      <w:tr w:rsidR="00A62AE8" w:rsidRPr="002D6983" w:rsidTr="005F15DB">
        <w:trPr>
          <w:trHeight w:val="1374"/>
        </w:trPr>
        <w:tc>
          <w:tcPr>
            <w:tcW w:w="9540" w:type="dxa"/>
          </w:tcPr>
          <w:p w:rsidR="00A62AE8" w:rsidRPr="00A9398D" w:rsidRDefault="00A62AE8" w:rsidP="005F15DB">
            <w:pPr>
              <w:rPr>
                <w:rFonts w:ascii="Verdana" w:hAnsi="Verdana"/>
                <w:b/>
                <w:bCs/>
                <w:sz w:val="20"/>
                <w:szCs w:val="20"/>
                <w:lang w:val="en-GB"/>
              </w:rPr>
            </w:pPr>
            <w:r w:rsidRPr="00A9398D">
              <w:rPr>
                <w:rFonts w:ascii="Verdana" w:hAnsi="Verdana"/>
                <w:b/>
                <w:bCs/>
                <w:sz w:val="20"/>
                <w:szCs w:val="20"/>
                <w:lang w:val="en-GB"/>
              </w:rPr>
              <w:t xml:space="preserve">Specific tasks </w:t>
            </w:r>
          </w:p>
          <w:p w:rsidR="00A62AE8" w:rsidRDefault="00A62AE8" w:rsidP="00B07A9D">
            <w:pPr>
              <w:numPr>
                <w:ilvl w:val="0"/>
                <w:numId w:val="2"/>
              </w:numPr>
              <w:spacing w:after="0" w:line="312" w:lineRule="auto"/>
              <w:ind w:left="634" w:hanging="346"/>
              <w:jc w:val="both"/>
              <w:rPr>
                <w:rFonts w:ascii="Verdana" w:hAnsi="Verdana"/>
                <w:sz w:val="20"/>
                <w:szCs w:val="20"/>
                <w:lang w:val="en-GB"/>
              </w:rPr>
            </w:pPr>
            <w:r>
              <w:rPr>
                <w:rFonts w:ascii="Verdana" w:hAnsi="Verdana"/>
                <w:sz w:val="20"/>
                <w:szCs w:val="20"/>
                <w:lang w:val="en-GB"/>
              </w:rPr>
              <w:t>T</w:t>
            </w:r>
            <w:r w:rsidRPr="00A9398D">
              <w:rPr>
                <w:rFonts w:ascii="Verdana" w:hAnsi="Verdana"/>
                <w:sz w:val="20"/>
                <w:szCs w:val="20"/>
                <w:lang w:val="en-GB"/>
              </w:rPr>
              <w:t xml:space="preserve">o </w:t>
            </w:r>
            <w:r>
              <w:rPr>
                <w:rFonts w:ascii="Verdana" w:hAnsi="Verdana"/>
                <w:sz w:val="20"/>
                <w:szCs w:val="20"/>
                <w:lang w:val="en-GB"/>
              </w:rPr>
              <w:t>propose to the BFUG guidelines on staff mobility, including a definition of “staff” and an analysis of current barriers to staff mobility, as well as a set of potential measures to overcome them,</w:t>
            </w:r>
          </w:p>
          <w:p w:rsidR="00A62AE8" w:rsidRDefault="00A62AE8" w:rsidP="00B07A9D">
            <w:pPr>
              <w:numPr>
                <w:ilvl w:val="0"/>
                <w:numId w:val="2"/>
              </w:numPr>
              <w:spacing w:after="0" w:line="312" w:lineRule="auto"/>
              <w:ind w:left="634" w:hanging="346"/>
              <w:jc w:val="both"/>
              <w:rPr>
                <w:rFonts w:ascii="Verdana" w:hAnsi="Verdana"/>
                <w:sz w:val="20"/>
                <w:szCs w:val="20"/>
                <w:lang w:val="en-GB"/>
              </w:rPr>
            </w:pPr>
            <w:r>
              <w:rPr>
                <w:rFonts w:ascii="Verdana" w:hAnsi="Verdana"/>
                <w:sz w:val="20"/>
                <w:szCs w:val="20"/>
                <w:lang w:val="en-GB"/>
              </w:rPr>
              <w:t xml:space="preserve">To contribute to the national implementation of selected measures of the mobility strategy by facilitating peer learning, exchange of good practices and regional </w:t>
            </w:r>
            <w:r>
              <w:rPr>
                <w:rFonts w:ascii="Verdana" w:hAnsi="Verdana"/>
                <w:sz w:val="20"/>
                <w:szCs w:val="20"/>
                <w:lang w:val="en-GB"/>
              </w:rPr>
              <w:lastRenderedPageBreak/>
              <w:t>cooperation,</w:t>
            </w:r>
            <w:r w:rsidRPr="001A2CE5">
              <w:rPr>
                <w:rFonts w:ascii="Verdana" w:hAnsi="Verdana"/>
                <w:sz w:val="20"/>
                <w:szCs w:val="20"/>
                <w:lang w:val="en-GB"/>
              </w:rPr>
              <w:t xml:space="preserve"> </w:t>
            </w:r>
          </w:p>
          <w:p w:rsidR="00A62AE8" w:rsidRPr="0033263D" w:rsidRDefault="00A62AE8" w:rsidP="00B07A9D">
            <w:pPr>
              <w:numPr>
                <w:ilvl w:val="0"/>
                <w:numId w:val="2"/>
              </w:numPr>
              <w:spacing w:after="0" w:line="312" w:lineRule="auto"/>
              <w:ind w:left="634" w:hanging="346"/>
              <w:jc w:val="both"/>
              <w:rPr>
                <w:rFonts w:ascii="Verdana" w:hAnsi="Verdana"/>
                <w:sz w:val="20"/>
                <w:szCs w:val="20"/>
                <w:lang w:val="en-GB"/>
              </w:rPr>
            </w:pPr>
            <w:r w:rsidRPr="0033263D">
              <w:rPr>
                <w:rFonts w:ascii="Verdana" w:hAnsi="Verdana"/>
                <w:sz w:val="20"/>
                <w:szCs w:val="20"/>
                <w:lang w:val="en-GB"/>
              </w:rPr>
              <w:t>To examine ways of overcoming existing mobility obstacles, such as the application of transparency instruments and practices relating to joint programmes,</w:t>
            </w:r>
          </w:p>
          <w:p w:rsidR="00A62AE8" w:rsidRPr="00E25933" w:rsidRDefault="00A62AE8" w:rsidP="00B07A9D">
            <w:pPr>
              <w:numPr>
                <w:ilvl w:val="0"/>
                <w:numId w:val="2"/>
              </w:numPr>
              <w:spacing w:after="0" w:line="312" w:lineRule="auto"/>
              <w:ind w:left="634" w:hanging="346"/>
              <w:jc w:val="both"/>
              <w:rPr>
                <w:rFonts w:ascii="Verdana" w:hAnsi="Verdana"/>
                <w:sz w:val="20"/>
                <w:szCs w:val="20"/>
                <w:lang w:val="en-GB"/>
              </w:rPr>
            </w:pPr>
            <w:r>
              <w:rPr>
                <w:rFonts w:ascii="Verdana" w:hAnsi="Verdana"/>
                <w:sz w:val="20"/>
                <w:szCs w:val="20"/>
                <w:lang w:val="en-GB"/>
              </w:rPr>
              <w:t>To explore options of improving the information on study programmes and admission systems in the EHEA (measure 8 of the mobility strategy),</w:t>
            </w:r>
          </w:p>
          <w:p w:rsidR="00A62AE8" w:rsidRDefault="00A62AE8" w:rsidP="00B07A9D">
            <w:pPr>
              <w:numPr>
                <w:ilvl w:val="0"/>
                <w:numId w:val="2"/>
              </w:numPr>
              <w:spacing w:after="0" w:line="312" w:lineRule="auto"/>
              <w:ind w:left="634" w:hanging="346"/>
              <w:jc w:val="both"/>
              <w:rPr>
                <w:rFonts w:ascii="Verdana" w:hAnsi="Verdana"/>
                <w:sz w:val="20"/>
                <w:szCs w:val="20"/>
                <w:lang w:val="en-GB"/>
              </w:rPr>
            </w:pPr>
            <w:r>
              <w:rPr>
                <w:rFonts w:ascii="Verdana" w:hAnsi="Verdana"/>
                <w:sz w:val="20"/>
                <w:szCs w:val="20"/>
                <w:lang w:val="en-GB"/>
              </w:rPr>
              <w:t>To explore whether a common approach on the portability of grants, loans and scholarships is feasible and to be recommended,</w:t>
            </w:r>
          </w:p>
          <w:p w:rsidR="00A62AE8" w:rsidRDefault="00A62AE8" w:rsidP="00B07A9D">
            <w:pPr>
              <w:numPr>
                <w:ilvl w:val="0"/>
                <w:numId w:val="2"/>
              </w:numPr>
              <w:spacing w:after="0" w:line="312" w:lineRule="auto"/>
              <w:ind w:left="634" w:hanging="346"/>
              <w:jc w:val="both"/>
              <w:rPr>
                <w:rFonts w:ascii="Verdana" w:hAnsi="Verdana"/>
                <w:sz w:val="20"/>
                <w:szCs w:val="20"/>
                <w:lang w:val="en-GB"/>
              </w:rPr>
            </w:pPr>
            <w:r>
              <w:rPr>
                <w:rFonts w:ascii="Verdana" w:hAnsi="Verdana"/>
                <w:sz w:val="20"/>
                <w:szCs w:val="20"/>
                <w:lang w:val="en-GB"/>
              </w:rPr>
              <w:t>To contribute to the reporting exercise on the implementation of the mobility strategy, in particular by assisting the WG on reporting in drafting a suitable questionnaire as well as by proposing conclusions on the progress made and further action,</w:t>
            </w:r>
          </w:p>
          <w:p w:rsidR="00A62AE8" w:rsidRDefault="00A62AE8" w:rsidP="00B07A9D">
            <w:pPr>
              <w:numPr>
                <w:ilvl w:val="0"/>
                <w:numId w:val="2"/>
              </w:numPr>
              <w:spacing w:after="0" w:line="312" w:lineRule="auto"/>
              <w:ind w:left="634" w:hanging="346"/>
              <w:jc w:val="both"/>
              <w:rPr>
                <w:rFonts w:ascii="Verdana" w:hAnsi="Verdana"/>
                <w:sz w:val="20"/>
                <w:szCs w:val="20"/>
                <w:lang w:val="en-GB"/>
              </w:rPr>
            </w:pPr>
            <w:r>
              <w:rPr>
                <w:rFonts w:ascii="Verdana" w:hAnsi="Verdana"/>
                <w:sz w:val="20"/>
                <w:szCs w:val="20"/>
                <w:lang w:val="en-GB"/>
              </w:rPr>
              <w:t>To examine options of assessing and improving the international attractiveness of the EHEA inter alia by examining whether a target on mobility into the EHEA</w:t>
            </w:r>
            <w:r>
              <w:rPr>
                <w:rFonts w:ascii="Verdana" w:hAnsi="Verdana"/>
                <w:sz w:val="20"/>
                <w:szCs w:val="20"/>
              </w:rPr>
              <w:t xml:space="preserve"> is feasible and to be recommended</w:t>
            </w:r>
            <w:r>
              <w:rPr>
                <w:rFonts w:ascii="Verdana" w:hAnsi="Verdana"/>
                <w:sz w:val="20"/>
                <w:szCs w:val="20"/>
                <w:lang w:val="en-GB"/>
              </w:rPr>
              <w:t>,</w:t>
            </w:r>
          </w:p>
          <w:p w:rsidR="00A62AE8" w:rsidRDefault="00A62AE8" w:rsidP="00B07A9D">
            <w:pPr>
              <w:numPr>
                <w:ilvl w:val="0"/>
                <w:numId w:val="2"/>
              </w:numPr>
              <w:spacing w:after="0" w:line="312" w:lineRule="auto"/>
              <w:ind w:left="634" w:hanging="346"/>
              <w:jc w:val="both"/>
              <w:rPr>
                <w:rFonts w:ascii="Verdana" w:hAnsi="Verdana"/>
                <w:sz w:val="20"/>
                <w:szCs w:val="20"/>
                <w:lang w:val="en-GB"/>
              </w:rPr>
            </w:pPr>
            <w:r>
              <w:rPr>
                <w:rFonts w:ascii="Verdana" w:hAnsi="Verdana"/>
                <w:sz w:val="20"/>
                <w:szCs w:val="20"/>
                <w:lang w:val="en-GB"/>
              </w:rPr>
              <w:t>To propose to the BFUG guidelines for further internationalisation developments in the EHEA,</w:t>
            </w:r>
          </w:p>
          <w:p w:rsidR="00A62AE8" w:rsidRDefault="00A62AE8" w:rsidP="00B07A9D">
            <w:pPr>
              <w:numPr>
                <w:ilvl w:val="0"/>
                <w:numId w:val="2"/>
              </w:numPr>
              <w:spacing w:after="0" w:line="312" w:lineRule="auto"/>
              <w:ind w:left="634" w:hanging="346"/>
              <w:jc w:val="both"/>
              <w:rPr>
                <w:rFonts w:ascii="Verdana" w:hAnsi="Verdana"/>
                <w:sz w:val="20"/>
                <w:szCs w:val="20"/>
                <w:lang w:val="en-GB"/>
              </w:rPr>
            </w:pPr>
            <w:r w:rsidRPr="00707821">
              <w:rPr>
                <w:rFonts w:ascii="Verdana" w:hAnsi="Verdana"/>
                <w:sz w:val="20"/>
                <w:szCs w:val="20"/>
              </w:rPr>
              <w:t xml:space="preserve">Consider and make proposals concerning joint degrees and </w:t>
            </w:r>
            <w:proofErr w:type="spellStart"/>
            <w:r w:rsidRPr="00707821">
              <w:rPr>
                <w:rFonts w:ascii="Verdana" w:hAnsi="Verdana"/>
                <w:sz w:val="20"/>
                <w:szCs w:val="20"/>
              </w:rPr>
              <w:t>programmes</w:t>
            </w:r>
            <w:proofErr w:type="spellEnd"/>
            <w:r w:rsidRPr="00707821">
              <w:rPr>
                <w:rFonts w:ascii="Verdana" w:hAnsi="Verdana"/>
                <w:sz w:val="20"/>
                <w:szCs w:val="20"/>
              </w:rPr>
              <w:t xml:space="preserve"> on the basis of suggestion by a small ad-hoc group reporting to the working groups on </w:t>
            </w:r>
            <w:r>
              <w:rPr>
                <w:rFonts w:ascii="Verdana" w:hAnsi="Verdana"/>
                <w:sz w:val="20"/>
                <w:szCs w:val="20"/>
              </w:rPr>
              <w:t xml:space="preserve">Mobility and </w:t>
            </w:r>
            <w:proofErr w:type="spellStart"/>
            <w:r>
              <w:rPr>
                <w:rFonts w:ascii="Verdana" w:hAnsi="Verdana"/>
                <w:sz w:val="20"/>
                <w:szCs w:val="20"/>
              </w:rPr>
              <w:t>Internationalisation</w:t>
            </w:r>
            <w:proofErr w:type="spellEnd"/>
            <w:r>
              <w:rPr>
                <w:rFonts w:ascii="Verdana" w:hAnsi="Verdana"/>
                <w:sz w:val="20"/>
                <w:szCs w:val="20"/>
              </w:rPr>
              <w:t xml:space="preserve"> and </w:t>
            </w:r>
            <w:r w:rsidRPr="00707821">
              <w:rPr>
                <w:rFonts w:ascii="Verdana" w:hAnsi="Verdana"/>
                <w:sz w:val="20"/>
                <w:szCs w:val="20"/>
              </w:rPr>
              <w:t>Structural Reforms</w:t>
            </w:r>
            <w:r>
              <w:rPr>
                <w:rFonts w:ascii="Verdana" w:hAnsi="Verdana"/>
                <w:sz w:val="20"/>
                <w:szCs w:val="20"/>
              </w:rPr>
              <w:t>,</w:t>
            </w:r>
          </w:p>
          <w:p w:rsidR="00A62AE8" w:rsidRPr="00242AFA" w:rsidRDefault="00A62AE8" w:rsidP="00B07A9D">
            <w:pPr>
              <w:numPr>
                <w:ilvl w:val="0"/>
                <w:numId w:val="2"/>
              </w:numPr>
              <w:spacing w:after="0" w:line="312" w:lineRule="auto"/>
              <w:ind w:left="634" w:hanging="346"/>
              <w:jc w:val="both"/>
              <w:rPr>
                <w:rFonts w:ascii="Verdana" w:hAnsi="Verdana"/>
                <w:sz w:val="20"/>
                <w:szCs w:val="20"/>
              </w:rPr>
            </w:pPr>
            <w:r>
              <w:rPr>
                <w:rFonts w:ascii="Verdana" w:hAnsi="Verdana"/>
                <w:sz w:val="20"/>
                <w:szCs w:val="20"/>
              </w:rPr>
              <w:t xml:space="preserve">Help identify and set priorities for peer learning activities concerning mobility and </w:t>
            </w:r>
            <w:proofErr w:type="spellStart"/>
            <w:r>
              <w:rPr>
                <w:rFonts w:ascii="Verdana" w:hAnsi="Verdana"/>
                <w:sz w:val="20"/>
                <w:szCs w:val="20"/>
              </w:rPr>
              <w:t>internationalisation</w:t>
            </w:r>
            <w:proofErr w:type="spellEnd"/>
            <w:r>
              <w:rPr>
                <w:rFonts w:ascii="Verdana" w:hAnsi="Verdana"/>
                <w:sz w:val="20"/>
                <w:szCs w:val="20"/>
              </w:rPr>
              <w:t>.</w:t>
            </w:r>
          </w:p>
        </w:tc>
      </w:tr>
      <w:tr w:rsidR="00A62AE8" w:rsidRPr="002D6983" w:rsidTr="005F15DB">
        <w:trPr>
          <w:trHeight w:val="2379"/>
        </w:trPr>
        <w:tc>
          <w:tcPr>
            <w:tcW w:w="9540" w:type="dxa"/>
          </w:tcPr>
          <w:p w:rsidR="00A62AE8" w:rsidRPr="00A9398D" w:rsidRDefault="00A62AE8" w:rsidP="005F15DB">
            <w:pPr>
              <w:rPr>
                <w:rFonts w:ascii="Verdana" w:hAnsi="Verdana"/>
                <w:b/>
                <w:bCs/>
                <w:sz w:val="20"/>
                <w:szCs w:val="20"/>
                <w:lang w:val="en-GB"/>
              </w:rPr>
            </w:pPr>
            <w:r w:rsidRPr="00A9398D">
              <w:rPr>
                <w:rFonts w:ascii="Verdana" w:hAnsi="Verdana"/>
                <w:b/>
                <w:bCs/>
                <w:sz w:val="20"/>
                <w:szCs w:val="20"/>
                <w:lang w:val="en-GB"/>
              </w:rPr>
              <w:lastRenderedPageBreak/>
              <w:t xml:space="preserve">Reporting </w:t>
            </w:r>
          </w:p>
          <w:p w:rsidR="00A62AE8" w:rsidRPr="00A9398D" w:rsidRDefault="00A62AE8" w:rsidP="00A62AE8">
            <w:pPr>
              <w:jc w:val="both"/>
              <w:rPr>
                <w:rFonts w:ascii="Verdana" w:hAnsi="Verdana"/>
                <w:sz w:val="20"/>
                <w:szCs w:val="20"/>
                <w:lang w:val="en-GB"/>
              </w:rPr>
            </w:pPr>
            <w:r w:rsidRPr="00A9398D">
              <w:rPr>
                <w:rFonts w:ascii="Verdana" w:hAnsi="Verdana"/>
                <w:sz w:val="20"/>
                <w:szCs w:val="20"/>
                <w:u w:val="single"/>
                <w:lang w:val="en-GB"/>
              </w:rPr>
              <w:t>Minutes</w:t>
            </w:r>
            <w:r w:rsidRPr="00A9398D">
              <w:rPr>
                <w:rFonts w:ascii="Verdana" w:hAnsi="Verdana"/>
                <w:sz w:val="20"/>
                <w:szCs w:val="20"/>
                <w:lang w:val="en-GB"/>
              </w:rPr>
              <w:t xml:space="preserve"> of working group meetings will be made available to </w:t>
            </w:r>
            <w:r>
              <w:rPr>
                <w:rFonts w:ascii="Verdana" w:hAnsi="Verdana"/>
                <w:sz w:val="20"/>
                <w:szCs w:val="20"/>
                <w:lang w:val="en-GB"/>
              </w:rPr>
              <w:t xml:space="preserve">the </w:t>
            </w:r>
            <w:r w:rsidRPr="00A9398D">
              <w:rPr>
                <w:rFonts w:ascii="Verdana" w:hAnsi="Verdana"/>
                <w:sz w:val="20"/>
                <w:szCs w:val="20"/>
                <w:lang w:val="en-GB"/>
              </w:rPr>
              <w:t xml:space="preserve">BFUG </w:t>
            </w:r>
            <w:r>
              <w:rPr>
                <w:rFonts w:ascii="Verdana" w:hAnsi="Verdana"/>
                <w:sz w:val="20"/>
                <w:szCs w:val="20"/>
                <w:lang w:val="en-GB"/>
              </w:rPr>
              <w:t>i</w:t>
            </w:r>
            <w:r w:rsidRPr="00A9398D">
              <w:rPr>
                <w:rFonts w:ascii="Verdana" w:hAnsi="Verdana"/>
                <w:sz w:val="20"/>
                <w:szCs w:val="20"/>
                <w:lang w:val="en-GB"/>
              </w:rPr>
              <w:t xml:space="preserve">n the </w:t>
            </w:r>
            <w:r>
              <w:rPr>
                <w:rFonts w:ascii="Verdana" w:hAnsi="Verdana"/>
                <w:sz w:val="20"/>
                <w:szCs w:val="20"/>
                <w:lang w:val="en-GB"/>
              </w:rPr>
              <w:t>restricted</w:t>
            </w:r>
            <w:r w:rsidRPr="00A9398D">
              <w:rPr>
                <w:rFonts w:ascii="Verdana" w:hAnsi="Verdana"/>
                <w:sz w:val="20"/>
                <w:szCs w:val="20"/>
                <w:lang w:val="en-GB"/>
              </w:rPr>
              <w:t xml:space="preserve"> </w:t>
            </w:r>
            <w:r>
              <w:rPr>
                <w:rFonts w:ascii="Verdana" w:hAnsi="Verdana"/>
                <w:sz w:val="20"/>
                <w:szCs w:val="20"/>
                <w:lang w:val="en-GB"/>
              </w:rPr>
              <w:t xml:space="preserve">area </w:t>
            </w:r>
            <w:r w:rsidRPr="00A9398D">
              <w:rPr>
                <w:rFonts w:ascii="Verdana" w:hAnsi="Verdana"/>
                <w:sz w:val="20"/>
                <w:szCs w:val="20"/>
                <w:lang w:val="en-GB"/>
              </w:rPr>
              <w:t>of the website (by the Bologna Secretariat).</w:t>
            </w:r>
          </w:p>
          <w:p w:rsidR="00A62AE8" w:rsidRPr="00A9398D" w:rsidRDefault="00A62AE8" w:rsidP="00A62AE8">
            <w:pPr>
              <w:jc w:val="both"/>
              <w:rPr>
                <w:rFonts w:ascii="Verdana" w:hAnsi="Verdana"/>
                <w:sz w:val="20"/>
                <w:szCs w:val="20"/>
                <w:lang w:val="en-GB"/>
              </w:rPr>
            </w:pPr>
            <w:r w:rsidRPr="00A9398D">
              <w:rPr>
                <w:rFonts w:ascii="Verdana" w:hAnsi="Verdana"/>
                <w:sz w:val="20"/>
                <w:szCs w:val="20"/>
                <w:u w:val="single"/>
                <w:lang w:val="en-GB"/>
              </w:rPr>
              <w:t>BFUG should also receive regular reports and updates</w:t>
            </w:r>
            <w:r w:rsidRPr="00A9398D">
              <w:rPr>
                <w:rFonts w:ascii="Verdana" w:hAnsi="Verdana"/>
                <w:sz w:val="20"/>
                <w:szCs w:val="20"/>
                <w:lang w:val="en-GB"/>
              </w:rPr>
              <w:t>.</w:t>
            </w:r>
          </w:p>
          <w:p w:rsidR="00A62AE8" w:rsidRPr="00A9398D" w:rsidRDefault="00A62AE8" w:rsidP="00A62AE8">
            <w:pPr>
              <w:jc w:val="both"/>
              <w:rPr>
                <w:rFonts w:ascii="Verdana" w:hAnsi="Verdana"/>
                <w:sz w:val="20"/>
                <w:szCs w:val="20"/>
                <w:lang w:val="en-GB"/>
              </w:rPr>
            </w:pPr>
            <w:r w:rsidRPr="00A9398D">
              <w:rPr>
                <w:rFonts w:ascii="Verdana" w:hAnsi="Verdana"/>
                <w:sz w:val="20"/>
                <w:szCs w:val="20"/>
                <w:lang w:val="en-GB"/>
              </w:rPr>
              <w:t xml:space="preserve">To allow for good communication with </w:t>
            </w:r>
            <w:r>
              <w:rPr>
                <w:rFonts w:ascii="Verdana" w:hAnsi="Verdana"/>
                <w:sz w:val="20"/>
                <w:szCs w:val="20"/>
                <w:lang w:val="en-GB"/>
              </w:rPr>
              <w:t xml:space="preserve">the </w:t>
            </w:r>
            <w:r w:rsidRPr="00A9398D">
              <w:rPr>
                <w:rFonts w:ascii="Verdana" w:hAnsi="Verdana"/>
                <w:sz w:val="20"/>
                <w:szCs w:val="20"/>
                <w:lang w:val="en-GB"/>
              </w:rPr>
              <w:t>BFUG as a whole and for the necessary consultations, progress reports should be submitted at least two weeks before each BFUG meeting. In between BFUG meetings, updates can be circulated by the Bologna Secretariat via e-mail.</w:t>
            </w:r>
          </w:p>
          <w:p w:rsidR="00A62AE8" w:rsidRPr="00A9398D" w:rsidRDefault="00A62AE8" w:rsidP="00A62AE8">
            <w:pPr>
              <w:jc w:val="both"/>
              <w:rPr>
                <w:rFonts w:ascii="Verdana" w:hAnsi="Verdana"/>
                <w:sz w:val="20"/>
                <w:szCs w:val="20"/>
                <w:lang w:val="en-GB"/>
              </w:rPr>
            </w:pPr>
            <w:r w:rsidRPr="001D45D5">
              <w:rPr>
                <w:rFonts w:ascii="Verdana" w:hAnsi="Verdana"/>
                <w:sz w:val="20"/>
                <w:szCs w:val="20"/>
                <w:lang w:val="en-GB"/>
              </w:rPr>
              <w:t>The working group may focu</w:t>
            </w:r>
            <w:r>
              <w:rPr>
                <w:rFonts w:ascii="Verdana" w:hAnsi="Verdana"/>
                <w:sz w:val="20"/>
                <w:szCs w:val="20"/>
                <w:lang w:val="en-GB"/>
              </w:rPr>
              <w:t xml:space="preserve">s its activities on a selection </w:t>
            </w:r>
            <w:r w:rsidRPr="001D45D5">
              <w:rPr>
                <w:rFonts w:ascii="Verdana" w:hAnsi="Verdana"/>
                <w:sz w:val="20"/>
                <w:szCs w:val="20"/>
                <w:lang w:val="en-GB"/>
              </w:rPr>
              <w:t>of the above mentioned tasks if it becomes apparent during the working period that some of the tasks do not have the potential to be pursued. In this case the Co-Chairs will inform the BFUG.</w:t>
            </w:r>
          </w:p>
        </w:tc>
      </w:tr>
      <w:tr w:rsidR="00A62AE8" w:rsidRPr="002D6983" w:rsidTr="005F15DB">
        <w:trPr>
          <w:trHeight w:val="1339"/>
        </w:trPr>
        <w:tc>
          <w:tcPr>
            <w:tcW w:w="9540" w:type="dxa"/>
          </w:tcPr>
          <w:p w:rsidR="00A62AE8" w:rsidRDefault="00A62AE8" w:rsidP="005F15DB">
            <w:pPr>
              <w:rPr>
                <w:rFonts w:ascii="Verdana" w:hAnsi="Verdana"/>
                <w:sz w:val="20"/>
                <w:szCs w:val="20"/>
                <w:lang w:val="en-GB"/>
              </w:rPr>
            </w:pPr>
            <w:r w:rsidRPr="00A9398D">
              <w:rPr>
                <w:rFonts w:ascii="Verdana" w:hAnsi="Verdana"/>
                <w:b/>
                <w:bCs/>
                <w:sz w:val="20"/>
                <w:szCs w:val="20"/>
                <w:lang w:val="en-GB"/>
              </w:rPr>
              <w:t xml:space="preserve">Meeting schedule </w:t>
            </w:r>
          </w:p>
          <w:p w:rsidR="00A62AE8" w:rsidRDefault="00A62AE8" w:rsidP="00B07A9D">
            <w:pPr>
              <w:pStyle w:val="ListParagraph"/>
              <w:numPr>
                <w:ilvl w:val="0"/>
                <w:numId w:val="36"/>
              </w:numPr>
              <w:rPr>
                <w:rFonts w:ascii="Verdana" w:hAnsi="Verdana"/>
                <w:sz w:val="20"/>
                <w:szCs w:val="20"/>
                <w:lang w:val="en-GB"/>
              </w:rPr>
            </w:pPr>
            <w:r>
              <w:rPr>
                <w:rFonts w:ascii="Verdana" w:hAnsi="Verdana"/>
                <w:sz w:val="20"/>
                <w:szCs w:val="20"/>
                <w:lang w:val="en-GB"/>
              </w:rPr>
              <w:t>6-7 December, 2013. Berlin, Germany.</w:t>
            </w:r>
          </w:p>
          <w:p w:rsidR="00A62AE8" w:rsidRDefault="00A62AE8" w:rsidP="00B07A9D">
            <w:pPr>
              <w:pStyle w:val="ListParagraph"/>
              <w:numPr>
                <w:ilvl w:val="0"/>
                <w:numId w:val="36"/>
              </w:numPr>
              <w:rPr>
                <w:rFonts w:ascii="Verdana" w:hAnsi="Verdana"/>
                <w:sz w:val="20"/>
                <w:szCs w:val="20"/>
                <w:lang w:val="en-GB"/>
              </w:rPr>
            </w:pPr>
            <w:r>
              <w:rPr>
                <w:rFonts w:ascii="Verdana" w:hAnsi="Verdana"/>
                <w:sz w:val="20"/>
                <w:szCs w:val="20"/>
                <w:lang w:val="en-GB"/>
              </w:rPr>
              <w:t>15-16 April, 2013. Berlin, Germany.</w:t>
            </w:r>
          </w:p>
          <w:p w:rsidR="00A62AE8" w:rsidRPr="00A62AE8" w:rsidRDefault="00A62AE8" w:rsidP="00B07A9D">
            <w:pPr>
              <w:pStyle w:val="ListParagraph"/>
              <w:numPr>
                <w:ilvl w:val="0"/>
                <w:numId w:val="36"/>
              </w:numPr>
              <w:rPr>
                <w:rFonts w:ascii="Verdana" w:hAnsi="Verdana"/>
                <w:sz w:val="20"/>
                <w:szCs w:val="20"/>
                <w:lang w:val="en-GB"/>
              </w:rPr>
            </w:pPr>
            <w:r>
              <w:rPr>
                <w:rFonts w:ascii="Verdana" w:hAnsi="Verdana"/>
                <w:sz w:val="20"/>
                <w:szCs w:val="20"/>
                <w:lang w:val="en-GB"/>
              </w:rPr>
              <w:t>21 October, 2013. Madrid, Spain.</w:t>
            </w:r>
          </w:p>
        </w:tc>
      </w:tr>
      <w:tr w:rsidR="00A62AE8" w:rsidRPr="002D6983" w:rsidTr="005F15DB">
        <w:trPr>
          <w:trHeight w:val="1084"/>
        </w:trPr>
        <w:tc>
          <w:tcPr>
            <w:tcW w:w="9540" w:type="dxa"/>
          </w:tcPr>
          <w:p w:rsidR="00A62AE8" w:rsidRPr="00A9398D" w:rsidRDefault="00A62AE8" w:rsidP="005F15DB">
            <w:pPr>
              <w:rPr>
                <w:rFonts w:ascii="Verdana" w:hAnsi="Verdana"/>
                <w:sz w:val="20"/>
                <w:szCs w:val="20"/>
                <w:lang w:val="en-GB"/>
              </w:rPr>
            </w:pPr>
            <w:r w:rsidRPr="00A9398D">
              <w:rPr>
                <w:rFonts w:ascii="Verdana" w:hAnsi="Verdana"/>
                <w:b/>
                <w:bCs/>
                <w:sz w:val="20"/>
                <w:szCs w:val="20"/>
                <w:lang w:val="en-GB"/>
              </w:rPr>
              <w:lastRenderedPageBreak/>
              <w:t>Liaison with other action lines</w:t>
            </w:r>
            <w:r w:rsidRPr="00A9398D">
              <w:rPr>
                <w:rFonts w:ascii="Verdana" w:hAnsi="Verdana"/>
                <w:sz w:val="20"/>
                <w:szCs w:val="20"/>
                <w:lang w:val="en-GB"/>
              </w:rPr>
              <w:t xml:space="preserve"> </w:t>
            </w:r>
          </w:p>
          <w:p w:rsidR="00A62AE8" w:rsidRPr="00A9398D" w:rsidRDefault="00A62AE8" w:rsidP="005F15DB">
            <w:pPr>
              <w:rPr>
                <w:rFonts w:ascii="Verdana" w:hAnsi="Verdana"/>
                <w:sz w:val="20"/>
                <w:szCs w:val="20"/>
                <w:lang w:val="en-GB"/>
              </w:rPr>
            </w:pPr>
            <w:r w:rsidRPr="00A9398D">
              <w:rPr>
                <w:rFonts w:ascii="Verdana" w:hAnsi="Verdana"/>
                <w:sz w:val="20"/>
                <w:szCs w:val="20"/>
                <w:lang w:val="en-GB"/>
              </w:rPr>
              <w:t>Cooperation with other working groups, in particular those on reporting on the implementation of the Bologna Process</w:t>
            </w:r>
            <w:r>
              <w:rPr>
                <w:rFonts w:ascii="Verdana" w:hAnsi="Verdana"/>
                <w:sz w:val="20"/>
                <w:szCs w:val="20"/>
                <w:lang w:val="en-GB"/>
              </w:rPr>
              <w:t>, on the</w:t>
            </w:r>
            <w:r w:rsidRPr="00A9398D">
              <w:rPr>
                <w:rFonts w:ascii="Verdana" w:hAnsi="Verdana"/>
                <w:sz w:val="20"/>
                <w:szCs w:val="20"/>
                <w:lang w:val="en-GB"/>
              </w:rPr>
              <w:t xml:space="preserve"> social dimension</w:t>
            </w:r>
            <w:r>
              <w:rPr>
                <w:rFonts w:ascii="Verdana" w:hAnsi="Verdana"/>
                <w:sz w:val="20"/>
                <w:szCs w:val="20"/>
                <w:lang w:val="en-GB"/>
              </w:rPr>
              <w:t xml:space="preserve"> and life-long learning as well as</w:t>
            </w:r>
            <w:r w:rsidRPr="00A9398D">
              <w:rPr>
                <w:rFonts w:ascii="Verdana" w:hAnsi="Verdana"/>
                <w:sz w:val="20"/>
                <w:szCs w:val="20"/>
                <w:lang w:val="en-GB"/>
              </w:rPr>
              <w:t xml:space="preserve"> </w:t>
            </w:r>
            <w:r>
              <w:rPr>
                <w:rFonts w:ascii="Verdana" w:hAnsi="Verdana"/>
                <w:sz w:val="20"/>
                <w:szCs w:val="20"/>
                <w:lang w:val="en-GB"/>
              </w:rPr>
              <w:t>the structural working group</w:t>
            </w:r>
            <w:r w:rsidRPr="00A9398D">
              <w:rPr>
                <w:rFonts w:ascii="Verdana" w:hAnsi="Verdana"/>
                <w:sz w:val="20"/>
                <w:szCs w:val="20"/>
                <w:lang w:val="en-GB"/>
              </w:rPr>
              <w:t xml:space="preserve"> will be organized in the relevant context.</w:t>
            </w:r>
          </w:p>
        </w:tc>
      </w:tr>
      <w:tr w:rsidR="00A62AE8" w:rsidRPr="00A9398D" w:rsidTr="005F15DB">
        <w:trPr>
          <w:trHeight w:val="844"/>
        </w:trPr>
        <w:tc>
          <w:tcPr>
            <w:tcW w:w="9540" w:type="dxa"/>
          </w:tcPr>
          <w:p w:rsidR="00A62AE8" w:rsidRPr="00A9398D" w:rsidRDefault="00A62AE8" w:rsidP="005F15DB">
            <w:pPr>
              <w:rPr>
                <w:rFonts w:ascii="Verdana" w:hAnsi="Verdana"/>
                <w:b/>
                <w:bCs/>
                <w:sz w:val="20"/>
                <w:szCs w:val="20"/>
                <w:lang w:val="en-GB"/>
              </w:rPr>
            </w:pPr>
            <w:r w:rsidRPr="00A9398D">
              <w:rPr>
                <w:rFonts w:ascii="Verdana" w:hAnsi="Verdana"/>
                <w:b/>
                <w:bCs/>
                <w:sz w:val="20"/>
                <w:szCs w:val="20"/>
                <w:lang w:val="en-GB"/>
              </w:rPr>
              <w:t xml:space="preserve">Additional remarks </w:t>
            </w:r>
          </w:p>
          <w:p w:rsidR="00A62AE8" w:rsidRPr="00A9398D" w:rsidRDefault="00A62AE8" w:rsidP="005F15DB">
            <w:pPr>
              <w:rPr>
                <w:rFonts w:ascii="Verdana" w:hAnsi="Verdana"/>
                <w:b/>
                <w:bCs/>
                <w:sz w:val="20"/>
                <w:szCs w:val="20"/>
                <w:lang w:val="en-GB"/>
              </w:rPr>
            </w:pPr>
          </w:p>
        </w:tc>
      </w:tr>
    </w:tbl>
    <w:p w:rsidR="00A62AE8" w:rsidRDefault="00A62AE8" w:rsidP="00A62AE8"/>
    <w:p w:rsidR="00A62AE8" w:rsidRPr="00012D0D" w:rsidRDefault="00A62AE8" w:rsidP="00A62AE8">
      <w:pPr>
        <w:spacing w:after="0" w:line="312" w:lineRule="auto"/>
        <w:rPr>
          <w:rFonts w:ascii="Verdana" w:hAnsi="Verdana"/>
          <w:b/>
          <w:lang w:val="en-GB"/>
        </w:rPr>
      </w:pPr>
    </w:p>
    <w:p w:rsidR="00E33D68" w:rsidRDefault="00012D0D" w:rsidP="00012D0D">
      <w:pPr>
        <w:spacing w:after="0" w:line="312" w:lineRule="auto"/>
        <w:rPr>
          <w:rFonts w:ascii="Verdana" w:hAnsi="Verdana"/>
          <w:b/>
          <w:lang w:val="en-GB"/>
        </w:rPr>
      </w:pPr>
      <w:r w:rsidRPr="00012D0D">
        <w:rPr>
          <w:rFonts w:ascii="Verdana" w:hAnsi="Verdana"/>
          <w:b/>
          <w:lang w:val="en-GB"/>
        </w:rPr>
        <w:t>ANNEX II: List of members of the M&amp;I WG</w:t>
      </w:r>
    </w:p>
    <w:p w:rsidR="00EA43AB" w:rsidRDefault="00EA43AB" w:rsidP="00012D0D">
      <w:pPr>
        <w:spacing w:after="0" w:line="312" w:lineRule="auto"/>
        <w:rPr>
          <w:rFonts w:ascii="Verdana" w:hAnsi="Verdana"/>
          <w:b/>
          <w:lang w:val="en-GB"/>
        </w:rPr>
      </w:pPr>
    </w:p>
    <w:tbl>
      <w:tblPr>
        <w:tblW w:w="0" w:type="auto"/>
        <w:tblCellMar>
          <w:left w:w="0" w:type="dxa"/>
          <w:right w:w="0" w:type="dxa"/>
        </w:tblCellMar>
        <w:tblLook w:val="04A0" w:firstRow="1" w:lastRow="0" w:firstColumn="1" w:lastColumn="0" w:noHBand="0" w:noVBand="1"/>
      </w:tblPr>
      <w:tblGrid>
        <w:gridCol w:w="3446"/>
        <w:gridCol w:w="3446"/>
      </w:tblGrid>
      <w:tr w:rsidR="00EE55B5" w:rsidRPr="00FC3969" w:rsidTr="005F15DB">
        <w:trPr>
          <w:trHeight w:val="255"/>
        </w:trPr>
        <w:tc>
          <w:tcPr>
            <w:tcW w:w="6892" w:type="dxa"/>
            <w:gridSpan w:val="2"/>
            <w:tcMar>
              <w:top w:w="0" w:type="dxa"/>
              <w:left w:w="45" w:type="dxa"/>
              <w:bottom w:w="0" w:type="dxa"/>
              <w:right w:w="45" w:type="dxa"/>
            </w:tcMar>
            <w:vAlign w:val="center"/>
          </w:tcPr>
          <w:p w:rsidR="00EE55B5" w:rsidRPr="00FC3969" w:rsidRDefault="00EE55B5" w:rsidP="005F15DB">
            <w:pPr>
              <w:spacing w:after="0" w:line="240" w:lineRule="auto"/>
              <w:jc w:val="center"/>
              <w:rPr>
                <w:rFonts w:ascii="Verdana" w:eastAsia="Times New Roman" w:hAnsi="Verdana" w:cs="Arial"/>
                <w:b/>
                <w:color w:val="000000"/>
              </w:rPr>
            </w:pPr>
          </w:p>
          <w:p w:rsidR="00EE55B5" w:rsidRPr="00FC3969" w:rsidRDefault="00EE55B5" w:rsidP="005F15DB">
            <w:pPr>
              <w:spacing w:after="0" w:line="240" w:lineRule="auto"/>
              <w:rPr>
                <w:rFonts w:ascii="Verdana" w:eastAsia="Times New Roman" w:hAnsi="Verdana" w:cs="Arial"/>
                <w:b/>
                <w:color w:val="000000"/>
              </w:rPr>
            </w:pPr>
            <w:r w:rsidRPr="00FC3969">
              <w:rPr>
                <w:rFonts w:ascii="Verdana" w:eastAsia="Times New Roman" w:hAnsi="Verdana" w:cs="Arial"/>
                <w:b/>
                <w:color w:val="000000"/>
              </w:rPr>
              <w:t>Co-Chairs of the M&amp;I WG</w:t>
            </w:r>
          </w:p>
          <w:p w:rsidR="00EE55B5" w:rsidRPr="00FC3969" w:rsidRDefault="00EE55B5" w:rsidP="005F15DB">
            <w:pPr>
              <w:spacing w:after="0" w:line="240" w:lineRule="auto"/>
              <w:jc w:val="center"/>
              <w:rPr>
                <w:rFonts w:ascii="Verdana" w:eastAsia="Times New Roman" w:hAnsi="Verdana" w:cs="Arial"/>
                <w:color w:val="000000"/>
                <w:sz w:val="20"/>
                <w:szCs w:val="20"/>
              </w:rPr>
            </w:pPr>
          </w:p>
        </w:tc>
      </w:tr>
      <w:tr w:rsidR="00EE55B5" w:rsidRPr="00FC3969" w:rsidTr="005F15DB">
        <w:trPr>
          <w:trHeight w:val="255"/>
        </w:trPr>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color w:val="000000"/>
                <w:sz w:val="20"/>
                <w:szCs w:val="20"/>
              </w:rPr>
            </w:pPr>
            <w:r w:rsidRPr="00FC3969">
              <w:rPr>
                <w:rFonts w:ascii="Verdana" w:eastAsia="Times New Roman" w:hAnsi="Verdana" w:cs="Arial"/>
                <w:color w:val="000000"/>
                <w:sz w:val="20"/>
                <w:szCs w:val="20"/>
              </w:rPr>
              <w:t>Austria</w:t>
            </w:r>
          </w:p>
        </w:tc>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color w:val="000000"/>
                <w:sz w:val="20"/>
                <w:szCs w:val="20"/>
              </w:rPr>
            </w:pPr>
            <w:r w:rsidRPr="00FC3969">
              <w:rPr>
                <w:rFonts w:ascii="Verdana" w:eastAsia="Times New Roman" w:hAnsi="Verdana" w:cs="Arial"/>
                <w:color w:val="000000"/>
                <w:sz w:val="20"/>
                <w:szCs w:val="20"/>
              </w:rPr>
              <w:t xml:space="preserve">Gottfried </w:t>
            </w:r>
            <w:proofErr w:type="spellStart"/>
            <w:r w:rsidRPr="00FC3969">
              <w:rPr>
                <w:rFonts w:ascii="Verdana" w:eastAsia="Times New Roman" w:hAnsi="Verdana" w:cs="Arial"/>
                <w:color w:val="000000"/>
                <w:sz w:val="20"/>
                <w:szCs w:val="20"/>
              </w:rPr>
              <w:t>Bacher</w:t>
            </w:r>
            <w:proofErr w:type="spellEnd"/>
          </w:p>
        </w:tc>
      </w:tr>
      <w:tr w:rsidR="00EE55B5" w:rsidRPr="00FC3969" w:rsidTr="005F15DB">
        <w:trPr>
          <w:trHeight w:val="255"/>
        </w:trPr>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color w:val="000000"/>
                <w:sz w:val="20"/>
                <w:szCs w:val="20"/>
              </w:rPr>
            </w:pPr>
            <w:r w:rsidRPr="00FC3969">
              <w:rPr>
                <w:rFonts w:ascii="Verdana" w:eastAsia="Times New Roman" w:hAnsi="Verdana" w:cs="Arial"/>
                <w:color w:val="000000"/>
                <w:sz w:val="20"/>
                <w:szCs w:val="20"/>
              </w:rPr>
              <w:t>Germany</w:t>
            </w:r>
          </w:p>
        </w:tc>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color w:val="000000"/>
                <w:sz w:val="20"/>
                <w:szCs w:val="20"/>
              </w:rPr>
            </w:pPr>
            <w:r w:rsidRPr="00FC3969">
              <w:rPr>
                <w:rFonts w:ascii="Verdana" w:eastAsia="Times New Roman" w:hAnsi="Verdana" w:cs="Arial"/>
                <w:color w:val="000000"/>
                <w:sz w:val="20"/>
                <w:szCs w:val="20"/>
              </w:rPr>
              <w:t xml:space="preserve">Peter </w:t>
            </w:r>
            <w:proofErr w:type="spellStart"/>
            <w:r w:rsidRPr="00FC3969">
              <w:rPr>
                <w:rFonts w:ascii="Verdana" w:eastAsia="Times New Roman" w:hAnsi="Verdana" w:cs="Arial"/>
                <w:color w:val="000000"/>
                <w:sz w:val="20"/>
                <w:szCs w:val="20"/>
              </w:rPr>
              <w:t>Greisler</w:t>
            </w:r>
            <w:proofErr w:type="spellEnd"/>
          </w:p>
        </w:tc>
      </w:tr>
      <w:tr w:rsidR="00EE55B5" w:rsidRPr="00FC3969" w:rsidTr="005F15DB">
        <w:trPr>
          <w:trHeight w:val="255"/>
        </w:trPr>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color w:val="000000"/>
                <w:sz w:val="20"/>
                <w:szCs w:val="20"/>
              </w:rPr>
            </w:pPr>
            <w:r w:rsidRPr="00FC3969">
              <w:rPr>
                <w:rFonts w:ascii="Verdana" w:eastAsia="Times New Roman" w:hAnsi="Verdana" w:cs="Arial"/>
                <w:color w:val="000000"/>
                <w:sz w:val="20"/>
                <w:szCs w:val="20"/>
              </w:rPr>
              <w:t>Spain</w:t>
            </w:r>
          </w:p>
        </w:tc>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color w:val="000000"/>
                <w:sz w:val="20"/>
                <w:szCs w:val="20"/>
              </w:rPr>
            </w:pPr>
            <w:r w:rsidRPr="00FC3969">
              <w:rPr>
                <w:rFonts w:ascii="Verdana" w:eastAsia="Times New Roman" w:hAnsi="Verdana" w:cs="Arial"/>
                <w:color w:val="000000"/>
                <w:sz w:val="20"/>
                <w:szCs w:val="20"/>
              </w:rPr>
              <w:t>Luis Delgado</w:t>
            </w:r>
          </w:p>
        </w:tc>
      </w:tr>
      <w:tr w:rsidR="00EE55B5" w:rsidRPr="00FC3969" w:rsidTr="005F15DB">
        <w:trPr>
          <w:trHeight w:val="255"/>
        </w:trPr>
        <w:tc>
          <w:tcPr>
            <w:tcW w:w="6892" w:type="dxa"/>
            <w:gridSpan w:val="2"/>
            <w:tcMar>
              <w:top w:w="0" w:type="dxa"/>
              <w:left w:w="45" w:type="dxa"/>
              <w:bottom w:w="0" w:type="dxa"/>
              <w:right w:w="45" w:type="dxa"/>
            </w:tcMar>
            <w:vAlign w:val="bottom"/>
          </w:tcPr>
          <w:p w:rsidR="00EE55B5" w:rsidRPr="00FC3969" w:rsidRDefault="00EE55B5" w:rsidP="005F15DB">
            <w:pPr>
              <w:spacing w:after="0" w:line="240" w:lineRule="auto"/>
              <w:rPr>
                <w:rFonts w:ascii="Verdana" w:eastAsia="Times New Roman" w:hAnsi="Verdana" w:cs="Arial"/>
                <w:b/>
                <w:color w:val="000000"/>
              </w:rPr>
            </w:pPr>
          </w:p>
          <w:p w:rsidR="00EE55B5" w:rsidRPr="00FC3969" w:rsidRDefault="00EE55B5" w:rsidP="005F15DB">
            <w:pPr>
              <w:spacing w:after="0" w:line="240" w:lineRule="auto"/>
              <w:rPr>
                <w:rFonts w:ascii="Verdana" w:eastAsia="Times New Roman" w:hAnsi="Verdana" w:cs="Arial"/>
                <w:b/>
                <w:color w:val="000000"/>
              </w:rPr>
            </w:pPr>
            <w:r w:rsidRPr="00FC3969">
              <w:rPr>
                <w:rFonts w:ascii="Verdana" w:eastAsia="Times New Roman" w:hAnsi="Verdana" w:cs="Arial"/>
                <w:b/>
                <w:color w:val="000000"/>
              </w:rPr>
              <w:t>Members of the M&amp;I WG</w:t>
            </w:r>
          </w:p>
          <w:p w:rsidR="00EE55B5" w:rsidRPr="00FC3969" w:rsidRDefault="00EE55B5" w:rsidP="005F15DB">
            <w:pPr>
              <w:spacing w:after="0" w:line="240" w:lineRule="auto"/>
              <w:rPr>
                <w:rFonts w:ascii="Verdana" w:eastAsia="Times New Roman" w:hAnsi="Verdana" w:cs="Arial"/>
                <w:b/>
                <w:color w:val="000000"/>
              </w:rPr>
            </w:pPr>
          </w:p>
        </w:tc>
      </w:tr>
      <w:tr w:rsidR="00EE55B5" w:rsidRPr="00FC3969" w:rsidTr="005F15DB">
        <w:trPr>
          <w:trHeight w:val="255"/>
        </w:trPr>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color w:val="000000"/>
                <w:sz w:val="20"/>
                <w:szCs w:val="20"/>
              </w:rPr>
            </w:pPr>
            <w:r w:rsidRPr="00FC3969">
              <w:rPr>
                <w:rFonts w:ascii="Verdana" w:eastAsia="Times New Roman" w:hAnsi="Verdana" w:cs="Arial"/>
                <w:color w:val="000000"/>
                <w:sz w:val="20"/>
                <w:szCs w:val="20"/>
              </w:rPr>
              <w:t>Armenia</w:t>
            </w:r>
          </w:p>
        </w:tc>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color w:val="000000"/>
                <w:sz w:val="20"/>
                <w:szCs w:val="20"/>
              </w:rPr>
            </w:pPr>
            <w:r w:rsidRPr="00FC3969">
              <w:rPr>
                <w:rFonts w:ascii="Verdana" w:eastAsia="Times New Roman" w:hAnsi="Verdana" w:cs="Arial"/>
                <w:color w:val="000000"/>
                <w:sz w:val="20"/>
                <w:szCs w:val="20"/>
              </w:rPr>
              <w:t xml:space="preserve">Angelina </w:t>
            </w:r>
            <w:proofErr w:type="spellStart"/>
            <w:r w:rsidRPr="00FC3969">
              <w:rPr>
                <w:rFonts w:ascii="Verdana" w:eastAsia="Times New Roman" w:hAnsi="Verdana" w:cs="Arial"/>
                <w:color w:val="000000"/>
                <w:sz w:val="20"/>
                <w:szCs w:val="20"/>
              </w:rPr>
              <w:t>Hovhanissyan</w:t>
            </w:r>
            <w:proofErr w:type="spellEnd"/>
          </w:p>
        </w:tc>
      </w:tr>
      <w:tr w:rsidR="00EE55B5" w:rsidRPr="00FC3969" w:rsidTr="005F15DB">
        <w:trPr>
          <w:trHeight w:val="255"/>
        </w:trPr>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color w:val="000000"/>
                <w:sz w:val="20"/>
                <w:szCs w:val="20"/>
              </w:rPr>
            </w:pPr>
            <w:r w:rsidRPr="00FC3969">
              <w:rPr>
                <w:rFonts w:ascii="Verdana" w:eastAsia="Times New Roman" w:hAnsi="Verdana" w:cs="Arial"/>
                <w:color w:val="000000"/>
                <w:sz w:val="20"/>
                <w:szCs w:val="20"/>
              </w:rPr>
              <w:t>Belgium/Flemish Community</w:t>
            </w:r>
          </w:p>
        </w:tc>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color w:val="000000"/>
                <w:sz w:val="20"/>
                <w:szCs w:val="20"/>
              </w:rPr>
            </w:pPr>
            <w:proofErr w:type="spellStart"/>
            <w:r w:rsidRPr="00FC3969">
              <w:rPr>
                <w:rFonts w:ascii="Verdana" w:eastAsia="Times New Roman" w:hAnsi="Verdana" w:cs="Arial"/>
                <w:color w:val="000000"/>
                <w:sz w:val="20"/>
                <w:szCs w:val="20"/>
              </w:rPr>
              <w:t>Soenen</w:t>
            </w:r>
            <w:proofErr w:type="spellEnd"/>
            <w:r w:rsidRPr="00FC3969">
              <w:rPr>
                <w:rFonts w:ascii="Verdana" w:eastAsia="Times New Roman" w:hAnsi="Verdana" w:cs="Arial"/>
                <w:color w:val="000000"/>
                <w:sz w:val="20"/>
                <w:szCs w:val="20"/>
              </w:rPr>
              <w:t xml:space="preserve"> </w:t>
            </w:r>
            <w:proofErr w:type="spellStart"/>
            <w:r w:rsidRPr="00FC3969">
              <w:rPr>
                <w:rFonts w:ascii="Verdana" w:eastAsia="Times New Roman" w:hAnsi="Verdana" w:cs="Arial"/>
                <w:color w:val="000000"/>
                <w:sz w:val="20"/>
                <w:szCs w:val="20"/>
              </w:rPr>
              <w:t>Magalie</w:t>
            </w:r>
            <w:proofErr w:type="spellEnd"/>
          </w:p>
        </w:tc>
      </w:tr>
      <w:tr w:rsidR="00EE55B5" w:rsidRPr="00FC3969" w:rsidTr="005F15DB">
        <w:trPr>
          <w:trHeight w:val="255"/>
        </w:trPr>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color w:val="000000"/>
                <w:sz w:val="20"/>
                <w:szCs w:val="20"/>
              </w:rPr>
            </w:pPr>
            <w:r w:rsidRPr="00FC3969">
              <w:rPr>
                <w:rFonts w:ascii="Verdana" w:eastAsia="Times New Roman" w:hAnsi="Verdana" w:cs="Arial"/>
                <w:color w:val="000000"/>
                <w:sz w:val="20"/>
                <w:szCs w:val="20"/>
              </w:rPr>
              <w:t>Belgium/French Community</w:t>
            </w:r>
          </w:p>
        </w:tc>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color w:val="000000"/>
                <w:sz w:val="20"/>
                <w:szCs w:val="20"/>
              </w:rPr>
            </w:pPr>
            <w:r w:rsidRPr="00FC3969">
              <w:rPr>
                <w:rFonts w:ascii="Verdana" w:eastAsia="Times New Roman" w:hAnsi="Verdana" w:cs="Arial"/>
                <w:color w:val="000000"/>
                <w:sz w:val="20"/>
                <w:szCs w:val="20"/>
              </w:rPr>
              <w:t>GUILLAUME Kevin</w:t>
            </w:r>
          </w:p>
        </w:tc>
      </w:tr>
      <w:tr w:rsidR="00EE55B5" w:rsidRPr="00FC3969" w:rsidTr="005F15DB">
        <w:trPr>
          <w:trHeight w:val="255"/>
        </w:trPr>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color w:val="000000"/>
                <w:sz w:val="20"/>
                <w:szCs w:val="20"/>
              </w:rPr>
            </w:pPr>
            <w:proofErr w:type="spellStart"/>
            <w:r w:rsidRPr="00FC3969">
              <w:rPr>
                <w:rFonts w:ascii="Verdana" w:eastAsia="Times New Roman" w:hAnsi="Verdana" w:cs="Arial"/>
                <w:color w:val="000000"/>
                <w:sz w:val="20"/>
                <w:szCs w:val="20"/>
              </w:rPr>
              <w:t>Businesseurope</w:t>
            </w:r>
            <w:proofErr w:type="spellEnd"/>
          </w:p>
        </w:tc>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color w:val="000000"/>
                <w:sz w:val="20"/>
                <w:szCs w:val="20"/>
              </w:rPr>
            </w:pPr>
            <w:r w:rsidRPr="00FC3969">
              <w:rPr>
                <w:rFonts w:ascii="Verdana" w:eastAsia="Times New Roman" w:hAnsi="Verdana" w:cs="Arial"/>
                <w:color w:val="000000"/>
                <w:sz w:val="20"/>
                <w:szCs w:val="20"/>
              </w:rPr>
              <w:t xml:space="preserve">Irene </w:t>
            </w:r>
            <w:proofErr w:type="spellStart"/>
            <w:r w:rsidRPr="00FC3969">
              <w:rPr>
                <w:rFonts w:ascii="Verdana" w:eastAsia="Times New Roman" w:hAnsi="Verdana" w:cs="Arial"/>
                <w:color w:val="000000"/>
                <w:sz w:val="20"/>
                <w:szCs w:val="20"/>
              </w:rPr>
              <w:t>Seling</w:t>
            </w:r>
            <w:proofErr w:type="spellEnd"/>
          </w:p>
        </w:tc>
      </w:tr>
      <w:tr w:rsidR="00EE55B5" w:rsidRPr="00FC3969" w:rsidTr="005F15DB">
        <w:trPr>
          <w:trHeight w:val="255"/>
        </w:trPr>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color w:val="000000"/>
                <w:sz w:val="20"/>
                <w:szCs w:val="20"/>
              </w:rPr>
            </w:pPr>
            <w:proofErr w:type="spellStart"/>
            <w:r w:rsidRPr="00FC3969">
              <w:rPr>
                <w:rFonts w:ascii="Verdana" w:eastAsia="Times New Roman" w:hAnsi="Verdana" w:cs="Arial"/>
                <w:color w:val="000000"/>
                <w:sz w:val="20"/>
                <w:szCs w:val="20"/>
              </w:rPr>
              <w:t>CoE</w:t>
            </w:r>
            <w:proofErr w:type="spellEnd"/>
          </w:p>
        </w:tc>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color w:val="000000"/>
                <w:sz w:val="20"/>
                <w:szCs w:val="20"/>
              </w:rPr>
            </w:pPr>
            <w:r w:rsidRPr="00FC3969">
              <w:rPr>
                <w:rFonts w:ascii="Verdana" w:eastAsia="Times New Roman" w:hAnsi="Verdana" w:cs="Arial"/>
                <w:color w:val="000000"/>
                <w:sz w:val="20"/>
                <w:szCs w:val="20"/>
              </w:rPr>
              <w:t xml:space="preserve">Jean-Philippe </w:t>
            </w:r>
            <w:proofErr w:type="spellStart"/>
            <w:r w:rsidRPr="00FC3969">
              <w:rPr>
                <w:rFonts w:ascii="Verdana" w:eastAsia="Times New Roman" w:hAnsi="Verdana" w:cs="Arial"/>
                <w:color w:val="000000"/>
                <w:sz w:val="20"/>
                <w:szCs w:val="20"/>
              </w:rPr>
              <w:t>Restoueix</w:t>
            </w:r>
            <w:proofErr w:type="spellEnd"/>
          </w:p>
        </w:tc>
      </w:tr>
      <w:tr w:rsidR="00EE55B5" w:rsidRPr="00FC3969" w:rsidTr="005F15DB">
        <w:trPr>
          <w:trHeight w:val="255"/>
        </w:trPr>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color w:val="000000"/>
                <w:sz w:val="20"/>
                <w:szCs w:val="20"/>
              </w:rPr>
            </w:pPr>
            <w:r w:rsidRPr="00FC3969">
              <w:rPr>
                <w:rFonts w:ascii="Verdana" w:eastAsia="Times New Roman" w:hAnsi="Verdana" w:cs="Arial"/>
                <w:color w:val="000000"/>
                <w:sz w:val="20"/>
                <w:szCs w:val="20"/>
              </w:rPr>
              <w:t>Consultative expert</w:t>
            </w:r>
          </w:p>
        </w:tc>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color w:val="000000"/>
                <w:sz w:val="20"/>
                <w:szCs w:val="20"/>
              </w:rPr>
            </w:pPr>
            <w:proofErr w:type="spellStart"/>
            <w:r w:rsidRPr="00FC3969">
              <w:rPr>
                <w:rFonts w:ascii="Verdana" w:eastAsia="Times New Roman" w:hAnsi="Verdana" w:cs="Arial"/>
                <w:color w:val="000000"/>
                <w:sz w:val="20"/>
                <w:szCs w:val="20"/>
              </w:rPr>
              <w:t>Siegbert</w:t>
            </w:r>
            <w:proofErr w:type="spellEnd"/>
            <w:r w:rsidRPr="00FC3969">
              <w:rPr>
                <w:rFonts w:ascii="Verdana" w:eastAsia="Times New Roman" w:hAnsi="Verdana" w:cs="Arial"/>
                <w:color w:val="000000"/>
                <w:sz w:val="20"/>
                <w:szCs w:val="20"/>
              </w:rPr>
              <w:t xml:space="preserve"> </w:t>
            </w:r>
            <w:proofErr w:type="spellStart"/>
            <w:r w:rsidRPr="00FC3969">
              <w:rPr>
                <w:rFonts w:ascii="Verdana" w:eastAsia="Times New Roman" w:hAnsi="Verdana" w:cs="Arial"/>
                <w:color w:val="000000"/>
                <w:sz w:val="20"/>
                <w:szCs w:val="20"/>
              </w:rPr>
              <w:t>Wuttig</w:t>
            </w:r>
            <w:proofErr w:type="spellEnd"/>
          </w:p>
        </w:tc>
      </w:tr>
      <w:tr w:rsidR="00EE55B5" w:rsidRPr="00FC3969" w:rsidTr="005F15DB">
        <w:trPr>
          <w:trHeight w:val="255"/>
        </w:trPr>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color w:val="000000"/>
                <w:sz w:val="20"/>
                <w:szCs w:val="20"/>
              </w:rPr>
            </w:pPr>
            <w:r w:rsidRPr="00FC3969">
              <w:rPr>
                <w:rFonts w:ascii="Verdana" w:eastAsia="Times New Roman" w:hAnsi="Verdana" w:cs="Arial"/>
                <w:color w:val="000000"/>
                <w:sz w:val="20"/>
                <w:szCs w:val="20"/>
              </w:rPr>
              <w:t>Consultative expert</w:t>
            </w:r>
          </w:p>
        </w:tc>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color w:val="000000"/>
                <w:sz w:val="20"/>
                <w:szCs w:val="20"/>
              </w:rPr>
            </w:pPr>
            <w:r w:rsidRPr="00FC3969">
              <w:rPr>
                <w:rFonts w:ascii="Verdana" w:eastAsia="Times New Roman" w:hAnsi="Verdana" w:cs="Arial"/>
                <w:color w:val="000000"/>
                <w:sz w:val="20"/>
                <w:szCs w:val="20"/>
              </w:rPr>
              <w:t xml:space="preserve">Bernd </w:t>
            </w:r>
            <w:proofErr w:type="spellStart"/>
            <w:r w:rsidRPr="00FC3969">
              <w:rPr>
                <w:rFonts w:ascii="Verdana" w:eastAsia="Times New Roman" w:hAnsi="Verdana" w:cs="Arial"/>
                <w:color w:val="000000"/>
                <w:sz w:val="20"/>
                <w:szCs w:val="20"/>
              </w:rPr>
              <w:t>Wächter</w:t>
            </w:r>
            <w:proofErr w:type="spellEnd"/>
          </w:p>
        </w:tc>
      </w:tr>
      <w:tr w:rsidR="00EE55B5" w:rsidRPr="00FC3969" w:rsidTr="005F15DB">
        <w:trPr>
          <w:trHeight w:val="255"/>
        </w:trPr>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sz w:val="20"/>
                <w:szCs w:val="20"/>
              </w:rPr>
            </w:pPr>
            <w:r w:rsidRPr="00FC3969">
              <w:rPr>
                <w:rFonts w:ascii="Verdana" w:eastAsia="Times New Roman" w:hAnsi="Verdana" w:cs="Arial"/>
                <w:color w:val="000000"/>
                <w:sz w:val="20"/>
                <w:szCs w:val="20"/>
              </w:rPr>
              <w:t>Consultative expert</w:t>
            </w:r>
          </w:p>
        </w:tc>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color w:val="000000"/>
                <w:sz w:val="20"/>
                <w:szCs w:val="20"/>
              </w:rPr>
            </w:pPr>
            <w:r w:rsidRPr="00FC3969">
              <w:rPr>
                <w:rFonts w:ascii="Verdana" w:eastAsia="Times New Roman" w:hAnsi="Verdana" w:cs="Arial"/>
                <w:color w:val="000000"/>
                <w:sz w:val="20"/>
                <w:szCs w:val="20"/>
              </w:rPr>
              <w:t xml:space="preserve">Irina </w:t>
            </w:r>
            <w:proofErr w:type="spellStart"/>
            <w:r w:rsidRPr="00FC3969">
              <w:rPr>
                <w:rFonts w:ascii="Verdana" w:eastAsia="Times New Roman" w:hAnsi="Verdana" w:cs="Arial"/>
                <w:color w:val="000000"/>
                <w:sz w:val="20"/>
                <w:szCs w:val="20"/>
              </w:rPr>
              <w:t>Ferencz</w:t>
            </w:r>
            <w:proofErr w:type="spellEnd"/>
            <w:r w:rsidRPr="00FC3969">
              <w:rPr>
                <w:rFonts w:ascii="Verdana" w:eastAsia="Times New Roman" w:hAnsi="Verdana" w:cs="Arial"/>
                <w:color w:val="000000"/>
                <w:sz w:val="20"/>
                <w:szCs w:val="20"/>
              </w:rPr>
              <w:t xml:space="preserve"> </w:t>
            </w:r>
          </w:p>
        </w:tc>
      </w:tr>
      <w:tr w:rsidR="00EE55B5" w:rsidRPr="00FC3969" w:rsidTr="005F15DB">
        <w:trPr>
          <w:trHeight w:val="255"/>
        </w:trPr>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color w:val="000000"/>
                <w:sz w:val="20"/>
                <w:szCs w:val="20"/>
              </w:rPr>
            </w:pPr>
            <w:r w:rsidRPr="00FC3969">
              <w:rPr>
                <w:rFonts w:ascii="Verdana" w:eastAsia="Times New Roman" w:hAnsi="Verdana" w:cs="Arial"/>
                <w:color w:val="000000"/>
                <w:sz w:val="20"/>
                <w:szCs w:val="20"/>
              </w:rPr>
              <w:t>Cyprus</w:t>
            </w:r>
          </w:p>
        </w:tc>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color w:val="000000"/>
                <w:sz w:val="20"/>
                <w:szCs w:val="20"/>
              </w:rPr>
            </w:pPr>
            <w:r w:rsidRPr="00FC3969">
              <w:rPr>
                <w:rFonts w:ascii="Verdana" w:eastAsia="Times New Roman" w:hAnsi="Verdana" w:cs="Arial"/>
                <w:color w:val="000000"/>
                <w:sz w:val="20"/>
                <w:szCs w:val="20"/>
              </w:rPr>
              <w:t xml:space="preserve">Christos </w:t>
            </w:r>
            <w:proofErr w:type="spellStart"/>
            <w:r w:rsidRPr="00FC3969">
              <w:rPr>
                <w:rFonts w:ascii="Verdana" w:eastAsia="Times New Roman" w:hAnsi="Verdana" w:cs="Arial"/>
                <w:color w:val="000000"/>
                <w:sz w:val="20"/>
                <w:szCs w:val="20"/>
              </w:rPr>
              <w:t>Pouyioukkas</w:t>
            </w:r>
            <w:proofErr w:type="spellEnd"/>
          </w:p>
        </w:tc>
      </w:tr>
      <w:tr w:rsidR="00EE55B5" w:rsidRPr="00FC3969" w:rsidTr="005F15DB">
        <w:trPr>
          <w:trHeight w:val="255"/>
        </w:trPr>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color w:val="000000"/>
                <w:sz w:val="20"/>
                <w:szCs w:val="20"/>
              </w:rPr>
            </w:pPr>
            <w:r w:rsidRPr="00FC3969">
              <w:rPr>
                <w:rFonts w:ascii="Verdana" w:eastAsia="Times New Roman" w:hAnsi="Verdana" w:cs="Arial"/>
                <w:color w:val="000000"/>
                <w:sz w:val="20"/>
                <w:szCs w:val="20"/>
              </w:rPr>
              <w:t>Denmark</w:t>
            </w:r>
          </w:p>
        </w:tc>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color w:val="000000"/>
                <w:sz w:val="20"/>
                <w:szCs w:val="20"/>
              </w:rPr>
            </w:pPr>
            <w:proofErr w:type="spellStart"/>
            <w:r w:rsidRPr="00FC3969">
              <w:rPr>
                <w:rFonts w:ascii="Verdana" w:eastAsia="Times New Roman" w:hAnsi="Verdana" w:cs="Arial"/>
                <w:color w:val="000000"/>
                <w:sz w:val="20"/>
                <w:szCs w:val="20"/>
              </w:rPr>
              <w:t>Maisa</w:t>
            </w:r>
            <w:proofErr w:type="spellEnd"/>
            <w:r w:rsidRPr="00FC3969">
              <w:rPr>
                <w:rFonts w:ascii="Verdana" w:eastAsia="Times New Roman" w:hAnsi="Verdana" w:cs="Arial"/>
                <w:color w:val="000000"/>
                <w:sz w:val="20"/>
                <w:szCs w:val="20"/>
              </w:rPr>
              <w:t xml:space="preserve"> </w:t>
            </w:r>
            <w:proofErr w:type="spellStart"/>
            <w:r w:rsidRPr="00FC3969">
              <w:rPr>
                <w:rFonts w:ascii="Verdana" w:eastAsia="Times New Roman" w:hAnsi="Verdana" w:cs="Arial"/>
                <w:color w:val="000000"/>
                <w:sz w:val="20"/>
                <w:szCs w:val="20"/>
              </w:rPr>
              <w:t>Mahmutovic</w:t>
            </w:r>
            <w:proofErr w:type="spellEnd"/>
          </w:p>
        </w:tc>
      </w:tr>
      <w:tr w:rsidR="00EE55B5" w:rsidRPr="00FC3969" w:rsidTr="005F15DB">
        <w:trPr>
          <w:trHeight w:val="255"/>
        </w:trPr>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color w:val="000000"/>
                <w:sz w:val="20"/>
                <w:szCs w:val="20"/>
              </w:rPr>
            </w:pPr>
            <w:r w:rsidRPr="00FC3969">
              <w:rPr>
                <w:rFonts w:ascii="Verdana" w:eastAsia="Times New Roman" w:hAnsi="Verdana" w:cs="Arial"/>
                <w:color w:val="000000"/>
                <w:sz w:val="20"/>
                <w:szCs w:val="20"/>
              </w:rPr>
              <w:t>EC</w:t>
            </w:r>
          </w:p>
        </w:tc>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color w:val="000000"/>
                <w:sz w:val="20"/>
                <w:szCs w:val="20"/>
              </w:rPr>
            </w:pPr>
            <w:proofErr w:type="spellStart"/>
            <w:r w:rsidRPr="00FC3969">
              <w:rPr>
                <w:rFonts w:ascii="Verdana" w:eastAsia="Times New Roman" w:hAnsi="Verdana" w:cs="Arial"/>
                <w:color w:val="000000"/>
                <w:sz w:val="20"/>
                <w:szCs w:val="20"/>
              </w:rPr>
              <w:t>Ragnhild</w:t>
            </w:r>
            <w:proofErr w:type="spellEnd"/>
            <w:r w:rsidRPr="00FC3969">
              <w:rPr>
                <w:rFonts w:ascii="Verdana" w:eastAsia="Times New Roman" w:hAnsi="Verdana" w:cs="Arial"/>
                <w:color w:val="000000"/>
                <w:sz w:val="20"/>
                <w:szCs w:val="20"/>
              </w:rPr>
              <w:t xml:space="preserve"> Berg</w:t>
            </w:r>
          </w:p>
        </w:tc>
      </w:tr>
      <w:tr w:rsidR="00EE55B5" w:rsidRPr="00FC3969" w:rsidTr="005F15DB">
        <w:trPr>
          <w:trHeight w:val="255"/>
        </w:trPr>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color w:val="000000"/>
                <w:sz w:val="20"/>
                <w:szCs w:val="20"/>
              </w:rPr>
            </w:pPr>
            <w:r w:rsidRPr="00FC3969">
              <w:rPr>
                <w:rFonts w:ascii="Verdana" w:eastAsia="Times New Roman" w:hAnsi="Verdana" w:cs="Arial"/>
                <w:color w:val="000000"/>
                <w:sz w:val="20"/>
                <w:szCs w:val="20"/>
              </w:rPr>
              <w:t>EC</w:t>
            </w:r>
          </w:p>
        </w:tc>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color w:val="000000"/>
                <w:sz w:val="20"/>
                <w:szCs w:val="20"/>
              </w:rPr>
            </w:pPr>
            <w:r w:rsidRPr="00FC3969">
              <w:rPr>
                <w:rFonts w:ascii="Verdana" w:eastAsia="Times New Roman" w:hAnsi="Verdana" w:cs="Arial"/>
                <w:color w:val="000000"/>
                <w:sz w:val="20"/>
                <w:szCs w:val="20"/>
              </w:rPr>
              <w:t>Simon Roy</w:t>
            </w:r>
          </w:p>
        </w:tc>
      </w:tr>
      <w:tr w:rsidR="00EE55B5" w:rsidRPr="00FC3969" w:rsidTr="005F15DB">
        <w:trPr>
          <w:trHeight w:val="255"/>
        </w:trPr>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color w:val="000000"/>
                <w:sz w:val="20"/>
                <w:szCs w:val="20"/>
              </w:rPr>
            </w:pPr>
            <w:r w:rsidRPr="00FC3969">
              <w:rPr>
                <w:rFonts w:ascii="Verdana" w:eastAsia="Times New Roman" w:hAnsi="Verdana" w:cs="Arial"/>
                <w:color w:val="000000"/>
                <w:sz w:val="20"/>
                <w:szCs w:val="20"/>
              </w:rPr>
              <w:t>EI</w:t>
            </w:r>
          </w:p>
        </w:tc>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color w:val="000000"/>
                <w:sz w:val="20"/>
                <w:szCs w:val="20"/>
              </w:rPr>
            </w:pPr>
            <w:proofErr w:type="spellStart"/>
            <w:r>
              <w:rPr>
                <w:rFonts w:ascii="Verdana" w:eastAsia="Times New Roman" w:hAnsi="Verdana" w:cs="Arial"/>
                <w:color w:val="000000"/>
                <w:sz w:val="20"/>
                <w:szCs w:val="20"/>
              </w:rPr>
              <w:t>Riku</w:t>
            </w:r>
            <w:proofErr w:type="spellEnd"/>
            <w:r>
              <w:rPr>
                <w:rFonts w:ascii="Verdana" w:eastAsia="Times New Roman" w:hAnsi="Verdana" w:cs="Arial"/>
                <w:color w:val="000000"/>
                <w:sz w:val="20"/>
                <w:szCs w:val="20"/>
              </w:rPr>
              <w:t xml:space="preserve"> </w:t>
            </w:r>
            <w:proofErr w:type="spellStart"/>
            <w:r>
              <w:rPr>
                <w:rFonts w:ascii="Verdana" w:eastAsia="Times New Roman" w:hAnsi="Verdana" w:cs="Arial"/>
                <w:color w:val="000000"/>
                <w:sz w:val="20"/>
                <w:szCs w:val="20"/>
              </w:rPr>
              <w:t>Matilainen</w:t>
            </w:r>
            <w:proofErr w:type="spellEnd"/>
          </w:p>
        </w:tc>
      </w:tr>
      <w:tr w:rsidR="00EE55B5" w:rsidRPr="00FC3969" w:rsidTr="005F15DB">
        <w:trPr>
          <w:trHeight w:val="255"/>
        </w:trPr>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color w:val="000000"/>
                <w:sz w:val="20"/>
                <w:szCs w:val="20"/>
              </w:rPr>
            </w:pPr>
            <w:r w:rsidRPr="00FC3969">
              <w:rPr>
                <w:rFonts w:ascii="Verdana" w:eastAsia="Times New Roman" w:hAnsi="Verdana" w:cs="Arial"/>
                <w:color w:val="000000"/>
                <w:sz w:val="20"/>
                <w:szCs w:val="20"/>
              </w:rPr>
              <w:t>ENQA</w:t>
            </w:r>
          </w:p>
        </w:tc>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color w:val="000000"/>
                <w:sz w:val="20"/>
                <w:szCs w:val="20"/>
              </w:rPr>
            </w:pPr>
            <w:r w:rsidRPr="00FC3969">
              <w:rPr>
                <w:rFonts w:ascii="Verdana" w:eastAsia="Times New Roman" w:hAnsi="Verdana" w:cs="Arial"/>
                <w:color w:val="000000"/>
                <w:sz w:val="20"/>
                <w:szCs w:val="20"/>
              </w:rPr>
              <w:t xml:space="preserve">Maria </w:t>
            </w:r>
            <w:proofErr w:type="spellStart"/>
            <w:r w:rsidRPr="00FC3969">
              <w:rPr>
                <w:rFonts w:ascii="Verdana" w:eastAsia="Times New Roman" w:hAnsi="Verdana" w:cs="Arial"/>
                <w:color w:val="000000"/>
                <w:sz w:val="20"/>
                <w:szCs w:val="20"/>
              </w:rPr>
              <w:t>Kelo</w:t>
            </w:r>
            <w:proofErr w:type="spellEnd"/>
          </w:p>
        </w:tc>
      </w:tr>
      <w:tr w:rsidR="00EE55B5" w:rsidRPr="00FC3969" w:rsidTr="005F15DB">
        <w:trPr>
          <w:trHeight w:val="255"/>
        </w:trPr>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color w:val="000000"/>
                <w:sz w:val="20"/>
                <w:szCs w:val="20"/>
              </w:rPr>
            </w:pPr>
            <w:r w:rsidRPr="00FC3969">
              <w:rPr>
                <w:rFonts w:ascii="Verdana" w:eastAsia="Times New Roman" w:hAnsi="Verdana" w:cs="Arial"/>
                <w:color w:val="000000"/>
                <w:sz w:val="20"/>
                <w:szCs w:val="20"/>
              </w:rPr>
              <w:t>EQAR</w:t>
            </w:r>
          </w:p>
        </w:tc>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color w:val="000000"/>
                <w:sz w:val="20"/>
                <w:szCs w:val="20"/>
              </w:rPr>
            </w:pPr>
            <w:r w:rsidRPr="00FC3969">
              <w:rPr>
                <w:rFonts w:ascii="Verdana" w:eastAsia="Times New Roman" w:hAnsi="Verdana" w:cs="Arial"/>
                <w:color w:val="000000"/>
                <w:sz w:val="20"/>
                <w:szCs w:val="20"/>
              </w:rPr>
              <w:t xml:space="preserve">Eric </w:t>
            </w:r>
            <w:proofErr w:type="spellStart"/>
            <w:r w:rsidRPr="00FC3969">
              <w:rPr>
                <w:rFonts w:ascii="Verdana" w:eastAsia="Times New Roman" w:hAnsi="Verdana" w:cs="Arial"/>
                <w:color w:val="000000"/>
                <w:sz w:val="20"/>
                <w:szCs w:val="20"/>
              </w:rPr>
              <w:t>Froment</w:t>
            </w:r>
            <w:proofErr w:type="spellEnd"/>
          </w:p>
        </w:tc>
      </w:tr>
      <w:tr w:rsidR="00EE55B5" w:rsidRPr="00FC3969" w:rsidTr="005F15DB">
        <w:trPr>
          <w:trHeight w:val="255"/>
        </w:trPr>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color w:val="000000"/>
                <w:sz w:val="20"/>
                <w:szCs w:val="20"/>
              </w:rPr>
            </w:pPr>
            <w:r w:rsidRPr="00FC3969">
              <w:rPr>
                <w:rFonts w:ascii="Verdana" w:eastAsia="Times New Roman" w:hAnsi="Verdana" w:cs="Arial"/>
                <w:color w:val="000000"/>
                <w:sz w:val="20"/>
                <w:szCs w:val="20"/>
              </w:rPr>
              <w:t>ESU</w:t>
            </w:r>
          </w:p>
        </w:tc>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color w:val="000000"/>
                <w:sz w:val="20"/>
                <w:szCs w:val="20"/>
              </w:rPr>
            </w:pPr>
            <w:r w:rsidRPr="00FC3969">
              <w:rPr>
                <w:rFonts w:ascii="Verdana" w:eastAsia="Times New Roman" w:hAnsi="Verdana" w:cs="Arial"/>
                <w:color w:val="000000"/>
                <w:sz w:val="20"/>
                <w:szCs w:val="20"/>
              </w:rPr>
              <w:t xml:space="preserve">Erin </w:t>
            </w:r>
            <w:proofErr w:type="spellStart"/>
            <w:r w:rsidRPr="00FC3969">
              <w:rPr>
                <w:rFonts w:ascii="Verdana" w:eastAsia="Times New Roman" w:hAnsi="Verdana" w:cs="Arial"/>
                <w:color w:val="000000"/>
                <w:sz w:val="20"/>
                <w:szCs w:val="20"/>
              </w:rPr>
              <w:t>Nordal</w:t>
            </w:r>
            <w:proofErr w:type="spellEnd"/>
          </w:p>
        </w:tc>
      </w:tr>
      <w:tr w:rsidR="00EE55B5" w:rsidRPr="00FC3969" w:rsidTr="005F15DB">
        <w:trPr>
          <w:trHeight w:val="255"/>
        </w:trPr>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color w:val="000000"/>
                <w:sz w:val="20"/>
                <w:szCs w:val="20"/>
              </w:rPr>
            </w:pPr>
            <w:r w:rsidRPr="00FC3969">
              <w:rPr>
                <w:rFonts w:ascii="Verdana" w:eastAsia="Times New Roman" w:hAnsi="Verdana" w:cs="Arial"/>
                <w:color w:val="000000"/>
                <w:sz w:val="20"/>
                <w:szCs w:val="20"/>
              </w:rPr>
              <w:t>EUA</w:t>
            </w:r>
          </w:p>
        </w:tc>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color w:val="000000"/>
                <w:sz w:val="20"/>
                <w:szCs w:val="20"/>
              </w:rPr>
            </w:pPr>
            <w:r>
              <w:rPr>
                <w:rFonts w:ascii="Verdana" w:eastAsia="Times New Roman" w:hAnsi="Verdana" w:cs="Arial"/>
                <w:color w:val="000000"/>
                <w:sz w:val="20"/>
                <w:szCs w:val="20"/>
              </w:rPr>
              <w:t xml:space="preserve">Elizabeth </w:t>
            </w:r>
            <w:proofErr w:type="spellStart"/>
            <w:r>
              <w:rPr>
                <w:rFonts w:ascii="Verdana" w:eastAsia="Times New Roman" w:hAnsi="Verdana" w:cs="Arial"/>
                <w:color w:val="000000"/>
                <w:sz w:val="20"/>
                <w:szCs w:val="20"/>
              </w:rPr>
              <w:t>Colucci</w:t>
            </w:r>
            <w:proofErr w:type="spellEnd"/>
            <w:r>
              <w:rPr>
                <w:rFonts w:ascii="Verdana" w:eastAsia="Times New Roman" w:hAnsi="Verdana" w:cs="Arial"/>
                <w:color w:val="000000"/>
                <w:sz w:val="20"/>
                <w:szCs w:val="20"/>
              </w:rPr>
              <w:t xml:space="preserve"> </w:t>
            </w:r>
          </w:p>
        </w:tc>
      </w:tr>
      <w:tr w:rsidR="00EE55B5" w:rsidRPr="00FC3969" w:rsidTr="005F15DB">
        <w:trPr>
          <w:trHeight w:val="255"/>
        </w:trPr>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color w:val="000000"/>
                <w:sz w:val="20"/>
                <w:szCs w:val="20"/>
              </w:rPr>
            </w:pPr>
            <w:r w:rsidRPr="00FC3969">
              <w:rPr>
                <w:rFonts w:ascii="Verdana" w:eastAsia="Times New Roman" w:hAnsi="Verdana" w:cs="Arial"/>
                <w:color w:val="000000"/>
                <w:sz w:val="20"/>
                <w:szCs w:val="20"/>
              </w:rPr>
              <w:t>EUA</w:t>
            </w:r>
          </w:p>
        </w:tc>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color w:val="000000"/>
                <w:sz w:val="20"/>
                <w:szCs w:val="20"/>
              </w:rPr>
            </w:pPr>
            <w:r w:rsidRPr="00FC3969">
              <w:rPr>
                <w:rFonts w:ascii="Verdana" w:eastAsia="Times New Roman" w:hAnsi="Verdana" w:cs="Arial"/>
                <w:color w:val="000000"/>
                <w:sz w:val="20"/>
                <w:szCs w:val="20"/>
              </w:rPr>
              <w:t xml:space="preserve">Michael </w:t>
            </w:r>
            <w:proofErr w:type="spellStart"/>
            <w:r w:rsidRPr="00FC3969">
              <w:rPr>
                <w:rFonts w:ascii="Verdana" w:eastAsia="Times New Roman" w:hAnsi="Verdana" w:cs="Arial"/>
                <w:color w:val="000000"/>
                <w:sz w:val="20"/>
                <w:szCs w:val="20"/>
              </w:rPr>
              <w:t>Gaebel</w:t>
            </w:r>
            <w:proofErr w:type="spellEnd"/>
            <w:r w:rsidRPr="00FC3969">
              <w:rPr>
                <w:rFonts w:ascii="Verdana" w:eastAsia="Times New Roman" w:hAnsi="Verdana" w:cs="Arial"/>
                <w:color w:val="000000"/>
                <w:sz w:val="20"/>
                <w:szCs w:val="20"/>
              </w:rPr>
              <w:t xml:space="preserve"> </w:t>
            </w:r>
          </w:p>
        </w:tc>
      </w:tr>
      <w:tr w:rsidR="00EE55B5" w:rsidRPr="00FC3969" w:rsidTr="005F15DB">
        <w:trPr>
          <w:trHeight w:val="240"/>
        </w:trPr>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color w:val="000000"/>
                <w:sz w:val="20"/>
                <w:szCs w:val="20"/>
              </w:rPr>
            </w:pPr>
            <w:r w:rsidRPr="00FC3969">
              <w:rPr>
                <w:rFonts w:ascii="Verdana" w:eastAsia="Times New Roman" w:hAnsi="Verdana" w:cs="Arial"/>
                <w:color w:val="000000"/>
                <w:sz w:val="20"/>
                <w:szCs w:val="20"/>
              </w:rPr>
              <w:t>Eurostat</w:t>
            </w:r>
          </w:p>
        </w:tc>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color w:val="000000"/>
                <w:sz w:val="20"/>
                <w:szCs w:val="20"/>
              </w:rPr>
            </w:pPr>
            <w:proofErr w:type="spellStart"/>
            <w:r w:rsidRPr="00FC3969">
              <w:rPr>
                <w:rFonts w:ascii="Verdana" w:eastAsia="Times New Roman" w:hAnsi="Verdana" w:cs="Arial"/>
                <w:color w:val="000000"/>
                <w:sz w:val="20"/>
                <w:szCs w:val="20"/>
              </w:rPr>
              <w:t>Shubila</w:t>
            </w:r>
            <w:proofErr w:type="spellEnd"/>
            <w:r w:rsidRPr="00FC3969">
              <w:rPr>
                <w:rFonts w:ascii="Verdana" w:eastAsia="Times New Roman" w:hAnsi="Verdana" w:cs="Arial"/>
                <w:color w:val="000000"/>
                <w:sz w:val="20"/>
                <w:szCs w:val="20"/>
              </w:rPr>
              <w:t xml:space="preserve"> </w:t>
            </w:r>
            <w:proofErr w:type="spellStart"/>
            <w:r w:rsidRPr="00FC3969">
              <w:rPr>
                <w:rFonts w:ascii="Verdana" w:eastAsia="Times New Roman" w:hAnsi="Verdana" w:cs="Arial"/>
                <w:color w:val="000000"/>
                <w:sz w:val="20"/>
                <w:szCs w:val="20"/>
              </w:rPr>
              <w:t>Balaile</w:t>
            </w:r>
            <w:proofErr w:type="spellEnd"/>
          </w:p>
        </w:tc>
      </w:tr>
      <w:tr w:rsidR="00EE55B5" w:rsidRPr="00FC3969" w:rsidTr="005F15DB">
        <w:trPr>
          <w:trHeight w:val="240"/>
        </w:trPr>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color w:val="000000"/>
                <w:sz w:val="20"/>
                <w:szCs w:val="20"/>
              </w:rPr>
            </w:pPr>
            <w:r w:rsidRPr="00FC3969">
              <w:rPr>
                <w:rFonts w:ascii="Verdana" w:eastAsia="Times New Roman" w:hAnsi="Verdana" w:cs="Arial"/>
                <w:color w:val="000000"/>
                <w:sz w:val="20"/>
                <w:szCs w:val="20"/>
              </w:rPr>
              <w:t>France</w:t>
            </w:r>
          </w:p>
        </w:tc>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color w:val="000000"/>
                <w:sz w:val="20"/>
                <w:szCs w:val="20"/>
              </w:rPr>
            </w:pPr>
            <w:r w:rsidRPr="00FC3969">
              <w:rPr>
                <w:rFonts w:ascii="Verdana" w:eastAsia="Times New Roman" w:hAnsi="Verdana" w:cs="Arial"/>
                <w:color w:val="000000"/>
                <w:sz w:val="20"/>
                <w:szCs w:val="20"/>
              </w:rPr>
              <w:t>Patricia Pol</w:t>
            </w:r>
          </w:p>
        </w:tc>
      </w:tr>
      <w:tr w:rsidR="00EE55B5" w:rsidRPr="00FC3969" w:rsidTr="005F15DB">
        <w:trPr>
          <w:trHeight w:val="255"/>
        </w:trPr>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color w:val="000000"/>
                <w:sz w:val="20"/>
                <w:szCs w:val="20"/>
              </w:rPr>
            </w:pPr>
            <w:r w:rsidRPr="00FC3969">
              <w:rPr>
                <w:rFonts w:ascii="Verdana" w:eastAsia="Times New Roman" w:hAnsi="Verdana" w:cs="Arial"/>
                <w:color w:val="000000"/>
                <w:sz w:val="20"/>
                <w:szCs w:val="20"/>
              </w:rPr>
              <w:t>France</w:t>
            </w:r>
          </w:p>
        </w:tc>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color w:val="000000"/>
                <w:sz w:val="20"/>
                <w:szCs w:val="20"/>
              </w:rPr>
            </w:pPr>
            <w:r w:rsidRPr="00FC3969">
              <w:rPr>
                <w:rFonts w:ascii="Verdana" w:eastAsia="Times New Roman" w:hAnsi="Verdana" w:cs="Arial"/>
                <w:color w:val="000000"/>
                <w:sz w:val="20"/>
                <w:szCs w:val="20"/>
              </w:rPr>
              <w:t xml:space="preserve">Yves </w:t>
            </w:r>
            <w:proofErr w:type="spellStart"/>
            <w:r w:rsidRPr="00FC3969">
              <w:rPr>
                <w:rFonts w:ascii="Verdana" w:eastAsia="Times New Roman" w:hAnsi="Verdana" w:cs="Arial"/>
                <w:color w:val="000000"/>
                <w:sz w:val="20"/>
                <w:szCs w:val="20"/>
              </w:rPr>
              <w:t>Vallat</w:t>
            </w:r>
            <w:proofErr w:type="spellEnd"/>
          </w:p>
        </w:tc>
      </w:tr>
      <w:tr w:rsidR="00EE55B5" w:rsidRPr="00FC3969" w:rsidTr="005F15DB">
        <w:trPr>
          <w:trHeight w:val="255"/>
        </w:trPr>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color w:val="000000"/>
                <w:sz w:val="20"/>
                <w:szCs w:val="20"/>
              </w:rPr>
            </w:pPr>
            <w:r w:rsidRPr="00FC3969">
              <w:rPr>
                <w:rFonts w:ascii="Verdana" w:eastAsia="Times New Roman" w:hAnsi="Verdana" w:cs="Arial"/>
                <w:color w:val="000000"/>
                <w:sz w:val="20"/>
                <w:szCs w:val="20"/>
              </w:rPr>
              <w:t>France</w:t>
            </w:r>
          </w:p>
        </w:tc>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color w:val="000000"/>
                <w:sz w:val="20"/>
                <w:szCs w:val="20"/>
              </w:rPr>
            </w:pPr>
            <w:r w:rsidRPr="00FC3969">
              <w:rPr>
                <w:rFonts w:ascii="Verdana" w:eastAsia="Times New Roman" w:hAnsi="Verdana" w:cs="Arial"/>
                <w:color w:val="000000"/>
                <w:sz w:val="20"/>
                <w:szCs w:val="20"/>
              </w:rPr>
              <w:t xml:space="preserve">Hélène </w:t>
            </w:r>
            <w:proofErr w:type="spellStart"/>
            <w:r w:rsidRPr="00FC3969">
              <w:rPr>
                <w:rFonts w:ascii="Verdana" w:eastAsia="Times New Roman" w:hAnsi="Verdana" w:cs="Arial"/>
                <w:color w:val="000000"/>
                <w:sz w:val="20"/>
                <w:szCs w:val="20"/>
              </w:rPr>
              <w:t>Lagier</w:t>
            </w:r>
            <w:proofErr w:type="spellEnd"/>
          </w:p>
        </w:tc>
      </w:tr>
      <w:tr w:rsidR="00EE55B5" w:rsidRPr="00FC3969" w:rsidTr="005F15DB">
        <w:trPr>
          <w:trHeight w:val="255"/>
        </w:trPr>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color w:val="000000"/>
                <w:sz w:val="20"/>
                <w:szCs w:val="20"/>
              </w:rPr>
            </w:pPr>
            <w:r w:rsidRPr="00FC3969">
              <w:rPr>
                <w:rFonts w:ascii="Verdana" w:eastAsia="Times New Roman" w:hAnsi="Verdana" w:cs="Arial"/>
                <w:color w:val="000000"/>
                <w:sz w:val="20"/>
                <w:szCs w:val="20"/>
              </w:rPr>
              <w:t>Germany</w:t>
            </w:r>
          </w:p>
        </w:tc>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color w:val="000000"/>
                <w:sz w:val="20"/>
                <w:szCs w:val="20"/>
              </w:rPr>
            </w:pPr>
            <w:r w:rsidRPr="00FC3969">
              <w:rPr>
                <w:rFonts w:ascii="Verdana" w:eastAsia="Times New Roman" w:hAnsi="Verdana" w:cs="Arial"/>
                <w:color w:val="000000"/>
                <w:sz w:val="20"/>
                <w:szCs w:val="20"/>
              </w:rPr>
              <w:t xml:space="preserve">Kathleen </w:t>
            </w:r>
            <w:proofErr w:type="spellStart"/>
            <w:r w:rsidRPr="00FC3969">
              <w:rPr>
                <w:rFonts w:ascii="Verdana" w:eastAsia="Times New Roman" w:hAnsi="Verdana" w:cs="Arial"/>
                <w:color w:val="000000"/>
                <w:sz w:val="20"/>
                <w:szCs w:val="20"/>
              </w:rPr>
              <w:t>Ordnung</w:t>
            </w:r>
            <w:proofErr w:type="spellEnd"/>
          </w:p>
        </w:tc>
      </w:tr>
      <w:tr w:rsidR="00EE55B5" w:rsidRPr="00FC3969" w:rsidTr="005F15DB">
        <w:trPr>
          <w:trHeight w:val="255"/>
        </w:trPr>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color w:val="000000"/>
                <w:sz w:val="20"/>
                <w:szCs w:val="20"/>
              </w:rPr>
            </w:pPr>
            <w:r w:rsidRPr="00FC3969">
              <w:rPr>
                <w:rFonts w:ascii="Verdana" w:eastAsia="Times New Roman" w:hAnsi="Verdana" w:cs="Arial"/>
                <w:color w:val="000000"/>
                <w:sz w:val="20"/>
                <w:szCs w:val="20"/>
              </w:rPr>
              <w:t>Germany</w:t>
            </w:r>
          </w:p>
        </w:tc>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color w:val="000000"/>
                <w:sz w:val="20"/>
                <w:szCs w:val="20"/>
              </w:rPr>
            </w:pPr>
            <w:r w:rsidRPr="00FC3969">
              <w:rPr>
                <w:rFonts w:ascii="Verdana" w:eastAsia="Times New Roman" w:hAnsi="Verdana" w:cs="Arial"/>
                <w:color w:val="000000"/>
                <w:sz w:val="20"/>
                <w:szCs w:val="20"/>
              </w:rPr>
              <w:t>Anna Fleischmann</w:t>
            </w:r>
          </w:p>
        </w:tc>
      </w:tr>
      <w:tr w:rsidR="00EE55B5" w:rsidRPr="00FC3969" w:rsidTr="005F15DB">
        <w:trPr>
          <w:trHeight w:val="255"/>
        </w:trPr>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color w:val="000000"/>
                <w:sz w:val="20"/>
                <w:szCs w:val="20"/>
              </w:rPr>
            </w:pPr>
            <w:r w:rsidRPr="00FC3969">
              <w:rPr>
                <w:rFonts w:ascii="Verdana" w:eastAsia="Times New Roman" w:hAnsi="Verdana" w:cs="Arial"/>
                <w:color w:val="000000"/>
                <w:sz w:val="20"/>
                <w:szCs w:val="20"/>
              </w:rPr>
              <w:lastRenderedPageBreak/>
              <w:t xml:space="preserve">Germany </w:t>
            </w:r>
          </w:p>
        </w:tc>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color w:val="000000"/>
                <w:sz w:val="20"/>
                <w:szCs w:val="20"/>
              </w:rPr>
            </w:pPr>
            <w:proofErr w:type="spellStart"/>
            <w:r w:rsidRPr="00FC3969">
              <w:rPr>
                <w:rFonts w:ascii="Verdana" w:eastAsia="Times New Roman" w:hAnsi="Verdana" w:cs="Arial"/>
                <w:color w:val="000000"/>
                <w:sz w:val="20"/>
                <w:szCs w:val="20"/>
              </w:rPr>
              <w:t>Katrin</w:t>
            </w:r>
            <w:proofErr w:type="spellEnd"/>
            <w:r w:rsidRPr="00FC3969">
              <w:rPr>
                <w:rFonts w:ascii="Verdana" w:eastAsia="Times New Roman" w:hAnsi="Verdana" w:cs="Arial"/>
                <w:color w:val="000000"/>
                <w:sz w:val="20"/>
                <w:szCs w:val="20"/>
              </w:rPr>
              <w:t xml:space="preserve"> </w:t>
            </w:r>
            <w:proofErr w:type="spellStart"/>
            <w:r w:rsidRPr="00FC3969">
              <w:rPr>
                <w:rFonts w:ascii="Verdana" w:eastAsia="Times New Roman" w:hAnsi="Verdana" w:cs="Arial"/>
                <w:color w:val="000000"/>
                <w:sz w:val="20"/>
                <w:szCs w:val="20"/>
              </w:rPr>
              <w:t>Fohmann</w:t>
            </w:r>
            <w:proofErr w:type="spellEnd"/>
          </w:p>
        </w:tc>
      </w:tr>
      <w:tr w:rsidR="00EE55B5" w:rsidRPr="00FC3969" w:rsidTr="005F15DB">
        <w:trPr>
          <w:trHeight w:val="255"/>
        </w:trPr>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color w:val="000000"/>
                <w:sz w:val="20"/>
                <w:szCs w:val="20"/>
              </w:rPr>
            </w:pPr>
            <w:r w:rsidRPr="00FC3969">
              <w:rPr>
                <w:rFonts w:ascii="Verdana" w:eastAsia="Times New Roman" w:hAnsi="Verdana" w:cs="Arial"/>
                <w:color w:val="000000"/>
                <w:sz w:val="20"/>
                <w:szCs w:val="20"/>
              </w:rPr>
              <w:t>Hungary</w:t>
            </w:r>
          </w:p>
        </w:tc>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color w:val="000000"/>
                <w:sz w:val="20"/>
                <w:szCs w:val="20"/>
              </w:rPr>
            </w:pPr>
            <w:proofErr w:type="spellStart"/>
            <w:r w:rsidRPr="00FC3969">
              <w:rPr>
                <w:rFonts w:ascii="Verdana" w:eastAsia="Times New Roman" w:hAnsi="Verdana" w:cs="Arial"/>
                <w:color w:val="000000"/>
                <w:sz w:val="20"/>
                <w:szCs w:val="20"/>
              </w:rPr>
              <w:t>Gábor</w:t>
            </w:r>
            <w:proofErr w:type="spellEnd"/>
            <w:r w:rsidRPr="00FC3969">
              <w:rPr>
                <w:rFonts w:ascii="Verdana" w:eastAsia="Times New Roman" w:hAnsi="Verdana" w:cs="Arial"/>
                <w:color w:val="000000"/>
                <w:sz w:val="20"/>
                <w:szCs w:val="20"/>
              </w:rPr>
              <w:t xml:space="preserve"> </w:t>
            </w:r>
            <w:proofErr w:type="spellStart"/>
            <w:r w:rsidRPr="00FC3969">
              <w:rPr>
                <w:rFonts w:ascii="Verdana" w:eastAsia="Times New Roman" w:hAnsi="Verdana" w:cs="Arial"/>
                <w:color w:val="000000"/>
                <w:sz w:val="20"/>
                <w:szCs w:val="20"/>
              </w:rPr>
              <w:t>Dobos</w:t>
            </w:r>
            <w:proofErr w:type="spellEnd"/>
          </w:p>
        </w:tc>
      </w:tr>
      <w:tr w:rsidR="00EE55B5" w:rsidRPr="00FC3969" w:rsidTr="005F15DB">
        <w:trPr>
          <w:trHeight w:val="255"/>
        </w:trPr>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color w:val="000000"/>
                <w:sz w:val="20"/>
                <w:szCs w:val="20"/>
              </w:rPr>
            </w:pPr>
            <w:r w:rsidRPr="00FC3969">
              <w:rPr>
                <w:rFonts w:ascii="Verdana" w:eastAsia="Times New Roman" w:hAnsi="Verdana" w:cs="Arial"/>
                <w:color w:val="000000"/>
                <w:sz w:val="20"/>
                <w:szCs w:val="20"/>
              </w:rPr>
              <w:t>Ireland</w:t>
            </w:r>
          </w:p>
        </w:tc>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color w:val="000000"/>
                <w:sz w:val="20"/>
                <w:szCs w:val="20"/>
              </w:rPr>
            </w:pPr>
            <w:r w:rsidRPr="00FC3969">
              <w:rPr>
                <w:rFonts w:ascii="Verdana" w:eastAsia="Times New Roman" w:hAnsi="Verdana" w:cs="Arial"/>
                <w:color w:val="000000"/>
                <w:sz w:val="20"/>
                <w:szCs w:val="20"/>
              </w:rPr>
              <w:t>Gerry O’Sullivan</w:t>
            </w:r>
          </w:p>
        </w:tc>
      </w:tr>
      <w:tr w:rsidR="00EE55B5" w:rsidRPr="00FC3969" w:rsidTr="005F15DB">
        <w:trPr>
          <w:trHeight w:val="255"/>
        </w:trPr>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color w:val="000000"/>
                <w:sz w:val="20"/>
                <w:szCs w:val="20"/>
              </w:rPr>
            </w:pPr>
            <w:r w:rsidRPr="00FC3969">
              <w:rPr>
                <w:rFonts w:ascii="Verdana" w:eastAsia="Times New Roman" w:hAnsi="Verdana" w:cs="Arial"/>
                <w:color w:val="000000"/>
                <w:sz w:val="20"/>
                <w:szCs w:val="20"/>
              </w:rPr>
              <w:t>Italy</w:t>
            </w:r>
          </w:p>
        </w:tc>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color w:val="000000"/>
                <w:sz w:val="20"/>
                <w:szCs w:val="20"/>
              </w:rPr>
            </w:pPr>
            <w:proofErr w:type="spellStart"/>
            <w:r w:rsidRPr="00FC3969">
              <w:rPr>
                <w:rFonts w:ascii="Verdana" w:eastAsia="Times New Roman" w:hAnsi="Verdana" w:cs="Arial"/>
                <w:color w:val="000000"/>
                <w:sz w:val="20"/>
                <w:szCs w:val="20"/>
              </w:rPr>
              <w:t>Marzia</w:t>
            </w:r>
            <w:proofErr w:type="spellEnd"/>
            <w:r w:rsidRPr="00FC3969">
              <w:rPr>
                <w:rFonts w:ascii="Verdana" w:eastAsia="Times New Roman" w:hAnsi="Verdana" w:cs="Arial"/>
                <w:color w:val="000000"/>
                <w:sz w:val="20"/>
                <w:szCs w:val="20"/>
              </w:rPr>
              <w:t xml:space="preserve"> </w:t>
            </w:r>
            <w:proofErr w:type="spellStart"/>
            <w:r w:rsidRPr="00FC3969">
              <w:rPr>
                <w:rFonts w:ascii="Verdana" w:eastAsia="Times New Roman" w:hAnsi="Verdana" w:cs="Arial"/>
                <w:color w:val="000000"/>
                <w:sz w:val="20"/>
                <w:szCs w:val="20"/>
              </w:rPr>
              <w:t>Foroni</w:t>
            </w:r>
            <w:proofErr w:type="spellEnd"/>
          </w:p>
        </w:tc>
      </w:tr>
      <w:tr w:rsidR="00EE55B5" w:rsidRPr="00FC3969" w:rsidTr="005F15DB">
        <w:trPr>
          <w:trHeight w:val="255"/>
        </w:trPr>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color w:val="000000"/>
                <w:sz w:val="20"/>
                <w:szCs w:val="20"/>
              </w:rPr>
            </w:pPr>
            <w:r w:rsidRPr="00FC3969">
              <w:rPr>
                <w:rFonts w:ascii="Verdana" w:eastAsia="Times New Roman" w:hAnsi="Verdana" w:cs="Arial"/>
                <w:color w:val="000000"/>
                <w:sz w:val="20"/>
                <w:szCs w:val="20"/>
              </w:rPr>
              <w:t>Kazakhstan</w:t>
            </w:r>
          </w:p>
        </w:tc>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color w:val="000000"/>
                <w:sz w:val="20"/>
                <w:szCs w:val="20"/>
              </w:rPr>
            </w:pPr>
            <w:proofErr w:type="spellStart"/>
            <w:r w:rsidRPr="00FC3969">
              <w:rPr>
                <w:rFonts w:ascii="Verdana" w:eastAsia="Times New Roman" w:hAnsi="Verdana" w:cs="Arial"/>
                <w:color w:val="000000"/>
                <w:sz w:val="20"/>
                <w:szCs w:val="20"/>
              </w:rPr>
              <w:t>Nurbek</w:t>
            </w:r>
            <w:proofErr w:type="spellEnd"/>
            <w:r w:rsidRPr="00FC3969">
              <w:rPr>
                <w:rFonts w:ascii="Verdana" w:eastAsia="Times New Roman" w:hAnsi="Verdana" w:cs="Arial"/>
                <w:color w:val="000000"/>
                <w:sz w:val="20"/>
                <w:szCs w:val="20"/>
              </w:rPr>
              <w:t xml:space="preserve"> </w:t>
            </w:r>
            <w:proofErr w:type="spellStart"/>
            <w:r w:rsidRPr="00FC3969">
              <w:rPr>
                <w:rFonts w:ascii="Verdana" w:eastAsia="Times New Roman" w:hAnsi="Verdana" w:cs="Arial"/>
                <w:color w:val="000000"/>
                <w:sz w:val="20"/>
                <w:szCs w:val="20"/>
              </w:rPr>
              <w:t>Sayasat</w:t>
            </w:r>
            <w:proofErr w:type="spellEnd"/>
            <w:r w:rsidRPr="00FC3969">
              <w:rPr>
                <w:rFonts w:ascii="Verdana" w:eastAsia="Times New Roman" w:hAnsi="Verdana" w:cs="Arial"/>
                <w:color w:val="000000"/>
                <w:sz w:val="20"/>
                <w:szCs w:val="20"/>
              </w:rPr>
              <w:t xml:space="preserve"> </w:t>
            </w:r>
          </w:p>
        </w:tc>
      </w:tr>
      <w:tr w:rsidR="00EE55B5" w:rsidRPr="00FC3969" w:rsidTr="005F15DB">
        <w:trPr>
          <w:trHeight w:val="255"/>
        </w:trPr>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color w:val="000000"/>
                <w:sz w:val="20"/>
                <w:szCs w:val="20"/>
              </w:rPr>
            </w:pPr>
            <w:r w:rsidRPr="00FC3969">
              <w:rPr>
                <w:rFonts w:ascii="Verdana" w:eastAsia="Times New Roman" w:hAnsi="Verdana" w:cs="Arial"/>
                <w:color w:val="000000"/>
                <w:sz w:val="20"/>
                <w:szCs w:val="20"/>
              </w:rPr>
              <w:t>Lithuania</w:t>
            </w:r>
          </w:p>
        </w:tc>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color w:val="000000"/>
                <w:sz w:val="20"/>
                <w:szCs w:val="20"/>
              </w:rPr>
            </w:pPr>
            <w:proofErr w:type="spellStart"/>
            <w:r w:rsidRPr="00FC3969">
              <w:rPr>
                <w:rFonts w:ascii="Verdana" w:eastAsia="Times New Roman" w:hAnsi="Verdana" w:cs="Arial"/>
                <w:color w:val="000000"/>
                <w:sz w:val="20"/>
                <w:szCs w:val="20"/>
              </w:rPr>
              <w:t>Jolita</w:t>
            </w:r>
            <w:proofErr w:type="spellEnd"/>
            <w:r w:rsidRPr="00FC3969">
              <w:rPr>
                <w:rFonts w:ascii="Verdana" w:eastAsia="Times New Roman" w:hAnsi="Verdana" w:cs="Arial"/>
                <w:color w:val="000000"/>
                <w:sz w:val="20"/>
                <w:szCs w:val="20"/>
              </w:rPr>
              <w:t xml:space="preserve"> </w:t>
            </w:r>
            <w:proofErr w:type="spellStart"/>
            <w:r w:rsidRPr="00FC3969">
              <w:rPr>
                <w:rFonts w:ascii="Verdana" w:eastAsia="Times New Roman" w:hAnsi="Verdana" w:cs="Arial"/>
                <w:color w:val="000000"/>
                <w:sz w:val="20"/>
                <w:szCs w:val="20"/>
              </w:rPr>
              <w:t>Butkienė</w:t>
            </w:r>
            <w:proofErr w:type="spellEnd"/>
          </w:p>
        </w:tc>
      </w:tr>
      <w:tr w:rsidR="00EE55B5" w:rsidRPr="00FC3969" w:rsidTr="005F15DB">
        <w:trPr>
          <w:trHeight w:val="255"/>
        </w:trPr>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color w:val="000000"/>
                <w:sz w:val="20"/>
                <w:szCs w:val="20"/>
              </w:rPr>
            </w:pPr>
            <w:r w:rsidRPr="00FC3969">
              <w:rPr>
                <w:rFonts w:ascii="Verdana" w:eastAsia="Times New Roman" w:hAnsi="Verdana" w:cs="Arial"/>
                <w:color w:val="000000"/>
                <w:sz w:val="20"/>
                <w:szCs w:val="20"/>
              </w:rPr>
              <w:t>Moldova</w:t>
            </w:r>
          </w:p>
        </w:tc>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color w:val="000000"/>
                <w:sz w:val="20"/>
                <w:szCs w:val="20"/>
              </w:rPr>
            </w:pPr>
            <w:proofErr w:type="spellStart"/>
            <w:r w:rsidRPr="00FC3969">
              <w:rPr>
                <w:rFonts w:ascii="Verdana" w:eastAsia="Times New Roman" w:hAnsi="Verdana" w:cs="Arial"/>
                <w:color w:val="000000"/>
                <w:sz w:val="20"/>
                <w:szCs w:val="20"/>
              </w:rPr>
              <w:t>Ludmila</w:t>
            </w:r>
            <w:proofErr w:type="spellEnd"/>
            <w:r w:rsidRPr="00FC3969">
              <w:rPr>
                <w:rFonts w:ascii="Verdana" w:eastAsia="Times New Roman" w:hAnsi="Verdana" w:cs="Arial"/>
                <w:color w:val="000000"/>
                <w:sz w:val="20"/>
                <w:szCs w:val="20"/>
              </w:rPr>
              <w:t xml:space="preserve"> Pavlov</w:t>
            </w:r>
          </w:p>
        </w:tc>
      </w:tr>
      <w:tr w:rsidR="00EE55B5" w:rsidRPr="00FC3969" w:rsidTr="005F15DB">
        <w:trPr>
          <w:trHeight w:val="255"/>
        </w:trPr>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color w:val="000000"/>
                <w:sz w:val="20"/>
                <w:szCs w:val="20"/>
              </w:rPr>
            </w:pPr>
            <w:r w:rsidRPr="00FC3969">
              <w:rPr>
                <w:rFonts w:ascii="Verdana" w:eastAsia="Times New Roman" w:hAnsi="Verdana" w:cs="Arial"/>
                <w:color w:val="000000"/>
                <w:sz w:val="20"/>
                <w:szCs w:val="20"/>
              </w:rPr>
              <w:t>Poland</w:t>
            </w:r>
          </w:p>
        </w:tc>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color w:val="000000"/>
                <w:sz w:val="20"/>
                <w:szCs w:val="20"/>
              </w:rPr>
            </w:pPr>
            <w:r w:rsidRPr="00FC3969">
              <w:rPr>
                <w:rFonts w:ascii="Verdana" w:eastAsia="Times New Roman" w:hAnsi="Verdana" w:cs="Arial"/>
                <w:color w:val="000000"/>
                <w:sz w:val="20"/>
                <w:szCs w:val="20"/>
              </w:rPr>
              <w:t xml:space="preserve">Anna </w:t>
            </w:r>
            <w:proofErr w:type="spellStart"/>
            <w:r w:rsidRPr="00FC3969">
              <w:rPr>
                <w:rFonts w:ascii="Verdana" w:eastAsia="Times New Roman" w:hAnsi="Verdana" w:cs="Arial"/>
                <w:color w:val="000000"/>
                <w:sz w:val="20"/>
                <w:szCs w:val="20"/>
              </w:rPr>
              <w:t>Majda</w:t>
            </w:r>
            <w:proofErr w:type="spellEnd"/>
          </w:p>
        </w:tc>
      </w:tr>
      <w:tr w:rsidR="00EE55B5" w:rsidRPr="00FC3969" w:rsidTr="005F15DB">
        <w:trPr>
          <w:trHeight w:val="255"/>
        </w:trPr>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color w:val="000000"/>
                <w:sz w:val="20"/>
                <w:szCs w:val="20"/>
              </w:rPr>
            </w:pPr>
            <w:r w:rsidRPr="00FC3969">
              <w:rPr>
                <w:rFonts w:ascii="Verdana" w:eastAsia="Times New Roman" w:hAnsi="Verdana" w:cs="Arial"/>
                <w:color w:val="000000"/>
                <w:sz w:val="20"/>
                <w:szCs w:val="20"/>
              </w:rPr>
              <w:t>Romania</w:t>
            </w:r>
          </w:p>
        </w:tc>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color w:val="000000"/>
                <w:sz w:val="20"/>
                <w:szCs w:val="20"/>
              </w:rPr>
            </w:pPr>
            <w:proofErr w:type="spellStart"/>
            <w:r w:rsidRPr="00FC3969">
              <w:rPr>
                <w:rFonts w:ascii="Verdana" w:eastAsia="Times New Roman" w:hAnsi="Verdana" w:cs="Arial"/>
                <w:color w:val="000000"/>
                <w:sz w:val="20"/>
                <w:szCs w:val="20"/>
              </w:rPr>
              <w:t>Luminita</w:t>
            </w:r>
            <w:proofErr w:type="spellEnd"/>
            <w:r w:rsidRPr="00FC3969">
              <w:rPr>
                <w:rFonts w:ascii="Verdana" w:eastAsia="Times New Roman" w:hAnsi="Verdana" w:cs="Arial"/>
                <w:color w:val="000000"/>
                <w:sz w:val="20"/>
                <w:szCs w:val="20"/>
              </w:rPr>
              <w:t xml:space="preserve"> </w:t>
            </w:r>
            <w:proofErr w:type="spellStart"/>
            <w:r w:rsidRPr="00FC3969">
              <w:rPr>
                <w:rFonts w:ascii="Verdana" w:eastAsia="Times New Roman" w:hAnsi="Verdana" w:cs="Arial"/>
                <w:color w:val="000000"/>
                <w:sz w:val="20"/>
                <w:szCs w:val="20"/>
              </w:rPr>
              <w:t>Nicolescu</w:t>
            </w:r>
            <w:proofErr w:type="spellEnd"/>
          </w:p>
        </w:tc>
      </w:tr>
      <w:tr w:rsidR="00EE55B5" w:rsidRPr="00FC3969" w:rsidTr="005F15DB">
        <w:trPr>
          <w:trHeight w:val="255"/>
        </w:trPr>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color w:val="000000"/>
                <w:sz w:val="20"/>
                <w:szCs w:val="20"/>
              </w:rPr>
            </w:pPr>
            <w:r w:rsidRPr="00FC3969">
              <w:rPr>
                <w:rFonts w:ascii="Verdana" w:eastAsia="Times New Roman" w:hAnsi="Verdana" w:cs="Arial"/>
                <w:color w:val="000000"/>
                <w:sz w:val="20"/>
                <w:szCs w:val="20"/>
              </w:rPr>
              <w:t>Slovenia</w:t>
            </w:r>
          </w:p>
        </w:tc>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color w:val="000000"/>
                <w:sz w:val="20"/>
                <w:szCs w:val="20"/>
              </w:rPr>
            </w:pPr>
            <w:proofErr w:type="spellStart"/>
            <w:r w:rsidRPr="00FC3969">
              <w:rPr>
                <w:rFonts w:ascii="Verdana" w:eastAsia="Times New Roman" w:hAnsi="Verdana" w:cs="Arial"/>
                <w:color w:val="000000"/>
                <w:sz w:val="20"/>
                <w:szCs w:val="20"/>
              </w:rPr>
              <w:t>Alenka</w:t>
            </w:r>
            <w:proofErr w:type="spellEnd"/>
            <w:r w:rsidRPr="00FC3969">
              <w:rPr>
                <w:rFonts w:ascii="Verdana" w:eastAsia="Times New Roman" w:hAnsi="Verdana" w:cs="Arial"/>
                <w:color w:val="000000"/>
                <w:sz w:val="20"/>
                <w:szCs w:val="20"/>
              </w:rPr>
              <w:t xml:space="preserve"> FLANDER</w:t>
            </w:r>
          </w:p>
        </w:tc>
      </w:tr>
      <w:tr w:rsidR="00EE55B5" w:rsidRPr="006F4996" w:rsidTr="005F15DB">
        <w:trPr>
          <w:trHeight w:val="255"/>
        </w:trPr>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color w:val="000000"/>
                <w:sz w:val="20"/>
                <w:szCs w:val="20"/>
              </w:rPr>
            </w:pPr>
            <w:r w:rsidRPr="00FC3969">
              <w:rPr>
                <w:rFonts w:ascii="Verdana" w:eastAsia="Times New Roman" w:hAnsi="Verdana" w:cs="Arial"/>
                <w:color w:val="000000"/>
                <w:sz w:val="20"/>
                <w:szCs w:val="20"/>
              </w:rPr>
              <w:t>the Netherlands</w:t>
            </w:r>
          </w:p>
        </w:tc>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color w:val="000000"/>
                <w:sz w:val="20"/>
                <w:szCs w:val="20"/>
                <w:lang w:val="es-ES_tradnl"/>
              </w:rPr>
            </w:pPr>
            <w:r w:rsidRPr="00FC3969">
              <w:rPr>
                <w:rFonts w:ascii="Verdana" w:eastAsia="Times New Roman" w:hAnsi="Verdana" w:cs="Arial"/>
                <w:color w:val="000000"/>
                <w:sz w:val="20"/>
                <w:szCs w:val="20"/>
                <w:lang w:val="es-ES_tradnl"/>
              </w:rPr>
              <w:t xml:space="preserve">Ms </w:t>
            </w:r>
            <w:proofErr w:type="spellStart"/>
            <w:r w:rsidRPr="00FC3969">
              <w:rPr>
                <w:rFonts w:ascii="Verdana" w:eastAsia="Times New Roman" w:hAnsi="Verdana" w:cs="Arial"/>
                <w:color w:val="000000"/>
                <w:sz w:val="20"/>
                <w:szCs w:val="20"/>
                <w:lang w:val="es-ES_tradnl"/>
              </w:rPr>
              <w:t>Jolien</w:t>
            </w:r>
            <w:proofErr w:type="spellEnd"/>
            <w:r w:rsidRPr="00FC3969">
              <w:rPr>
                <w:rFonts w:ascii="Verdana" w:eastAsia="Times New Roman" w:hAnsi="Verdana" w:cs="Arial"/>
                <w:color w:val="000000"/>
                <w:sz w:val="20"/>
                <w:szCs w:val="20"/>
                <w:lang w:val="es-ES_tradnl"/>
              </w:rPr>
              <w:t xml:space="preserve"> van der </w:t>
            </w:r>
            <w:proofErr w:type="spellStart"/>
            <w:r w:rsidRPr="00FC3969">
              <w:rPr>
                <w:rFonts w:ascii="Verdana" w:eastAsia="Times New Roman" w:hAnsi="Verdana" w:cs="Arial"/>
                <w:color w:val="000000"/>
                <w:sz w:val="20"/>
                <w:szCs w:val="20"/>
                <w:lang w:val="es-ES_tradnl"/>
              </w:rPr>
              <w:t>Vegt</w:t>
            </w:r>
            <w:proofErr w:type="spellEnd"/>
          </w:p>
        </w:tc>
      </w:tr>
      <w:tr w:rsidR="00EE55B5" w:rsidRPr="00FC3969" w:rsidTr="005F15DB">
        <w:trPr>
          <w:trHeight w:val="255"/>
        </w:trPr>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color w:val="000000"/>
                <w:sz w:val="20"/>
                <w:szCs w:val="20"/>
              </w:rPr>
            </w:pPr>
            <w:r w:rsidRPr="00FC3969">
              <w:rPr>
                <w:rFonts w:ascii="Verdana" w:eastAsia="Times New Roman" w:hAnsi="Verdana" w:cs="Arial"/>
                <w:color w:val="000000"/>
                <w:sz w:val="20"/>
                <w:szCs w:val="20"/>
              </w:rPr>
              <w:t>UK</w:t>
            </w:r>
          </w:p>
        </w:tc>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sz w:val="20"/>
                <w:szCs w:val="20"/>
              </w:rPr>
            </w:pPr>
            <w:r>
              <w:rPr>
                <w:rFonts w:ascii="Verdana" w:eastAsia="Times New Roman" w:hAnsi="Verdana" w:cs="Arial"/>
                <w:sz w:val="20"/>
                <w:szCs w:val="20"/>
              </w:rPr>
              <w:t>Ian Crombie</w:t>
            </w:r>
          </w:p>
        </w:tc>
      </w:tr>
      <w:tr w:rsidR="00EE55B5" w:rsidRPr="00FC3969" w:rsidTr="005F15DB">
        <w:trPr>
          <w:trHeight w:val="255"/>
        </w:trPr>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color w:val="000000"/>
                <w:sz w:val="20"/>
                <w:szCs w:val="20"/>
              </w:rPr>
            </w:pPr>
            <w:r w:rsidRPr="00FC3969">
              <w:rPr>
                <w:rFonts w:ascii="Verdana" w:eastAsia="Times New Roman" w:hAnsi="Verdana" w:cs="Arial"/>
                <w:color w:val="000000"/>
                <w:sz w:val="20"/>
                <w:szCs w:val="20"/>
              </w:rPr>
              <w:t>Bologna Secretariat</w:t>
            </w:r>
          </w:p>
        </w:tc>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color w:val="000000"/>
                <w:sz w:val="20"/>
                <w:szCs w:val="20"/>
              </w:rPr>
            </w:pPr>
            <w:proofErr w:type="spellStart"/>
            <w:r w:rsidRPr="00FC3969">
              <w:rPr>
                <w:rFonts w:ascii="Verdana" w:eastAsia="Times New Roman" w:hAnsi="Verdana" w:cs="Arial"/>
                <w:color w:val="000000"/>
                <w:sz w:val="20"/>
                <w:szCs w:val="20"/>
              </w:rPr>
              <w:t>Gayane</w:t>
            </w:r>
            <w:proofErr w:type="spellEnd"/>
            <w:r w:rsidRPr="00FC3969">
              <w:rPr>
                <w:rFonts w:ascii="Verdana" w:eastAsia="Times New Roman" w:hAnsi="Verdana" w:cs="Arial"/>
                <w:color w:val="000000"/>
                <w:sz w:val="20"/>
                <w:szCs w:val="20"/>
              </w:rPr>
              <w:t xml:space="preserve"> </w:t>
            </w:r>
            <w:proofErr w:type="spellStart"/>
            <w:r w:rsidRPr="00FC3969">
              <w:rPr>
                <w:rFonts w:ascii="Verdana" w:eastAsia="Times New Roman" w:hAnsi="Verdana" w:cs="Arial"/>
                <w:color w:val="000000"/>
                <w:sz w:val="20"/>
                <w:szCs w:val="20"/>
              </w:rPr>
              <w:t>Harutyunayn</w:t>
            </w:r>
            <w:proofErr w:type="spellEnd"/>
          </w:p>
        </w:tc>
      </w:tr>
      <w:tr w:rsidR="00EE55B5" w:rsidRPr="00FC3969" w:rsidTr="005F15DB">
        <w:trPr>
          <w:trHeight w:val="255"/>
        </w:trPr>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color w:val="000000"/>
                <w:sz w:val="20"/>
                <w:szCs w:val="20"/>
              </w:rPr>
            </w:pPr>
            <w:r w:rsidRPr="00FC3969">
              <w:rPr>
                <w:rFonts w:ascii="Verdana" w:eastAsia="Times New Roman" w:hAnsi="Verdana" w:cs="Arial"/>
                <w:color w:val="000000"/>
                <w:sz w:val="20"/>
                <w:szCs w:val="20"/>
              </w:rPr>
              <w:t>Bologna Secretariat</w:t>
            </w:r>
          </w:p>
        </w:tc>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color w:val="000000"/>
                <w:sz w:val="20"/>
                <w:szCs w:val="20"/>
              </w:rPr>
            </w:pPr>
            <w:r w:rsidRPr="00FC3969">
              <w:rPr>
                <w:rFonts w:ascii="Verdana" w:eastAsia="Times New Roman" w:hAnsi="Verdana" w:cs="Arial"/>
                <w:color w:val="000000"/>
                <w:sz w:val="20"/>
                <w:szCs w:val="20"/>
              </w:rPr>
              <w:t xml:space="preserve">Hayk </w:t>
            </w:r>
            <w:proofErr w:type="spellStart"/>
            <w:r w:rsidRPr="00FC3969">
              <w:rPr>
                <w:rFonts w:ascii="Verdana" w:eastAsia="Times New Roman" w:hAnsi="Verdana" w:cs="Arial"/>
                <w:color w:val="000000"/>
                <w:sz w:val="20"/>
                <w:szCs w:val="20"/>
              </w:rPr>
              <w:t>Sargsyan</w:t>
            </w:r>
            <w:proofErr w:type="spellEnd"/>
          </w:p>
        </w:tc>
      </w:tr>
    </w:tbl>
    <w:p w:rsidR="00EA43AB" w:rsidRPr="00EA43AB" w:rsidRDefault="00EA43AB" w:rsidP="00012D0D">
      <w:pPr>
        <w:spacing w:after="0" w:line="312" w:lineRule="auto"/>
        <w:rPr>
          <w:rFonts w:ascii="Verdana" w:hAnsi="Verdana"/>
          <w:sz w:val="20"/>
          <w:szCs w:val="20"/>
          <w:lang w:val="en-GB"/>
        </w:rPr>
      </w:pPr>
    </w:p>
    <w:p w:rsidR="00E33D68" w:rsidRDefault="00E33D68" w:rsidP="00437948">
      <w:pPr>
        <w:spacing w:after="0" w:line="312" w:lineRule="auto"/>
        <w:rPr>
          <w:rFonts w:ascii="Verdana" w:hAnsi="Verdana"/>
          <w:sz w:val="20"/>
          <w:szCs w:val="20"/>
          <w:lang w:val="en-GB"/>
        </w:rPr>
      </w:pPr>
    </w:p>
    <w:p w:rsidR="00437948" w:rsidRPr="00437948" w:rsidRDefault="00437948" w:rsidP="00437948">
      <w:pPr>
        <w:spacing w:after="0" w:line="312" w:lineRule="auto"/>
        <w:rPr>
          <w:rFonts w:ascii="Verdana" w:hAnsi="Verdana"/>
          <w:lang w:val="en-GB"/>
        </w:rPr>
      </w:pPr>
      <w:r w:rsidRPr="00437948">
        <w:rPr>
          <w:rFonts w:ascii="Verdana" w:hAnsi="Verdana"/>
          <w:b/>
          <w:lang w:val="en-GB"/>
        </w:rPr>
        <w:t xml:space="preserve">ANNEX </w:t>
      </w:r>
      <w:r w:rsidR="006C0154">
        <w:rPr>
          <w:rFonts w:ascii="Verdana" w:hAnsi="Verdana"/>
          <w:b/>
          <w:lang w:val="en-GB"/>
        </w:rPr>
        <w:t>III</w:t>
      </w:r>
      <w:r w:rsidRPr="00437948">
        <w:rPr>
          <w:rFonts w:ascii="Verdana" w:hAnsi="Verdana"/>
          <w:b/>
          <w:lang w:val="en-GB"/>
        </w:rPr>
        <w:t xml:space="preserve">: Staff mobility in the European Higher Education Area (EHEA): </w:t>
      </w:r>
      <w:r w:rsidRPr="00437948">
        <w:rPr>
          <w:rFonts w:ascii="Verdana" w:hAnsi="Verdana"/>
          <w:b/>
          <w:lang w:val="en-GB"/>
        </w:rPr>
        <w:br/>
        <w:t>Recommendations to enhance staff mobility</w:t>
      </w:r>
    </w:p>
    <w:p w:rsidR="00437948" w:rsidRDefault="00437948" w:rsidP="00437948">
      <w:pPr>
        <w:spacing w:after="0" w:line="312" w:lineRule="auto"/>
        <w:rPr>
          <w:rFonts w:ascii="Verdana" w:hAnsi="Verdana"/>
          <w:sz w:val="20"/>
          <w:szCs w:val="20"/>
          <w:lang w:val="en-GB"/>
        </w:rPr>
      </w:pPr>
    </w:p>
    <w:p w:rsidR="00437948" w:rsidRPr="003D57FA" w:rsidRDefault="00437948" w:rsidP="00437948">
      <w:pPr>
        <w:spacing w:line="312" w:lineRule="auto"/>
        <w:jc w:val="both"/>
        <w:rPr>
          <w:rFonts w:ascii="Verdana" w:hAnsi="Verdana"/>
          <w:sz w:val="20"/>
          <w:szCs w:val="20"/>
          <w:lang w:val="en-GB"/>
        </w:rPr>
      </w:pPr>
      <w:r w:rsidRPr="003D57FA">
        <w:rPr>
          <w:rFonts w:ascii="Verdana" w:hAnsi="Verdana"/>
          <w:sz w:val="20"/>
          <w:szCs w:val="20"/>
          <w:lang w:val="en-GB"/>
        </w:rPr>
        <w:t xml:space="preserve">Mobility of all groups of staff (academic, administrative, technical) in higher education institutions is a key factor when it comes to internationalising higher education systems and institutions. Mobility of staff is related to knowledge circulation and pursues a variety of general aims. Depending on the position and the field of work of a member of staff as well as the type of receiving institution, some aims can differ. </w:t>
      </w:r>
    </w:p>
    <w:p w:rsidR="00437948" w:rsidRPr="003D57FA" w:rsidRDefault="00437948" w:rsidP="00437948">
      <w:pPr>
        <w:spacing w:line="312" w:lineRule="auto"/>
        <w:jc w:val="both"/>
        <w:rPr>
          <w:rFonts w:ascii="Verdana" w:hAnsi="Verdana"/>
          <w:sz w:val="20"/>
          <w:szCs w:val="20"/>
          <w:lang w:val="en-GB"/>
        </w:rPr>
      </w:pPr>
      <w:r w:rsidRPr="003D57FA">
        <w:rPr>
          <w:rFonts w:ascii="Verdana" w:hAnsi="Verdana"/>
          <w:sz w:val="20"/>
          <w:szCs w:val="20"/>
          <w:lang w:val="en-GB"/>
        </w:rPr>
        <w:t>From the perspective of the European Higher Education Area (EHEA),</w:t>
      </w:r>
      <w:r w:rsidRPr="003D57FA">
        <w:rPr>
          <w:rFonts w:ascii="Verdana" w:hAnsi="Verdana"/>
          <w:b/>
          <w:sz w:val="20"/>
          <w:szCs w:val="20"/>
          <w:lang w:val="en-GB"/>
        </w:rPr>
        <w:t xml:space="preserve"> </w:t>
      </w:r>
      <w:r w:rsidRPr="003D57FA">
        <w:rPr>
          <w:rFonts w:ascii="Verdana" w:hAnsi="Verdana"/>
          <w:sz w:val="20"/>
          <w:szCs w:val="20"/>
          <w:lang w:val="en-GB"/>
        </w:rPr>
        <w:t>the</w:t>
      </w:r>
      <w:r w:rsidRPr="003D57FA">
        <w:rPr>
          <w:rFonts w:ascii="Verdana" w:hAnsi="Verdana"/>
          <w:b/>
          <w:sz w:val="20"/>
          <w:szCs w:val="20"/>
          <w:lang w:val="en-GB"/>
        </w:rPr>
        <w:t xml:space="preserve"> </w:t>
      </w:r>
      <w:r w:rsidRPr="003D57FA">
        <w:rPr>
          <w:rFonts w:ascii="Verdana" w:hAnsi="Verdana"/>
          <w:sz w:val="20"/>
          <w:szCs w:val="20"/>
          <w:lang w:val="en-GB"/>
        </w:rPr>
        <w:t>general aims of</w:t>
      </w:r>
      <w:r w:rsidRPr="003D57FA">
        <w:rPr>
          <w:rFonts w:ascii="Verdana" w:hAnsi="Verdana"/>
          <w:b/>
          <w:sz w:val="20"/>
          <w:szCs w:val="20"/>
          <w:lang w:val="en-GB"/>
        </w:rPr>
        <w:t xml:space="preserve"> academic staff mobility </w:t>
      </w:r>
      <w:r w:rsidRPr="003D57FA">
        <w:rPr>
          <w:rFonts w:ascii="Verdana" w:hAnsi="Verdana"/>
          <w:sz w:val="20"/>
          <w:szCs w:val="20"/>
          <w:lang w:val="en-GB"/>
        </w:rPr>
        <w:t xml:space="preserve">are to assure and increase the quality of education and research. Staff mobility fosters learning mobility as well as sustainability within exchanges between institutions and has a multiplier role for the overall mobility of students and staff. </w:t>
      </w:r>
      <w:r w:rsidRPr="003D57FA">
        <w:rPr>
          <w:rFonts w:ascii="Verdana" w:hAnsi="Verdana"/>
          <w:sz w:val="20"/>
          <w:szCs w:val="20"/>
        </w:rPr>
        <w:t xml:space="preserve">Staff mobility in the EHEA plays a crucial role in the exchange of knowledge and ideas, encourages the personal and professional development of staff and is a necessary condition for </w:t>
      </w:r>
      <w:proofErr w:type="spellStart"/>
      <w:r w:rsidRPr="003D57FA">
        <w:rPr>
          <w:rFonts w:ascii="Verdana" w:hAnsi="Verdana"/>
          <w:sz w:val="20"/>
          <w:szCs w:val="20"/>
        </w:rPr>
        <w:t>internationalisation</w:t>
      </w:r>
      <w:proofErr w:type="spellEnd"/>
      <w:r w:rsidRPr="003D57FA">
        <w:rPr>
          <w:rFonts w:ascii="Verdana" w:hAnsi="Verdana"/>
          <w:sz w:val="20"/>
          <w:szCs w:val="20"/>
        </w:rPr>
        <w:t xml:space="preserve"> at home. It contributes to foreign language proficiency, furthers intercultural skills and strengthens employability of students and staff. Mobility is essential for sustainable international networks and cooperation and makes the EHEA more attractive and competitive. </w:t>
      </w:r>
      <w:r w:rsidRPr="003D57FA">
        <w:rPr>
          <w:rFonts w:ascii="Verdana" w:hAnsi="Verdana"/>
          <w:sz w:val="20"/>
          <w:szCs w:val="20"/>
          <w:lang w:val="en-GB"/>
        </w:rPr>
        <w:t xml:space="preserve">A mobility period of academic staff at a higher education institution abroad increases the quality of teaching and helps to integrate the global dimension in the curricula. When academic staff undertake a mobility period at a research institution, enterprise or other organisation abroad, this may facilitate working relations between academia and businesses or research institutions and lead to new placement/research opportunities for students. </w:t>
      </w:r>
    </w:p>
    <w:p w:rsidR="00437948" w:rsidRPr="003D57FA" w:rsidRDefault="00437948" w:rsidP="00437948">
      <w:pPr>
        <w:spacing w:line="312" w:lineRule="auto"/>
        <w:jc w:val="both"/>
        <w:rPr>
          <w:rFonts w:ascii="Verdana" w:hAnsi="Verdana"/>
          <w:sz w:val="20"/>
          <w:szCs w:val="20"/>
          <w:lang w:val="en-GB"/>
        </w:rPr>
      </w:pPr>
      <w:r w:rsidRPr="003D57FA">
        <w:rPr>
          <w:rFonts w:ascii="Verdana" w:hAnsi="Verdana"/>
          <w:sz w:val="20"/>
          <w:szCs w:val="20"/>
        </w:rPr>
        <w:t xml:space="preserve">The mobility </w:t>
      </w:r>
      <w:r w:rsidRPr="003D57FA">
        <w:rPr>
          <w:rFonts w:ascii="Verdana" w:hAnsi="Verdana"/>
          <w:sz w:val="20"/>
          <w:szCs w:val="20"/>
          <w:lang w:val="en-GB"/>
        </w:rPr>
        <w:t xml:space="preserve">of </w:t>
      </w:r>
      <w:r w:rsidRPr="003D57FA">
        <w:rPr>
          <w:rFonts w:ascii="Verdana" w:hAnsi="Verdana"/>
          <w:b/>
          <w:sz w:val="20"/>
          <w:szCs w:val="20"/>
          <w:lang w:val="en-GB"/>
        </w:rPr>
        <w:t>administrative or technical staff</w:t>
      </w:r>
      <w:r w:rsidRPr="003D57FA">
        <w:rPr>
          <w:rFonts w:ascii="Verdana" w:hAnsi="Verdana"/>
          <w:sz w:val="20"/>
          <w:szCs w:val="20"/>
          <w:lang w:val="en-GB"/>
        </w:rPr>
        <w:t xml:space="preserve"> increases and assures the quality of administration, management and student services. It provides help to better understand different administrative structures and thus to overcome existing barriers for mobile staff. </w:t>
      </w:r>
    </w:p>
    <w:p w:rsidR="00437948" w:rsidRPr="003D57FA" w:rsidRDefault="00437948" w:rsidP="00437948">
      <w:pPr>
        <w:spacing w:line="312" w:lineRule="auto"/>
        <w:jc w:val="both"/>
        <w:rPr>
          <w:rFonts w:ascii="Verdana" w:hAnsi="Verdana"/>
          <w:sz w:val="20"/>
          <w:szCs w:val="20"/>
        </w:rPr>
      </w:pPr>
      <w:r w:rsidRPr="003D57FA">
        <w:rPr>
          <w:rFonts w:ascii="Verdana" w:hAnsi="Verdana"/>
          <w:sz w:val="20"/>
          <w:szCs w:val="20"/>
          <w:lang w:val="en-GB"/>
        </w:rPr>
        <w:lastRenderedPageBreak/>
        <w:t xml:space="preserve">The following recommendations serve to promote and encourage staff mobility. They are directed towards all member countries of the EHEA, higher education institutions as well as academic, administrative and technical staff at higher education institutions.  </w:t>
      </w:r>
    </w:p>
    <w:p w:rsidR="00437948" w:rsidRPr="003D57FA" w:rsidRDefault="00437948" w:rsidP="00B07A9D">
      <w:pPr>
        <w:pStyle w:val="ListParagraph"/>
        <w:numPr>
          <w:ilvl w:val="0"/>
          <w:numId w:val="6"/>
        </w:numPr>
        <w:spacing w:after="200" w:line="312" w:lineRule="auto"/>
        <w:jc w:val="both"/>
        <w:rPr>
          <w:rFonts w:ascii="Verdana" w:hAnsi="Verdana"/>
          <w:b/>
          <w:sz w:val="20"/>
          <w:szCs w:val="20"/>
          <w:u w:val="single"/>
          <w:lang w:val="en-GB"/>
        </w:rPr>
      </w:pPr>
      <w:r w:rsidRPr="003D57FA">
        <w:rPr>
          <w:rFonts w:ascii="Verdana" w:hAnsi="Verdana"/>
          <w:b/>
          <w:sz w:val="20"/>
          <w:szCs w:val="20"/>
          <w:u w:val="single"/>
          <w:lang w:val="en-GB"/>
        </w:rPr>
        <w:t>Definition of staff mobility</w:t>
      </w:r>
    </w:p>
    <w:p w:rsidR="00437948" w:rsidRPr="003D57FA" w:rsidRDefault="00437948" w:rsidP="00437948">
      <w:pPr>
        <w:spacing w:line="312" w:lineRule="auto"/>
        <w:jc w:val="both"/>
        <w:rPr>
          <w:rFonts w:ascii="Verdana" w:hAnsi="Verdana"/>
          <w:sz w:val="20"/>
          <w:szCs w:val="20"/>
          <w:lang w:val="en-GB"/>
        </w:rPr>
      </w:pPr>
      <w:r w:rsidRPr="003D57FA">
        <w:rPr>
          <w:rFonts w:ascii="Verdana" w:hAnsi="Verdana"/>
          <w:sz w:val="20"/>
          <w:szCs w:val="20"/>
          <w:lang w:val="en-GB"/>
        </w:rPr>
        <w:t xml:space="preserve">Staff mobility comprises </w:t>
      </w:r>
      <w:r w:rsidRPr="003D57FA">
        <w:rPr>
          <w:rFonts w:ascii="Verdana" w:hAnsi="Verdana"/>
          <w:b/>
          <w:sz w:val="20"/>
          <w:szCs w:val="20"/>
          <w:lang w:val="en-GB"/>
        </w:rPr>
        <w:t>all groups of staff</w:t>
      </w:r>
      <w:r w:rsidRPr="003D57FA">
        <w:rPr>
          <w:rFonts w:ascii="Verdana" w:hAnsi="Verdana"/>
          <w:sz w:val="20"/>
          <w:szCs w:val="20"/>
          <w:lang w:val="en-GB"/>
        </w:rPr>
        <w:t xml:space="preserve"> - academic, administrative and technical staff</w:t>
      </w:r>
      <w:r w:rsidRPr="003D57FA">
        <w:rPr>
          <w:rStyle w:val="FootnoteReference"/>
          <w:rFonts w:ascii="Verdana" w:hAnsi="Verdana"/>
          <w:sz w:val="20"/>
          <w:szCs w:val="20"/>
          <w:lang w:val="en-GB"/>
        </w:rPr>
        <w:footnoteReference w:id="3"/>
      </w:r>
      <w:r w:rsidRPr="003D57FA">
        <w:rPr>
          <w:rFonts w:ascii="Verdana" w:hAnsi="Verdana"/>
          <w:sz w:val="20"/>
          <w:szCs w:val="20"/>
          <w:lang w:val="en-GB"/>
        </w:rPr>
        <w:t xml:space="preserve"> - that are mobile either </w:t>
      </w:r>
      <w:r w:rsidRPr="003D57FA">
        <w:rPr>
          <w:rFonts w:ascii="Verdana" w:hAnsi="Verdana"/>
          <w:b/>
          <w:sz w:val="20"/>
          <w:szCs w:val="20"/>
          <w:lang w:val="en-GB"/>
        </w:rPr>
        <w:t>between higher education institutions</w:t>
      </w:r>
      <w:r w:rsidRPr="003D57FA">
        <w:rPr>
          <w:rFonts w:ascii="Verdana" w:hAnsi="Verdana"/>
          <w:sz w:val="20"/>
          <w:szCs w:val="20"/>
          <w:lang w:val="en-GB"/>
        </w:rPr>
        <w:t xml:space="preserve"> or between a </w:t>
      </w:r>
      <w:r w:rsidRPr="003D57FA">
        <w:rPr>
          <w:rFonts w:ascii="Verdana" w:hAnsi="Verdana"/>
          <w:b/>
          <w:sz w:val="20"/>
          <w:szCs w:val="20"/>
          <w:lang w:val="en-GB"/>
        </w:rPr>
        <w:t>higher education institution and a research institution, an enterprise or another organisation</w:t>
      </w:r>
      <w:r w:rsidRPr="003D57FA">
        <w:rPr>
          <w:rFonts w:ascii="Verdana" w:hAnsi="Verdana"/>
          <w:sz w:val="20"/>
          <w:szCs w:val="20"/>
          <w:lang w:val="en-GB"/>
        </w:rPr>
        <w:t xml:space="preserve">. Those guidelines refer to mobility of staff as </w:t>
      </w:r>
      <w:r w:rsidRPr="003D57FA">
        <w:rPr>
          <w:rFonts w:ascii="Verdana" w:hAnsi="Verdana"/>
          <w:b/>
          <w:sz w:val="20"/>
          <w:szCs w:val="20"/>
          <w:lang w:val="en-GB"/>
        </w:rPr>
        <w:t>physical cross-border mobility</w:t>
      </w:r>
      <w:r w:rsidRPr="003D57FA">
        <w:rPr>
          <w:rFonts w:ascii="Verdana" w:hAnsi="Verdana"/>
          <w:sz w:val="20"/>
          <w:szCs w:val="20"/>
          <w:lang w:val="en-GB"/>
        </w:rPr>
        <w:t xml:space="preserve">. The mobility may take place on a </w:t>
      </w:r>
      <w:r w:rsidRPr="003D57FA">
        <w:rPr>
          <w:rFonts w:ascii="Verdana" w:hAnsi="Verdana"/>
          <w:b/>
          <w:sz w:val="20"/>
          <w:szCs w:val="20"/>
          <w:lang w:val="en-GB"/>
        </w:rPr>
        <w:t>temporary basis</w:t>
      </w:r>
      <w:r w:rsidRPr="003D57FA">
        <w:rPr>
          <w:rFonts w:ascii="Verdana" w:hAnsi="Verdana"/>
          <w:sz w:val="20"/>
          <w:szCs w:val="20"/>
          <w:lang w:val="en-GB"/>
        </w:rPr>
        <w:t xml:space="preserve">, i.e. with an intended return to the home institution or for an </w:t>
      </w:r>
      <w:r w:rsidRPr="003D57FA">
        <w:rPr>
          <w:rFonts w:ascii="Verdana" w:hAnsi="Verdana"/>
          <w:b/>
          <w:sz w:val="20"/>
          <w:szCs w:val="20"/>
          <w:lang w:val="en-GB"/>
        </w:rPr>
        <w:t>indefinite period</w:t>
      </w:r>
      <w:r w:rsidRPr="003D57FA">
        <w:rPr>
          <w:rFonts w:ascii="Verdana" w:hAnsi="Verdana"/>
          <w:sz w:val="20"/>
          <w:szCs w:val="20"/>
          <w:lang w:val="en-GB"/>
        </w:rPr>
        <w:t xml:space="preserve">, i.e. including a change of employer. </w:t>
      </w:r>
    </w:p>
    <w:p w:rsidR="00437948" w:rsidRPr="003D57FA" w:rsidRDefault="00437948" w:rsidP="00B07A9D">
      <w:pPr>
        <w:pStyle w:val="ListParagraph"/>
        <w:numPr>
          <w:ilvl w:val="0"/>
          <w:numId w:val="6"/>
        </w:numPr>
        <w:spacing w:after="200" w:line="312" w:lineRule="auto"/>
        <w:jc w:val="both"/>
        <w:rPr>
          <w:rFonts w:ascii="Verdana" w:hAnsi="Verdana"/>
          <w:b/>
          <w:sz w:val="20"/>
          <w:szCs w:val="20"/>
          <w:u w:val="single"/>
          <w:lang w:val="en-GB"/>
        </w:rPr>
      </w:pPr>
      <w:r w:rsidRPr="003D57FA">
        <w:rPr>
          <w:rFonts w:ascii="Verdana" w:hAnsi="Verdana"/>
          <w:b/>
          <w:sz w:val="20"/>
          <w:szCs w:val="20"/>
          <w:u w:val="single"/>
          <w:lang w:val="en-GB"/>
        </w:rPr>
        <w:t>Recommendations to enhance staff mobility</w:t>
      </w:r>
    </w:p>
    <w:p w:rsidR="00437948" w:rsidRPr="003D57FA" w:rsidRDefault="00437948" w:rsidP="00437948">
      <w:pPr>
        <w:pStyle w:val="ListParagraph"/>
        <w:spacing w:line="312" w:lineRule="auto"/>
        <w:ind w:left="360"/>
        <w:jc w:val="both"/>
        <w:rPr>
          <w:rFonts w:ascii="Verdana" w:hAnsi="Verdana"/>
          <w:b/>
          <w:sz w:val="20"/>
          <w:szCs w:val="20"/>
          <w:lang w:val="en-GB"/>
        </w:rPr>
      </w:pPr>
    </w:p>
    <w:p w:rsidR="00437948" w:rsidRPr="003D57FA" w:rsidRDefault="00C73ADD" w:rsidP="00B07A9D">
      <w:pPr>
        <w:pStyle w:val="ListParagraph"/>
        <w:numPr>
          <w:ilvl w:val="1"/>
          <w:numId w:val="8"/>
        </w:numPr>
        <w:spacing w:after="200" w:line="312" w:lineRule="auto"/>
        <w:jc w:val="both"/>
        <w:rPr>
          <w:rFonts w:ascii="Verdana" w:hAnsi="Verdana"/>
          <w:b/>
          <w:sz w:val="20"/>
          <w:szCs w:val="20"/>
          <w:lang w:val="en-GB"/>
        </w:rPr>
      </w:pPr>
      <w:r>
        <w:rPr>
          <w:rFonts w:ascii="Verdana" w:hAnsi="Verdana"/>
          <w:b/>
          <w:sz w:val="20"/>
          <w:szCs w:val="20"/>
          <w:lang w:val="en-GB"/>
        </w:rPr>
        <w:t xml:space="preserve"> </w:t>
      </w:r>
      <w:r w:rsidR="00437948" w:rsidRPr="003D57FA">
        <w:rPr>
          <w:rFonts w:ascii="Verdana" w:hAnsi="Verdana"/>
          <w:b/>
          <w:sz w:val="20"/>
          <w:szCs w:val="20"/>
          <w:lang w:val="en-GB"/>
        </w:rPr>
        <w:t>All member countries of the EHEA are called upon to</w:t>
      </w:r>
    </w:p>
    <w:p w:rsidR="00437948" w:rsidRPr="003D57FA" w:rsidRDefault="00437948" w:rsidP="00437948">
      <w:pPr>
        <w:pStyle w:val="ListParagraph"/>
        <w:spacing w:line="312" w:lineRule="auto"/>
        <w:ind w:left="360"/>
        <w:jc w:val="both"/>
        <w:rPr>
          <w:rFonts w:ascii="Verdana" w:hAnsi="Verdana"/>
          <w:b/>
          <w:sz w:val="20"/>
          <w:szCs w:val="20"/>
          <w:lang w:val="en-GB"/>
        </w:rPr>
      </w:pPr>
    </w:p>
    <w:p w:rsidR="00437948" w:rsidRDefault="00437948" w:rsidP="00B07A9D">
      <w:pPr>
        <w:pStyle w:val="ListParagraph"/>
        <w:numPr>
          <w:ilvl w:val="0"/>
          <w:numId w:val="7"/>
        </w:numPr>
        <w:spacing w:after="200" w:line="312" w:lineRule="auto"/>
        <w:jc w:val="both"/>
        <w:rPr>
          <w:rFonts w:ascii="Verdana" w:hAnsi="Verdana"/>
          <w:b/>
          <w:sz w:val="20"/>
          <w:szCs w:val="20"/>
          <w:lang w:val="en-GB"/>
        </w:rPr>
      </w:pPr>
      <w:r w:rsidRPr="003D57FA">
        <w:rPr>
          <w:rFonts w:ascii="Verdana" w:hAnsi="Verdana"/>
          <w:b/>
          <w:sz w:val="20"/>
          <w:szCs w:val="20"/>
          <w:lang w:val="en-GB"/>
        </w:rPr>
        <w:t xml:space="preserve">Ensure that the national legal framework encourages staff mobility </w:t>
      </w:r>
    </w:p>
    <w:p w:rsidR="00437948" w:rsidRDefault="00437948" w:rsidP="00437948">
      <w:pPr>
        <w:pStyle w:val="ListParagraph"/>
        <w:spacing w:line="312" w:lineRule="auto"/>
        <w:ind w:left="360"/>
        <w:jc w:val="both"/>
        <w:rPr>
          <w:rFonts w:ascii="Verdana" w:hAnsi="Verdana"/>
          <w:b/>
          <w:sz w:val="20"/>
          <w:szCs w:val="20"/>
          <w:lang w:val="en-GB"/>
        </w:rPr>
      </w:pPr>
    </w:p>
    <w:p w:rsidR="00437948" w:rsidRPr="003D57FA" w:rsidRDefault="00437948" w:rsidP="00B07A9D">
      <w:pPr>
        <w:pStyle w:val="ListParagraph"/>
        <w:numPr>
          <w:ilvl w:val="1"/>
          <w:numId w:val="7"/>
        </w:numPr>
        <w:spacing w:after="200" w:line="312" w:lineRule="auto"/>
        <w:jc w:val="both"/>
        <w:rPr>
          <w:rFonts w:ascii="Verdana" w:hAnsi="Verdana"/>
          <w:b/>
          <w:sz w:val="20"/>
          <w:szCs w:val="20"/>
          <w:lang w:val="en-GB"/>
        </w:rPr>
      </w:pPr>
      <w:r w:rsidRPr="003D57FA">
        <w:rPr>
          <w:rFonts w:ascii="Verdana" w:hAnsi="Verdana"/>
          <w:sz w:val="20"/>
          <w:szCs w:val="20"/>
          <w:lang w:val="en-GB"/>
        </w:rPr>
        <w:t xml:space="preserve">National immigration laws should support the mobility of staff, for instance by allowing partners or family members of mobile staff to obtain visas and to have access to the labour market while accompanying mobile staff. </w:t>
      </w:r>
    </w:p>
    <w:p w:rsidR="00437948" w:rsidRDefault="00437948" w:rsidP="00B07A9D">
      <w:pPr>
        <w:pStyle w:val="ListParagraph"/>
        <w:numPr>
          <w:ilvl w:val="1"/>
          <w:numId w:val="7"/>
        </w:numPr>
        <w:spacing w:after="200" w:line="312" w:lineRule="auto"/>
        <w:jc w:val="both"/>
        <w:rPr>
          <w:rFonts w:ascii="Verdana" w:hAnsi="Verdana"/>
          <w:sz w:val="20"/>
          <w:szCs w:val="20"/>
          <w:lang w:val="en-GB"/>
        </w:rPr>
      </w:pPr>
      <w:r w:rsidRPr="003D57FA">
        <w:rPr>
          <w:rFonts w:ascii="Verdana" w:hAnsi="Verdana"/>
          <w:sz w:val="20"/>
          <w:szCs w:val="20"/>
          <w:lang w:val="en-GB"/>
        </w:rPr>
        <w:t>For mobility periods which include a change of employer, mobile staff should have the possibility to have their time abroad recognised for pension purposes as if he/she had been working at the home institution.</w:t>
      </w:r>
    </w:p>
    <w:p w:rsidR="00437948" w:rsidRDefault="00437948" w:rsidP="00437948">
      <w:pPr>
        <w:pStyle w:val="ListParagraph"/>
        <w:spacing w:line="312" w:lineRule="auto"/>
        <w:ind w:left="1080"/>
        <w:jc w:val="both"/>
        <w:rPr>
          <w:rFonts w:ascii="Verdana" w:hAnsi="Verdana"/>
          <w:sz w:val="20"/>
          <w:szCs w:val="20"/>
          <w:lang w:val="en-GB"/>
        </w:rPr>
      </w:pPr>
    </w:p>
    <w:p w:rsidR="00437948" w:rsidRDefault="00437948" w:rsidP="00B07A9D">
      <w:pPr>
        <w:pStyle w:val="ListParagraph"/>
        <w:numPr>
          <w:ilvl w:val="0"/>
          <w:numId w:val="7"/>
        </w:numPr>
        <w:spacing w:after="200" w:line="312" w:lineRule="auto"/>
        <w:jc w:val="both"/>
        <w:rPr>
          <w:rFonts w:ascii="Verdana" w:hAnsi="Verdana"/>
          <w:b/>
          <w:sz w:val="20"/>
          <w:szCs w:val="20"/>
          <w:lang w:val="en-GB"/>
        </w:rPr>
      </w:pPr>
      <w:r w:rsidRPr="003D57FA">
        <w:rPr>
          <w:rFonts w:ascii="Verdana" w:hAnsi="Verdana"/>
          <w:b/>
          <w:sz w:val="20"/>
          <w:szCs w:val="20"/>
          <w:lang w:val="en-GB"/>
        </w:rPr>
        <w:t>Encourage and support staff mobility and appreciation of its value</w:t>
      </w:r>
    </w:p>
    <w:p w:rsidR="00437948" w:rsidRPr="003D57FA" w:rsidRDefault="00437948" w:rsidP="00437948">
      <w:pPr>
        <w:pStyle w:val="ListParagraph"/>
        <w:spacing w:line="312" w:lineRule="auto"/>
        <w:ind w:left="360"/>
        <w:jc w:val="both"/>
        <w:rPr>
          <w:rFonts w:ascii="Verdana" w:hAnsi="Verdana"/>
          <w:b/>
          <w:sz w:val="20"/>
          <w:szCs w:val="20"/>
          <w:lang w:val="en-GB"/>
        </w:rPr>
      </w:pPr>
    </w:p>
    <w:p w:rsidR="00437948" w:rsidRPr="003D57FA" w:rsidRDefault="00437948" w:rsidP="00B07A9D">
      <w:pPr>
        <w:pStyle w:val="ListParagraph"/>
        <w:numPr>
          <w:ilvl w:val="1"/>
          <w:numId w:val="7"/>
        </w:numPr>
        <w:spacing w:after="200" w:line="312" w:lineRule="auto"/>
        <w:jc w:val="both"/>
        <w:rPr>
          <w:rFonts w:ascii="Verdana" w:hAnsi="Verdana"/>
          <w:sz w:val="20"/>
          <w:szCs w:val="20"/>
          <w:lang w:val="en-GB"/>
        </w:rPr>
      </w:pPr>
      <w:r w:rsidRPr="003D57FA">
        <w:rPr>
          <w:rFonts w:ascii="Verdana" w:hAnsi="Verdana"/>
          <w:sz w:val="20"/>
          <w:szCs w:val="20"/>
          <w:lang w:val="en-GB"/>
        </w:rPr>
        <w:t xml:space="preserve">Include staff mobility in the national internationalisation strategies for higher education. </w:t>
      </w:r>
    </w:p>
    <w:p w:rsidR="00437948" w:rsidRPr="003D57FA" w:rsidRDefault="00437948" w:rsidP="00B07A9D">
      <w:pPr>
        <w:pStyle w:val="ListParagraph"/>
        <w:numPr>
          <w:ilvl w:val="1"/>
          <w:numId w:val="7"/>
        </w:numPr>
        <w:spacing w:after="200" w:line="312" w:lineRule="auto"/>
        <w:jc w:val="both"/>
        <w:rPr>
          <w:rFonts w:ascii="Verdana" w:hAnsi="Verdana"/>
          <w:sz w:val="20"/>
          <w:szCs w:val="20"/>
          <w:lang w:val="en-GB"/>
        </w:rPr>
      </w:pPr>
      <w:r w:rsidRPr="003D57FA">
        <w:rPr>
          <w:rFonts w:ascii="Verdana" w:hAnsi="Verdana"/>
          <w:sz w:val="20"/>
          <w:szCs w:val="20"/>
          <w:lang w:val="en-GB"/>
        </w:rPr>
        <w:t>Include in institutional evaluations the achievements made on staff mobility through strategies and action plans set up by HEIs</w:t>
      </w:r>
      <w:r>
        <w:rPr>
          <w:rFonts w:ascii="Verdana" w:hAnsi="Verdana"/>
          <w:sz w:val="20"/>
          <w:szCs w:val="20"/>
          <w:lang w:val="en-GB"/>
        </w:rPr>
        <w:t>.</w:t>
      </w:r>
    </w:p>
    <w:p w:rsidR="00437948" w:rsidRPr="003D57FA" w:rsidRDefault="00437948" w:rsidP="00B07A9D">
      <w:pPr>
        <w:pStyle w:val="ListParagraph"/>
        <w:numPr>
          <w:ilvl w:val="1"/>
          <w:numId w:val="7"/>
        </w:numPr>
        <w:spacing w:after="200" w:line="312" w:lineRule="auto"/>
        <w:jc w:val="both"/>
        <w:rPr>
          <w:rFonts w:ascii="Verdana" w:hAnsi="Verdana"/>
          <w:sz w:val="20"/>
          <w:szCs w:val="20"/>
          <w:lang w:val="en-GB"/>
        </w:rPr>
      </w:pPr>
      <w:r w:rsidRPr="003D57FA">
        <w:rPr>
          <w:rFonts w:ascii="Verdana" w:hAnsi="Verdana"/>
          <w:sz w:val="20"/>
          <w:szCs w:val="20"/>
          <w:lang w:val="en-GB"/>
        </w:rPr>
        <w:t xml:space="preserve">Provide funds for institutions and agencies promoting staff mobility, mobility programmes and their outcomes as well as positive examples, especially for administrative and technical staff. </w:t>
      </w:r>
    </w:p>
    <w:p w:rsidR="00437948" w:rsidRPr="003D57FA" w:rsidRDefault="00437948" w:rsidP="00B07A9D">
      <w:pPr>
        <w:pStyle w:val="ListParagraph"/>
        <w:numPr>
          <w:ilvl w:val="1"/>
          <w:numId w:val="7"/>
        </w:numPr>
        <w:spacing w:after="200" w:line="312" w:lineRule="auto"/>
        <w:jc w:val="both"/>
        <w:rPr>
          <w:rFonts w:ascii="Verdana" w:hAnsi="Verdana"/>
          <w:sz w:val="20"/>
          <w:szCs w:val="20"/>
          <w:lang w:val="en-GB"/>
        </w:rPr>
      </w:pPr>
      <w:r w:rsidRPr="003D57FA">
        <w:rPr>
          <w:rFonts w:ascii="Verdana" w:hAnsi="Verdana"/>
          <w:sz w:val="20"/>
          <w:szCs w:val="20"/>
          <w:lang w:val="en-GB"/>
        </w:rPr>
        <w:t xml:space="preserve">Encourage the use of existing networks in this area and assess if they could be extended to other member countries of the EHEA. </w:t>
      </w:r>
    </w:p>
    <w:p w:rsidR="00437948" w:rsidRPr="003D57FA" w:rsidRDefault="00437948" w:rsidP="00B07A9D">
      <w:pPr>
        <w:pStyle w:val="ListParagraph"/>
        <w:numPr>
          <w:ilvl w:val="1"/>
          <w:numId w:val="7"/>
        </w:numPr>
        <w:spacing w:after="200" w:line="312" w:lineRule="auto"/>
        <w:jc w:val="both"/>
        <w:rPr>
          <w:rFonts w:ascii="Verdana" w:hAnsi="Verdana"/>
          <w:sz w:val="20"/>
          <w:szCs w:val="20"/>
          <w:lang w:val="en-GB"/>
        </w:rPr>
      </w:pPr>
      <w:r w:rsidRPr="003D57FA">
        <w:rPr>
          <w:rFonts w:ascii="Verdana" w:hAnsi="Verdana"/>
          <w:sz w:val="20"/>
          <w:szCs w:val="20"/>
          <w:lang w:val="en-GB"/>
        </w:rPr>
        <w:t xml:space="preserve">To ease financial difficulties at the institutions when staff </w:t>
      </w:r>
      <w:r>
        <w:rPr>
          <w:rFonts w:ascii="Verdana" w:hAnsi="Verdana"/>
          <w:sz w:val="20"/>
          <w:szCs w:val="20"/>
          <w:lang w:val="en-GB"/>
        </w:rPr>
        <w:t>is</w:t>
      </w:r>
      <w:r w:rsidRPr="003D57FA">
        <w:rPr>
          <w:rFonts w:ascii="Verdana" w:hAnsi="Verdana"/>
          <w:sz w:val="20"/>
          <w:szCs w:val="20"/>
          <w:lang w:val="en-GB"/>
        </w:rPr>
        <w:t xml:space="preserve"> abroad, staff mobility could be included in the agreements on financing of higher education institutions. </w:t>
      </w:r>
    </w:p>
    <w:p w:rsidR="00437948" w:rsidRPr="003D57FA" w:rsidRDefault="00437948" w:rsidP="00B07A9D">
      <w:pPr>
        <w:pStyle w:val="ListParagraph"/>
        <w:numPr>
          <w:ilvl w:val="1"/>
          <w:numId w:val="7"/>
        </w:numPr>
        <w:spacing w:after="200" w:line="312" w:lineRule="auto"/>
        <w:jc w:val="both"/>
        <w:rPr>
          <w:rFonts w:ascii="Verdana" w:hAnsi="Verdana"/>
          <w:sz w:val="20"/>
          <w:szCs w:val="20"/>
          <w:lang w:val="en-GB"/>
        </w:rPr>
      </w:pPr>
      <w:r w:rsidRPr="003D57FA">
        <w:rPr>
          <w:rFonts w:ascii="Verdana" w:hAnsi="Verdana"/>
          <w:sz w:val="20"/>
          <w:szCs w:val="20"/>
          <w:lang w:val="en-GB"/>
        </w:rPr>
        <w:lastRenderedPageBreak/>
        <w:t xml:space="preserve">Provide appropriate funds for mobility of academic, administrative and technical staff, taking full advantage of European funding sources, e.g. ERASMUS+.  </w:t>
      </w:r>
    </w:p>
    <w:p w:rsidR="00437948" w:rsidRDefault="00437948" w:rsidP="00B07A9D">
      <w:pPr>
        <w:pStyle w:val="ListParagraph"/>
        <w:numPr>
          <w:ilvl w:val="1"/>
          <w:numId w:val="7"/>
        </w:numPr>
        <w:spacing w:after="200" w:line="312" w:lineRule="auto"/>
        <w:jc w:val="both"/>
        <w:rPr>
          <w:rFonts w:ascii="Verdana" w:hAnsi="Verdana"/>
          <w:sz w:val="20"/>
          <w:szCs w:val="20"/>
          <w:lang w:val="en-GB"/>
        </w:rPr>
      </w:pPr>
      <w:r w:rsidRPr="003D57FA">
        <w:rPr>
          <w:rFonts w:ascii="Verdana" w:hAnsi="Verdana"/>
          <w:sz w:val="20"/>
          <w:szCs w:val="20"/>
          <w:lang w:val="en-GB"/>
        </w:rPr>
        <w:t>A sufficient offer of places at international schools for children of mobile staff should be provided. This is particularly relevant for longer mobility periods.</w:t>
      </w:r>
    </w:p>
    <w:p w:rsidR="00437948" w:rsidRPr="003D57FA" w:rsidRDefault="00437948" w:rsidP="00437948">
      <w:pPr>
        <w:pStyle w:val="ListParagraph"/>
        <w:spacing w:line="312" w:lineRule="auto"/>
        <w:ind w:left="1080"/>
        <w:jc w:val="both"/>
        <w:rPr>
          <w:rFonts w:ascii="Verdana" w:hAnsi="Verdana"/>
          <w:sz w:val="20"/>
          <w:szCs w:val="20"/>
          <w:lang w:val="en-GB"/>
        </w:rPr>
      </w:pPr>
    </w:p>
    <w:p w:rsidR="00437948" w:rsidRDefault="00437948" w:rsidP="00B07A9D">
      <w:pPr>
        <w:pStyle w:val="ListParagraph"/>
        <w:numPr>
          <w:ilvl w:val="0"/>
          <w:numId w:val="7"/>
        </w:numPr>
        <w:spacing w:after="200" w:line="312" w:lineRule="auto"/>
        <w:jc w:val="both"/>
        <w:rPr>
          <w:rFonts w:ascii="Verdana" w:hAnsi="Verdana"/>
          <w:b/>
          <w:sz w:val="20"/>
          <w:szCs w:val="20"/>
          <w:lang w:val="en-GB"/>
        </w:rPr>
      </w:pPr>
      <w:r w:rsidRPr="003D57FA">
        <w:rPr>
          <w:rFonts w:ascii="Verdana" w:hAnsi="Verdana"/>
          <w:b/>
          <w:sz w:val="20"/>
          <w:szCs w:val="20"/>
          <w:lang w:val="en-GB"/>
        </w:rPr>
        <w:t>Encourage attractive and transparent working conditions as well as transparency of opportunities and of selection procedures for staff at national and international level</w:t>
      </w:r>
    </w:p>
    <w:p w:rsidR="00437948" w:rsidRPr="003D57FA" w:rsidRDefault="00437948" w:rsidP="00437948">
      <w:pPr>
        <w:pStyle w:val="ListParagraph"/>
        <w:spacing w:line="312" w:lineRule="auto"/>
        <w:ind w:left="360"/>
        <w:jc w:val="both"/>
        <w:rPr>
          <w:rFonts w:ascii="Verdana" w:hAnsi="Verdana"/>
          <w:b/>
          <w:sz w:val="20"/>
          <w:szCs w:val="20"/>
          <w:lang w:val="en-GB"/>
        </w:rPr>
      </w:pPr>
    </w:p>
    <w:p w:rsidR="00437948" w:rsidRDefault="00437948" w:rsidP="00B07A9D">
      <w:pPr>
        <w:pStyle w:val="ListParagraph"/>
        <w:numPr>
          <w:ilvl w:val="0"/>
          <w:numId w:val="7"/>
        </w:numPr>
        <w:spacing w:after="200" w:line="312" w:lineRule="auto"/>
        <w:jc w:val="both"/>
        <w:rPr>
          <w:rFonts w:ascii="Verdana" w:hAnsi="Verdana"/>
          <w:b/>
          <w:sz w:val="20"/>
          <w:szCs w:val="20"/>
          <w:lang w:val="en-GB"/>
        </w:rPr>
      </w:pPr>
      <w:r w:rsidRPr="003D57FA">
        <w:rPr>
          <w:rFonts w:ascii="Verdana" w:hAnsi="Verdana"/>
          <w:b/>
          <w:sz w:val="20"/>
          <w:szCs w:val="20"/>
          <w:lang w:val="en-GB"/>
        </w:rPr>
        <w:t>Improve data collection on staff mobility in order to better assess its quantity and quality</w:t>
      </w:r>
    </w:p>
    <w:p w:rsidR="00437948" w:rsidRPr="003D57FA" w:rsidRDefault="00437948" w:rsidP="00437948">
      <w:pPr>
        <w:pStyle w:val="ListParagraph"/>
        <w:rPr>
          <w:rFonts w:ascii="Verdana" w:hAnsi="Verdana"/>
          <w:b/>
          <w:sz w:val="20"/>
          <w:szCs w:val="20"/>
          <w:lang w:val="en-GB"/>
        </w:rPr>
      </w:pPr>
    </w:p>
    <w:p w:rsidR="00437948" w:rsidRPr="003D57FA" w:rsidRDefault="00437948" w:rsidP="00B07A9D">
      <w:pPr>
        <w:pStyle w:val="ListParagraph"/>
        <w:numPr>
          <w:ilvl w:val="1"/>
          <w:numId w:val="7"/>
        </w:numPr>
        <w:spacing w:after="200" w:line="312" w:lineRule="auto"/>
        <w:jc w:val="both"/>
        <w:rPr>
          <w:rFonts w:ascii="Verdana" w:hAnsi="Verdana"/>
          <w:sz w:val="20"/>
          <w:szCs w:val="20"/>
          <w:lang w:val="en-GB"/>
        </w:rPr>
      </w:pPr>
      <w:r w:rsidRPr="003D57FA">
        <w:rPr>
          <w:rFonts w:ascii="Verdana" w:hAnsi="Verdana"/>
          <w:sz w:val="20"/>
          <w:szCs w:val="20"/>
          <w:lang w:val="en-GB"/>
        </w:rPr>
        <w:t xml:space="preserve">Invite Eurostat in cooperation with the relevant national data collectors in the EHEA to develop and establish a coherent system of data collection based on the above mentioned definition on staff mobility. This also includes defining the technical conditions for data collection, e.g. the minimum duration of the mobility period. </w:t>
      </w:r>
    </w:p>
    <w:p w:rsidR="00437948" w:rsidRPr="003D57FA" w:rsidRDefault="00437948" w:rsidP="00B07A9D">
      <w:pPr>
        <w:pStyle w:val="ListParagraph"/>
        <w:numPr>
          <w:ilvl w:val="1"/>
          <w:numId w:val="7"/>
        </w:numPr>
        <w:spacing w:after="200" w:line="312" w:lineRule="auto"/>
        <w:jc w:val="both"/>
        <w:rPr>
          <w:rFonts w:ascii="Verdana" w:hAnsi="Verdana"/>
          <w:sz w:val="20"/>
          <w:szCs w:val="20"/>
          <w:lang w:val="en-GB"/>
        </w:rPr>
      </w:pPr>
      <w:r w:rsidRPr="003D57FA">
        <w:rPr>
          <w:rFonts w:ascii="Verdana" w:hAnsi="Verdana"/>
          <w:sz w:val="20"/>
          <w:szCs w:val="20"/>
          <w:lang w:val="en-GB"/>
        </w:rPr>
        <w:t xml:space="preserve">Encourage higher education institutions to collect data on staff mobility based on the Eurostat parameters as well as their own specific indicators. </w:t>
      </w:r>
    </w:p>
    <w:p w:rsidR="00437948" w:rsidRPr="003D57FA" w:rsidRDefault="00437948" w:rsidP="00437948">
      <w:pPr>
        <w:spacing w:line="312" w:lineRule="auto"/>
        <w:jc w:val="both"/>
        <w:rPr>
          <w:rFonts w:ascii="Verdana" w:hAnsi="Verdana"/>
          <w:sz w:val="20"/>
          <w:szCs w:val="20"/>
          <w:lang w:val="en-GB"/>
        </w:rPr>
      </w:pPr>
      <w:r w:rsidRPr="003D57FA">
        <w:rPr>
          <w:rFonts w:ascii="Verdana" w:hAnsi="Verdana"/>
          <w:b/>
          <w:sz w:val="20"/>
          <w:szCs w:val="20"/>
          <w:lang w:val="en-GB"/>
        </w:rPr>
        <w:t>2.2 All higher education institutions in the EHEA are called upon to create a supporting environment for staff mobility by</w:t>
      </w:r>
    </w:p>
    <w:p w:rsidR="00437948" w:rsidRDefault="00437948" w:rsidP="00B07A9D">
      <w:pPr>
        <w:pStyle w:val="ListParagraph"/>
        <w:numPr>
          <w:ilvl w:val="0"/>
          <w:numId w:val="7"/>
        </w:numPr>
        <w:spacing w:after="200" w:line="312" w:lineRule="auto"/>
        <w:jc w:val="both"/>
        <w:rPr>
          <w:rFonts w:ascii="Verdana" w:hAnsi="Verdana"/>
          <w:sz w:val="20"/>
          <w:szCs w:val="20"/>
          <w:lang w:val="en-GB"/>
        </w:rPr>
      </w:pPr>
      <w:r w:rsidRPr="003D57FA">
        <w:rPr>
          <w:rFonts w:ascii="Verdana" w:hAnsi="Verdana"/>
          <w:b/>
          <w:sz w:val="20"/>
          <w:szCs w:val="20"/>
          <w:lang w:val="en-GB"/>
        </w:rPr>
        <w:t>Providing information on mobility opportunities for staff</w:t>
      </w:r>
      <w:r w:rsidRPr="003D57FA">
        <w:rPr>
          <w:rFonts w:ascii="Verdana" w:hAnsi="Verdana"/>
          <w:sz w:val="20"/>
          <w:szCs w:val="20"/>
          <w:lang w:val="en-GB"/>
        </w:rPr>
        <w:t xml:space="preserve">, taking into account the individual needs of staff and the fact that staff mobility is to a high extent life-cycle dependent. Outcomes of staff mobility as well as positive examples can be helpful in this context. </w:t>
      </w:r>
    </w:p>
    <w:p w:rsidR="00437948" w:rsidRPr="003D57FA" w:rsidRDefault="00437948" w:rsidP="00437948">
      <w:pPr>
        <w:pStyle w:val="ListParagraph"/>
        <w:spacing w:line="312" w:lineRule="auto"/>
        <w:ind w:left="360"/>
        <w:jc w:val="both"/>
        <w:rPr>
          <w:rFonts w:ascii="Verdana" w:hAnsi="Verdana"/>
          <w:sz w:val="20"/>
          <w:szCs w:val="20"/>
          <w:lang w:val="en-GB"/>
        </w:rPr>
      </w:pPr>
    </w:p>
    <w:p w:rsidR="00437948" w:rsidRDefault="00437948" w:rsidP="00B07A9D">
      <w:pPr>
        <w:pStyle w:val="ListParagraph"/>
        <w:numPr>
          <w:ilvl w:val="0"/>
          <w:numId w:val="7"/>
        </w:numPr>
        <w:spacing w:after="200" w:line="312" w:lineRule="auto"/>
        <w:jc w:val="both"/>
        <w:rPr>
          <w:rFonts w:ascii="Verdana" w:hAnsi="Verdana"/>
          <w:b/>
          <w:sz w:val="20"/>
          <w:szCs w:val="20"/>
          <w:lang w:val="en-GB"/>
        </w:rPr>
      </w:pPr>
      <w:r w:rsidRPr="003D57FA">
        <w:rPr>
          <w:rFonts w:ascii="Verdana" w:hAnsi="Verdana"/>
          <w:b/>
          <w:sz w:val="20"/>
          <w:szCs w:val="20"/>
          <w:lang w:val="en-GB"/>
        </w:rPr>
        <w:t>Ensuring a high quality and a maximum impact of the mobility period</w:t>
      </w:r>
    </w:p>
    <w:p w:rsidR="00437948" w:rsidRPr="003D57FA" w:rsidRDefault="00437948" w:rsidP="00437948">
      <w:pPr>
        <w:pStyle w:val="ListParagraph"/>
        <w:rPr>
          <w:rFonts w:ascii="Verdana" w:hAnsi="Verdana"/>
          <w:b/>
          <w:sz w:val="20"/>
          <w:szCs w:val="20"/>
          <w:lang w:val="en-GB"/>
        </w:rPr>
      </w:pPr>
    </w:p>
    <w:p w:rsidR="00437948" w:rsidRPr="003D57FA" w:rsidRDefault="00437948" w:rsidP="00B07A9D">
      <w:pPr>
        <w:pStyle w:val="ListParagraph"/>
        <w:numPr>
          <w:ilvl w:val="1"/>
          <w:numId w:val="7"/>
        </w:numPr>
        <w:spacing w:after="200" w:line="312" w:lineRule="auto"/>
        <w:jc w:val="both"/>
        <w:rPr>
          <w:rFonts w:ascii="Verdana" w:hAnsi="Verdana"/>
          <w:sz w:val="20"/>
          <w:szCs w:val="20"/>
          <w:lang w:val="en-GB"/>
        </w:rPr>
      </w:pPr>
      <w:r w:rsidRPr="003D57FA">
        <w:rPr>
          <w:rFonts w:ascii="Verdana" w:hAnsi="Verdana"/>
          <w:sz w:val="20"/>
          <w:szCs w:val="20"/>
          <w:lang w:val="en-GB"/>
        </w:rPr>
        <w:t xml:space="preserve">Evaluate the mobility period as well as the existing partnerships and monitor them. </w:t>
      </w:r>
    </w:p>
    <w:p w:rsidR="00437948" w:rsidRPr="003D57FA" w:rsidRDefault="00437948" w:rsidP="00B07A9D">
      <w:pPr>
        <w:pStyle w:val="ListParagraph"/>
        <w:numPr>
          <w:ilvl w:val="1"/>
          <w:numId w:val="7"/>
        </w:numPr>
        <w:spacing w:after="200" w:line="312" w:lineRule="auto"/>
        <w:jc w:val="both"/>
        <w:rPr>
          <w:rFonts w:ascii="Verdana" w:hAnsi="Verdana"/>
          <w:sz w:val="20"/>
          <w:szCs w:val="20"/>
          <w:lang w:val="en-GB"/>
        </w:rPr>
      </w:pPr>
      <w:r w:rsidRPr="003D57FA">
        <w:rPr>
          <w:rFonts w:ascii="Verdana" w:hAnsi="Verdana"/>
          <w:sz w:val="20"/>
          <w:szCs w:val="20"/>
          <w:lang w:val="en-GB"/>
        </w:rPr>
        <w:t>Define the purpose and aims of staff mobility in cooperation with the receiving institution as well as the mobile staff before the mobility period.</w:t>
      </w:r>
    </w:p>
    <w:p w:rsidR="00437948" w:rsidRDefault="00437948" w:rsidP="00B07A9D">
      <w:pPr>
        <w:pStyle w:val="ListParagraph"/>
        <w:numPr>
          <w:ilvl w:val="1"/>
          <w:numId w:val="7"/>
        </w:numPr>
        <w:spacing w:after="200" w:line="312" w:lineRule="auto"/>
        <w:jc w:val="both"/>
        <w:rPr>
          <w:rFonts w:ascii="Verdana" w:hAnsi="Verdana"/>
          <w:sz w:val="20"/>
          <w:szCs w:val="20"/>
          <w:lang w:val="en-GB"/>
        </w:rPr>
      </w:pPr>
      <w:r w:rsidRPr="003D57FA">
        <w:rPr>
          <w:rFonts w:ascii="Verdana" w:hAnsi="Verdana"/>
          <w:sz w:val="20"/>
          <w:szCs w:val="20"/>
          <w:lang w:val="en-GB"/>
        </w:rPr>
        <w:t>Encourage managers to ensure that the mobility period has clear objectives.</w:t>
      </w:r>
    </w:p>
    <w:p w:rsidR="00437948" w:rsidRPr="003D57FA" w:rsidRDefault="00437948" w:rsidP="00437948">
      <w:pPr>
        <w:pStyle w:val="ListParagraph"/>
        <w:spacing w:line="312" w:lineRule="auto"/>
        <w:ind w:left="1080"/>
        <w:jc w:val="both"/>
        <w:rPr>
          <w:rFonts w:ascii="Verdana" w:hAnsi="Verdana"/>
          <w:sz w:val="20"/>
          <w:szCs w:val="20"/>
          <w:lang w:val="en-GB"/>
        </w:rPr>
      </w:pPr>
      <w:r w:rsidRPr="003D57FA">
        <w:rPr>
          <w:rFonts w:ascii="Verdana" w:hAnsi="Verdana"/>
          <w:sz w:val="20"/>
          <w:szCs w:val="20"/>
          <w:lang w:val="en-GB"/>
        </w:rPr>
        <w:t xml:space="preserve"> </w:t>
      </w:r>
    </w:p>
    <w:p w:rsidR="00437948" w:rsidRPr="003D57FA" w:rsidRDefault="00437948" w:rsidP="00B07A9D">
      <w:pPr>
        <w:pStyle w:val="ListParagraph"/>
        <w:numPr>
          <w:ilvl w:val="0"/>
          <w:numId w:val="7"/>
        </w:numPr>
        <w:spacing w:after="200" w:line="312" w:lineRule="auto"/>
        <w:jc w:val="both"/>
        <w:rPr>
          <w:rFonts w:ascii="Verdana" w:hAnsi="Verdana"/>
          <w:b/>
          <w:sz w:val="20"/>
          <w:szCs w:val="20"/>
          <w:lang w:val="en-GB"/>
        </w:rPr>
      </w:pPr>
      <w:r w:rsidRPr="003D57FA">
        <w:rPr>
          <w:rFonts w:ascii="Verdana" w:hAnsi="Verdana"/>
          <w:b/>
          <w:sz w:val="20"/>
          <w:szCs w:val="20"/>
          <w:lang w:val="en-GB"/>
        </w:rPr>
        <w:t xml:space="preserve">Ensuring framework conditions conducive to staff mobility and create a culture of welcome </w:t>
      </w:r>
      <w:r w:rsidRPr="003D57FA">
        <w:rPr>
          <w:rFonts w:ascii="Verdana" w:hAnsi="Verdana"/>
          <w:sz w:val="20"/>
          <w:szCs w:val="20"/>
          <w:lang w:val="en-GB"/>
        </w:rPr>
        <w:t xml:space="preserve">Embed staff mobility in a comprehensive institutional strategy for internationalisation with the aim that the institution takes the initiative for mobility, not only the staff. The institutional strategy should also allow for individuals to be mobile on their own initiative and ensure a better internal communication on staff mobility. Measures of this institutional strategy may be to: </w:t>
      </w:r>
    </w:p>
    <w:p w:rsidR="00437948" w:rsidRPr="003D57FA" w:rsidRDefault="00437948" w:rsidP="00437948">
      <w:pPr>
        <w:pStyle w:val="ListParagraph"/>
        <w:spacing w:line="312" w:lineRule="auto"/>
        <w:ind w:left="360"/>
        <w:jc w:val="both"/>
        <w:rPr>
          <w:rFonts w:ascii="Verdana" w:hAnsi="Verdana"/>
          <w:b/>
          <w:sz w:val="20"/>
          <w:szCs w:val="20"/>
          <w:lang w:val="en-GB"/>
        </w:rPr>
      </w:pPr>
    </w:p>
    <w:p w:rsidR="00437948" w:rsidRPr="003D57FA" w:rsidRDefault="00437948" w:rsidP="00B07A9D">
      <w:pPr>
        <w:pStyle w:val="ListParagraph"/>
        <w:numPr>
          <w:ilvl w:val="1"/>
          <w:numId w:val="7"/>
        </w:numPr>
        <w:spacing w:after="200" w:line="312" w:lineRule="auto"/>
        <w:jc w:val="both"/>
        <w:rPr>
          <w:rFonts w:ascii="Verdana" w:hAnsi="Verdana"/>
          <w:sz w:val="20"/>
          <w:szCs w:val="20"/>
          <w:lang w:val="en-GB"/>
        </w:rPr>
      </w:pPr>
      <w:r w:rsidRPr="003D57FA">
        <w:rPr>
          <w:rFonts w:ascii="Verdana" w:hAnsi="Verdana"/>
          <w:sz w:val="20"/>
          <w:szCs w:val="20"/>
          <w:lang w:val="en-GB"/>
        </w:rPr>
        <w:t xml:space="preserve">Create the necessary financial means and capacity for staff mobility in relation to the institution’s profile. </w:t>
      </w:r>
    </w:p>
    <w:p w:rsidR="00437948" w:rsidRPr="003D57FA" w:rsidRDefault="00437948" w:rsidP="00B07A9D">
      <w:pPr>
        <w:pStyle w:val="ListParagraph"/>
        <w:numPr>
          <w:ilvl w:val="1"/>
          <w:numId w:val="7"/>
        </w:numPr>
        <w:spacing w:after="200" w:line="312" w:lineRule="auto"/>
        <w:jc w:val="both"/>
        <w:rPr>
          <w:rFonts w:ascii="Verdana" w:hAnsi="Verdana"/>
          <w:sz w:val="20"/>
          <w:szCs w:val="20"/>
          <w:lang w:val="en-GB"/>
        </w:rPr>
      </w:pPr>
      <w:r w:rsidRPr="003D57FA">
        <w:rPr>
          <w:rFonts w:ascii="Verdana" w:hAnsi="Verdana"/>
          <w:sz w:val="20"/>
          <w:szCs w:val="20"/>
          <w:lang w:val="en-GB"/>
        </w:rPr>
        <w:t xml:space="preserve">Make better use of existing international cooperation in the field of student mobility and extend them to staff mobility. </w:t>
      </w:r>
    </w:p>
    <w:p w:rsidR="00437948" w:rsidRPr="003D57FA" w:rsidRDefault="00437948" w:rsidP="00B07A9D">
      <w:pPr>
        <w:pStyle w:val="ListParagraph"/>
        <w:numPr>
          <w:ilvl w:val="1"/>
          <w:numId w:val="7"/>
        </w:numPr>
        <w:spacing w:after="200" w:line="312" w:lineRule="auto"/>
        <w:jc w:val="both"/>
        <w:rPr>
          <w:rFonts w:ascii="Verdana" w:hAnsi="Verdana"/>
          <w:sz w:val="20"/>
          <w:szCs w:val="20"/>
          <w:lang w:val="en-GB"/>
        </w:rPr>
      </w:pPr>
      <w:r w:rsidRPr="003D57FA">
        <w:rPr>
          <w:rFonts w:ascii="Verdana" w:hAnsi="Verdana"/>
          <w:sz w:val="20"/>
          <w:szCs w:val="20"/>
          <w:lang w:val="en-GB"/>
        </w:rPr>
        <w:t xml:space="preserve">Look for flexible solutions to replace mobile staff without negative consequences for the students. One possibility could be to introduce windows of mobility for staff to allow them to have enough time for mobility. This should be taken into account in the human resources planning. </w:t>
      </w:r>
    </w:p>
    <w:p w:rsidR="00437948" w:rsidRDefault="00437948" w:rsidP="00B07A9D">
      <w:pPr>
        <w:pStyle w:val="ListParagraph"/>
        <w:numPr>
          <w:ilvl w:val="1"/>
          <w:numId w:val="7"/>
        </w:numPr>
        <w:spacing w:after="200" w:line="312" w:lineRule="auto"/>
        <w:jc w:val="both"/>
        <w:rPr>
          <w:rFonts w:ascii="Verdana" w:hAnsi="Verdana"/>
          <w:sz w:val="20"/>
          <w:szCs w:val="20"/>
          <w:lang w:val="en-GB"/>
        </w:rPr>
      </w:pPr>
      <w:r w:rsidRPr="003D57FA">
        <w:rPr>
          <w:rFonts w:ascii="Verdana" w:hAnsi="Verdana"/>
          <w:sz w:val="20"/>
          <w:szCs w:val="20"/>
          <w:lang w:val="en-GB"/>
        </w:rPr>
        <w:t>Develop a service-oriented approach towards incoming and outgoing staff:</w:t>
      </w:r>
    </w:p>
    <w:p w:rsidR="00437948" w:rsidRPr="003D57FA" w:rsidRDefault="00437948" w:rsidP="00437948">
      <w:pPr>
        <w:pStyle w:val="ListParagraph"/>
        <w:spacing w:after="200" w:line="312" w:lineRule="auto"/>
        <w:ind w:left="1080"/>
        <w:jc w:val="both"/>
        <w:rPr>
          <w:rFonts w:ascii="Verdana" w:hAnsi="Verdana"/>
          <w:sz w:val="20"/>
          <w:szCs w:val="20"/>
          <w:lang w:val="en-GB"/>
        </w:rPr>
      </w:pPr>
      <w:r w:rsidRPr="003D57FA">
        <w:rPr>
          <w:rFonts w:ascii="Verdana" w:hAnsi="Verdana"/>
          <w:sz w:val="20"/>
          <w:szCs w:val="20"/>
          <w:lang w:val="en-GB"/>
        </w:rPr>
        <w:t xml:space="preserve"> </w:t>
      </w:r>
    </w:p>
    <w:p w:rsidR="00437948" w:rsidRPr="003D57FA" w:rsidRDefault="00437948" w:rsidP="00B07A9D">
      <w:pPr>
        <w:pStyle w:val="ListParagraph"/>
        <w:numPr>
          <w:ilvl w:val="2"/>
          <w:numId w:val="7"/>
        </w:numPr>
        <w:spacing w:after="200" w:line="312" w:lineRule="auto"/>
        <w:jc w:val="both"/>
        <w:rPr>
          <w:rFonts w:ascii="Verdana" w:hAnsi="Verdana"/>
          <w:sz w:val="20"/>
          <w:szCs w:val="20"/>
          <w:lang w:val="en-GB"/>
        </w:rPr>
      </w:pPr>
      <w:r w:rsidRPr="003D57FA">
        <w:rPr>
          <w:rFonts w:ascii="Verdana" w:hAnsi="Verdana"/>
          <w:sz w:val="20"/>
          <w:szCs w:val="20"/>
          <w:lang w:val="en-GB"/>
        </w:rPr>
        <w:t>Establish adequate and efficient structures and processes to minimise the administrative and organisational burden.</w:t>
      </w:r>
    </w:p>
    <w:p w:rsidR="00437948" w:rsidRPr="003D57FA" w:rsidRDefault="00437948" w:rsidP="00B07A9D">
      <w:pPr>
        <w:pStyle w:val="ListParagraph"/>
        <w:numPr>
          <w:ilvl w:val="2"/>
          <w:numId w:val="7"/>
        </w:numPr>
        <w:spacing w:after="200" w:line="312" w:lineRule="auto"/>
        <w:jc w:val="both"/>
        <w:rPr>
          <w:rFonts w:ascii="Verdana" w:hAnsi="Verdana"/>
          <w:sz w:val="20"/>
          <w:szCs w:val="20"/>
          <w:lang w:val="en-GB"/>
        </w:rPr>
      </w:pPr>
      <w:r w:rsidRPr="003D57FA">
        <w:rPr>
          <w:rFonts w:ascii="Verdana" w:hAnsi="Verdana"/>
          <w:sz w:val="20"/>
          <w:szCs w:val="20"/>
          <w:lang w:val="en-GB"/>
        </w:rPr>
        <w:t xml:space="preserve">Provide welcome and support structures and make them known. </w:t>
      </w:r>
    </w:p>
    <w:p w:rsidR="00437948" w:rsidRDefault="00437948" w:rsidP="00B07A9D">
      <w:pPr>
        <w:pStyle w:val="ListParagraph"/>
        <w:numPr>
          <w:ilvl w:val="1"/>
          <w:numId w:val="7"/>
        </w:numPr>
        <w:spacing w:after="200" w:line="312" w:lineRule="auto"/>
        <w:jc w:val="both"/>
        <w:rPr>
          <w:rFonts w:ascii="Verdana" w:hAnsi="Verdana"/>
          <w:sz w:val="20"/>
          <w:szCs w:val="20"/>
          <w:lang w:val="en-GB"/>
        </w:rPr>
      </w:pPr>
      <w:r w:rsidRPr="003D57FA">
        <w:rPr>
          <w:rFonts w:ascii="Verdana" w:hAnsi="Verdana"/>
          <w:sz w:val="20"/>
          <w:szCs w:val="20"/>
          <w:lang w:val="en-GB"/>
        </w:rPr>
        <w:t xml:space="preserve">Establish a language policy and provide courses for foreign languages and intercultural competence to ensure the smooth integration of mobile staff at the host institution. </w:t>
      </w:r>
    </w:p>
    <w:p w:rsidR="00437948" w:rsidRPr="003D57FA" w:rsidRDefault="00437948" w:rsidP="00437948">
      <w:pPr>
        <w:pStyle w:val="ListParagraph"/>
        <w:spacing w:line="312" w:lineRule="auto"/>
        <w:ind w:left="1080"/>
        <w:jc w:val="both"/>
        <w:rPr>
          <w:rFonts w:ascii="Verdana" w:hAnsi="Verdana"/>
          <w:sz w:val="20"/>
          <w:szCs w:val="20"/>
          <w:lang w:val="en-GB"/>
        </w:rPr>
      </w:pPr>
    </w:p>
    <w:p w:rsidR="00437948" w:rsidRDefault="00437948" w:rsidP="00B07A9D">
      <w:pPr>
        <w:pStyle w:val="ListParagraph"/>
        <w:numPr>
          <w:ilvl w:val="0"/>
          <w:numId w:val="7"/>
        </w:numPr>
        <w:spacing w:after="200" w:line="312" w:lineRule="auto"/>
        <w:jc w:val="both"/>
        <w:rPr>
          <w:rFonts w:ascii="Verdana" w:hAnsi="Verdana"/>
          <w:b/>
          <w:sz w:val="20"/>
          <w:szCs w:val="20"/>
          <w:lang w:val="en-GB"/>
        </w:rPr>
      </w:pPr>
      <w:r w:rsidRPr="003D57FA">
        <w:rPr>
          <w:rFonts w:ascii="Verdana" w:hAnsi="Verdana"/>
          <w:b/>
          <w:sz w:val="20"/>
          <w:szCs w:val="20"/>
          <w:lang w:val="en-GB"/>
        </w:rPr>
        <w:t>Integrating staff mobility into career management and development</w:t>
      </w:r>
    </w:p>
    <w:p w:rsidR="00437948" w:rsidRPr="003D57FA" w:rsidRDefault="00437948" w:rsidP="00437948">
      <w:pPr>
        <w:pStyle w:val="ListParagraph"/>
        <w:spacing w:line="312" w:lineRule="auto"/>
        <w:ind w:left="360"/>
        <w:jc w:val="both"/>
        <w:rPr>
          <w:rFonts w:ascii="Verdana" w:hAnsi="Verdana"/>
          <w:b/>
          <w:sz w:val="20"/>
          <w:szCs w:val="20"/>
          <w:lang w:val="en-GB"/>
        </w:rPr>
      </w:pPr>
    </w:p>
    <w:p w:rsidR="00437948" w:rsidRPr="003D57FA" w:rsidRDefault="00437948" w:rsidP="00B07A9D">
      <w:pPr>
        <w:pStyle w:val="ListParagraph"/>
        <w:numPr>
          <w:ilvl w:val="1"/>
          <w:numId w:val="7"/>
        </w:numPr>
        <w:spacing w:after="200" w:line="312" w:lineRule="auto"/>
        <w:jc w:val="both"/>
        <w:rPr>
          <w:rFonts w:ascii="Verdana" w:hAnsi="Verdana"/>
          <w:sz w:val="20"/>
          <w:szCs w:val="20"/>
          <w:lang w:val="en-GB"/>
        </w:rPr>
      </w:pPr>
      <w:r w:rsidRPr="003D57FA">
        <w:rPr>
          <w:rFonts w:ascii="Verdana" w:hAnsi="Verdana"/>
          <w:sz w:val="20"/>
          <w:szCs w:val="20"/>
          <w:lang w:val="en-GB"/>
        </w:rPr>
        <w:t xml:space="preserve">Include international activities in human resources development plans. </w:t>
      </w:r>
    </w:p>
    <w:p w:rsidR="00437948" w:rsidRPr="003D57FA" w:rsidRDefault="00437948" w:rsidP="00B07A9D">
      <w:pPr>
        <w:pStyle w:val="ListParagraph"/>
        <w:numPr>
          <w:ilvl w:val="1"/>
          <w:numId w:val="7"/>
        </w:numPr>
        <w:spacing w:after="200" w:line="312" w:lineRule="auto"/>
        <w:jc w:val="both"/>
        <w:rPr>
          <w:rFonts w:ascii="Verdana" w:hAnsi="Verdana"/>
          <w:sz w:val="20"/>
          <w:szCs w:val="20"/>
          <w:lang w:val="en-GB"/>
        </w:rPr>
      </w:pPr>
      <w:r w:rsidRPr="003D57FA">
        <w:rPr>
          <w:rFonts w:ascii="Verdana" w:hAnsi="Verdana"/>
          <w:sz w:val="20"/>
          <w:szCs w:val="20"/>
          <w:lang w:val="en-GB"/>
        </w:rPr>
        <w:t xml:space="preserve">Cooperate with the respective partner institution to ensure that mobility has a positive impact on career management. </w:t>
      </w:r>
    </w:p>
    <w:p w:rsidR="00437948" w:rsidRPr="003D57FA" w:rsidRDefault="00437948" w:rsidP="00B07A9D">
      <w:pPr>
        <w:pStyle w:val="ListParagraph"/>
        <w:numPr>
          <w:ilvl w:val="1"/>
          <w:numId w:val="7"/>
        </w:numPr>
        <w:spacing w:after="200" w:line="312" w:lineRule="auto"/>
        <w:jc w:val="both"/>
        <w:rPr>
          <w:rFonts w:ascii="Verdana" w:hAnsi="Verdana"/>
          <w:sz w:val="20"/>
          <w:szCs w:val="20"/>
          <w:lang w:val="en-GB"/>
        </w:rPr>
      </w:pPr>
      <w:r w:rsidRPr="003D57FA">
        <w:rPr>
          <w:rFonts w:ascii="Verdana" w:hAnsi="Verdana"/>
          <w:sz w:val="20"/>
          <w:szCs w:val="20"/>
          <w:lang w:val="en-GB"/>
        </w:rPr>
        <w:t>Provide information and offer support on dual career opportunities</w:t>
      </w:r>
      <w:r w:rsidRPr="003D57FA">
        <w:rPr>
          <w:rStyle w:val="FootnoteReference"/>
          <w:rFonts w:ascii="Verdana" w:hAnsi="Verdana"/>
          <w:sz w:val="20"/>
          <w:szCs w:val="20"/>
          <w:lang w:val="en-GB"/>
        </w:rPr>
        <w:footnoteReference w:id="4"/>
      </w:r>
      <w:r w:rsidRPr="003D57FA">
        <w:rPr>
          <w:rFonts w:ascii="Verdana" w:hAnsi="Verdana"/>
          <w:sz w:val="20"/>
          <w:szCs w:val="20"/>
          <w:lang w:val="en-GB"/>
        </w:rPr>
        <w:t xml:space="preserve">. </w:t>
      </w:r>
    </w:p>
    <w:p w:rsidR="00437948" w:rsidRPr="003D57FA" w:rsidRDefault="00437948" w:rsidP="00B07A9D">
      <w:pPr>
        <w:pStyle w:val="ListParagraph"/>
        <w:numPr>
          <w:ilvl w:val="1"/>
          <w:numId w:val="7"/>
        </w:numPr>
        <w:spacing w:after="200" w:line="312" w:lineRule="auto"/>
        <w:jc w:val="both"/>
        <w:rPr>
          <w:rFonts w:ascii="Verdana" w:hAnsi="Verdana"/>
          <w:sz w:val="20"/>
          <w:szCs w:val="20"/>
          <w:lang w:val="en-GB"/>
        </w:rPr>
      </w:pPr>
      <w:r w:rsidRPr="003D57FA">
        <w:rPr>
          <w:rFonts w:ascii="Verdana" w:hAnsi="Verdana"/>
          <w:sz w:val="20"/>
          <w:szCs w:val="20"/>
          <w:lang w:val="en-GB"/>
        </w:rPr>
        <w:t xml:space="preserve">In order to increase the personal motivation and the interest of academic, administrative and technical staff for a period of mobility, develop incentives such as career opportunities, recognition of teaching/working abroad and, if applicable, performance-based salary components. Positively reflect staff mobility in professional appraisals. </w:t>
      </w:r>
    </w:p>
    <w:p w:rsidR="00437948" w:rsidRPr="003D57FA" w:rsidRDefault="00437948" w:rsidP="00B07A9D">
      <w:pPr>
        <w:pStyle w:val="ListParagraph"/>
        <w:numPr>
          <w:ilvl w:val="1"/>
          <w:numId w:val="7"/>
        </w:numPr>
        <w:spacing w:after="200" w:line="312" w:lineRule="auto"/>
        <w:jc w:val="both"/>
        <w:rPr>
          <w:rFonts w:ascii="Verdana" w:hAnsi="Verdana"/>
          <w:sz w:val="20"/>
          <w:szCs w:val="20"/>
          <w:lang w:val="en-GB"/>
        </w:rPr>
      </w:pPr>
      <w:r w:rsidRPr="003D57FA">
        <w:rPr>
          <w:rFonts w:ascii="Verdana" w:hAnsi="Verdana"/>
          <w:sz w:val="20"/>
          <w:szCs w:val="20"/>
          <w:lang w:val="en-GB"/>
        </w:rPr>
        <w:t xml:space="preserve">Advertise job offers for academic, administrative and technical staff internationally, for example through EURAXESS. </w:t>
      </w:r>
    </w:p>
    <w:p w:rsidR="00437948" w:rsidRPr="003D57FA" w:rsidRDefault="00437948" w:rsidP="00437948">
      <w:pPr>
        <w:pStyle w:val="ListParagraph"/>
        <w:spacing w:line="312" w:lineRule="auto"/>
        <w:ind w:left="1080"/>
        <w:jc w:val="both"/>
        <w:rPr>
          <w:rFonts w:ascii="Verdana" w:hAnsi="Verdana"/>
          <w:sz w:val="20"/>
          <w:szCs w:val="20"/>
          <w:lang w:val="en-GB"/>
        </w:rPr>
      </w:pPr>
    </w:p>
    <w:p w:rsidR="00437948" w:rsidRPr="003D57FA" w:rsidRDefault="00437948" w:rsidP="00B07A9D">
      <w:pPr>
        <w:pStyle w:val="ListParagraph"/>
        <w:numPr>
          <w:ilvl w:val="1"/>
          <w:numId w:val="10"/>
        </w:numPr>
        <w:spacing w:after="200" w:line="312" w:lineRule="auto"/>
        <w:jc w:val="both"/>
        <w:rPr>
          <w:rFonts w:ascii="Verdana" w:hAnsi="Verdana"/>
          <w:b/>
          <w:sz w:val="20"/>
          <w:szCs w:val="20"/>
          <w:lang w:val="en-GB"/>
        </w:rPr>
      </w:pPr>
      <w:r>
        <w:rPr>
          <w:rFonts w:ascii="Verdana" w:hAnsi="Verdana"/>
          <w:b/>
          <w:sz w:val="20"/>
          <w:szCs w:val="20"/>
          <w:lang w:val="en-GB"/>
        </w:rPr>
        <w:t xml:space="preserve"> </w:t>
      </w:r>
      <w:r w:rsidRPr="003D57FA">
        <w:rPr>
          <w:rFonts w:ascii="Verdana" w:hAnsi="Verdana"/>
          <w:b/>
          <w:sz w:val="20"/>
          <w:szCs w:val="20"/>
          <w:lang w:val="en-GB"/>
        </w:rPr>
        <w:t>Academic, administrative and technical staff in higher education institutions are called upon to</w:t>
      </w:r>
      <w:r>
        <w:rPr>
          <w:rFonts w:ascii="Verdana" w:hAnsi="Verdana"/>
          <w:b/>
          <w:sz w:val="20"/>
          <w:szCs w:val="20"/>
          <w:lang w:val="en-GB"/>
        </w:rPr>
        <w:t>:</w:t>
      </w:r>
    </w:p>
    <w:p w:rsidR="00437948" w:rsidRPr="003D57FA" w:rsidRDefault="00437948" w:rsidP="00437948">
      <w:pPr>
        <w:pStyle w:val="ListParagraph"/>
        <w:spacing w:line="312" w:lineRule="auto"/>
        <w:ind w:left="360"/>
        <w:jc w:val="both"/>
        <w:rPr>
          <w:rFonts w:ascii="Verdana" w:hAnsi="Verdana"/>
          <w:b/>
          <w:sz w:val="20"/>
          <w:szCs w:val="20"/>
          <w:lang w:val="en-GB"/>
        </w:rPr>
      </w:pPr>
    </w:p>
    <w:p w:rsidR="00437948" w:rsidRDefault="00437948" w:rsidP="00B07A9D">
      <w:pPr>
        <w:pStyle w:val="ListParagraph"/>
        <w:numPr>
          <w:ilvl w:val="0"/>
          <w:numId w:val="9"/>
        </w:numPr>
        <w:spacing w:after="200" w:line="312" w:lineRule="auto"/>
        <w:jc w:val="both"/>
        <w:rPr>
          <w:rFonts w:ascii="Verdana" w:hAnsi="Verdana"/>
          <w:b/>
          <w:sz w:val="20"/>
          <w:szCs w:val="20"/>
          <w:lang w:val="en-GB"/>
        </w:rPr>
      </w:pPr>
      <w:r w:rsidRPr="003D57FA">
        <w:rPr>
          <w:rFonts w:ascii="Verdana" w:hAnsi="Verdana"/>
          <w:b/>
          <w:sz w:val="20"/>
          <w:szCs w:val="20"/>
          <w:lang w:val="en-GB"/>
        </w:rPr>
        <w:t xml:space="preserve">Show more openness towards international activities and use the existing opportunities for mobility. </w:t>
      </w:r>
    </w:p>
    <w:p w:rsidR="00437948" w:rsidRPr="003D57FA" w:rsidRDefault="00437948" w:rsidP="00437948">
      <w:pPr>
        <w:pStyle w:val="ListParagraph"/>
        <w:spacing w:line="312" w:lineRule="auto"/>
        <w:ind w:left="360"/>
        <w:jc w:val="both"/>
        <w:rPr>
          <w:rFonts w:ascii="Verdana" w:hAnsi="Verdana"/>
          <w:b/>
          <w:sz w:val="20"/>
          <w:szCs w:val="20"/>
          <w:lang w:val="en-GB"/>
        </w:rPr>
      </w:pPr>
    </w:p>
    <w:p w:rsidR="00437948" w:rsidRDefault="00437948" w:rsidP="00B07A9D">
      <w:pPr>
        <w:pStyle w:val="ListParagraph"/>
        <w:numPr>
          <w:ilvl w:val="0"/>
          <w:numId w:val="9"/>
        </w:numPr>
        <w:spacing w:after="200" w:line="312" w:lineRule="auto"/>
        <w:jc w:val="both"/>
        <w:rPr>
          <w:rFonts w:ascii="Verdana" w:hAnsi="Verdana"/>
          <w:b/>
          <w:sz w:val="20"/>
          <w:szCs w:val="20"/>
          <w:lang w:val="en-GB"/>
        </w:rPr>
      </w:pPr>
      <w:r w:rsidRPr="003D57FA">
        <w:rPr>
          <w:rFonts w:ascii="Verdana" w:hAnsi="Verdana"/>
          <w:b/>
          <w:sz w:val="20"/>
          <w:szCs w:val="20"/>
          <w:lang w:val="en-GB"/>
        </w:rPr>
        <w:lastRenderedPageBreak/>
        <w:t xml:space="preserve">Act as multipliers to promote the benefits of mobility among fellow staff and students </w:t>
      </w:r>
    </w:p>
    <w:p w:rsidR="00437948" w:rsidRPr="003D57FA" w:rsidRDefault="00437948" w:rsidP="00437948">
      <w:pPr>
        <w:pStyle w:val="ListParagraph"/>
        <w:rPr>
          <w:rFonts w:ascii="Verdana" w:hAnsi="Verdana"/>
          <w:b/>
          <w:sz w:val="20"/>
          <w:szCs w:val="20"/>
          <w:lang w:val="en-GB"/>
        </w:rPr>
      </w:pPr>
    </w:p>
    <w:p w:rsidR="00437948" w:rsidRPr="003D57FA" w:rsidRDefault="00437948" w:rsidP="00B07A9D">
      <w:pPr>
        <w:pStyle w:val="ListParagraph"/>
        <w:numPr>
          <w:ilvl w:val="1"/>
          <w:numId w:val="9"/>
        </w:numPr>
        <w:spacing w:after="200" w:line="312" w:lineRule="auto"/>
        <w:jc w:val="both"/>
        <w:rPr>
          <w:rFonts w:ascii="Verdana" w:hAnsi="Verdana"/>
          <w:b/>
          <w:sz w:val="20"/>
          <w:szCs w:val="20"/>
          <w:lang w:val="en-GB"/>
        </w:rPr>
      </w:pPr>
      <w:r w:rsidRPr="003D57FA">
        <w:rPr>
          <w:rFonts w:ascii="Verdana" w:hAnsi="Verdana"/>
          <w:sz w:val="20"/>
          <w:szCs w:val="20"/>
          <w:lang w:val="en-GB"/>
        </w:rPr>
        <w:t>Share experience via workshops, reports in magazines of the higher education and research institution, including inter-disciplinary exchange.</w:t>
      </w:r>
    </w:p>
    <w:p w:rsidR="00437948" w:rsidRPr="003D57FA" w:rsidRDefault="00437948" w:rsidP="00B07A9D">
      <w:pPr>
        <w:pStyle w:val="ListParagraph"/>
        <w:numPr>
          <w:ilvl w:val="1"/>
          <w:numId w:val="9"/>
        </w:numPr>
        <w:spacing w:after="200" w:line="312" w:lineRule="auto"/>
        <w:jc w:val="both"/>
        <w:rPr>
          <w:rFonts w:ascii="Verdana" w:hAnsi="Verdana"/>
          <w:b/>
          <w:sz w:val="20"/>
          <w:szCs w:val="20"/>
          <w:lang w:val="en-GB"/>
        </w:rPr>
      </w:pPr>
      <w:r w:rsidRPr="003D57FA">
        <w:rPr>
          <w:rFonts w:ascii="Verdana" w:hAnsi="Verdana"/>
          <w:sz w:val="20"/>
          <w:szCs w:val="20"/>
          <w:lang w:val="en-GB"/>
        </w:rPr>
        <w:t xml:space="preserve">Join and actively participate in existing networks. </w:t>
      </w:r>
    </w:p>
    <w:p w:rsidR="00437948" w:rsidRPr="003D57FA" w:rsidRDefault="00437948" w:rsidP="00B07A9D">
      <w:pPr>
        <w:pStyle w:val="ListParagraph"/>
        <w:numPr>
          <w:ilvl w:val="1"/>
          <w:numId w:val="9"/>
        </w:numPr>
        <w:spacing w:after="200" w:line="312" w:lineRule="auto"/>
        <w:jc w:val="both"/>
        <w:rPr>
          <w:rFonts w:ascii="Verdana" w:hAnsi="Verdana"/>
          <w:b/>
          <w:sz w:val="20"/>
          <w:szCs w:val="20"/>
          <w:lang w:val="en-GB"/>
        </w:rPr>
      </w:pPr>
      <w:r w:rsidRPr="003D57FA">
        <w:rPr>
          <w:rFonts w:ascii="Verdana" w:hAnsi="Verdana"/>
          <w:sz w:val="20"/>
          <w:szCs w:val="20"/>
          <w:lang w:val="en-GB"/>
        </w:rPr>
        <w:t xml:space="preserve">Provide practical information to colleagues. </w:t>
      </w:r>
    </w:p>
    <w:p w:rsidR="00437948" w:rsidRPr="00437948" w:rsidRDefault="00437948" w:rsidP="00437948">
      <w:pPr>
        <w:spacing w:after="0" w:line="312" w:lineRule="auto"/>
        <w:rPr>
          <w:rFonts w:ascii="Verdana" w:hAnsi="Verdana"/>
          <w:lang w:val="en-GB"/>
        </w:rPr>
      </w:pPr>
    </w:p>
    <w:p w:rsidR="00437948" w:rsidRPr="00437948" w:rsidRDefault="00437948" w:rsidP="00437948">
      <w:pPr>
        <w:spacing w:after="0" w:line="312" w:lineRule="auto"/>
        <w:rPr>
          <w:rFonts w:ascii="Verdana" w:hAnsi="Verdana"/>
          <w:b/>
          <w:lang w:val="en-GB"/>
        </w:rPr>
      </w:pPr>
      <w:r w:rsidRPr="00437948">
        <w:rPr>
          <w:rFonts w:ascii="Verdana" w:hAnsi="Verdana"/>
          <w:b/>
          <w:lang w:val="en-GB"/>
        </w:rPr>
        <w:t>ANNEX I</w:t>
      </w:r>
      <w:r w:rsidR="006C0154">
        <w:rPr>
          <w:rFonts w:ascii="Verdana" w:hAnsi="Verdana"/>
          <w:b/>
          <w:lang w:val="en-GB"/>
        </w:rPr>
        <w:t>V</w:t>
      </w:r>
      <w:r w:rsidRPr="00437948">
        <w:rPr>
          <w:rFonts w:ascii="Verdana" w:hAnsi="Verdana"/>
          <w:b/>
          <w:lang w:val="en-GB"/>
        </w:rPr>
        <w:t xml:space="preserve">: </w:t>
      </w:r>
      <w:r w:rsidRPr="00437948">
        <w:rPr>
          <w:rFonts w:ascii="Verdana" w:hAnsi="Verdana"/>
          <w:b/>
        </w:rPr>
        <w:t>Mobility of teacher training students in the EHEA</w:t>
      </w:r>
    </w:p>
    <w:p w:rsidR="00437948" w:rsidRDefault="00437948" w:rsidP="00437948">
      <w:pPr>
        <w:spacing w:after="0" w:line="312" w:lineRule="auto"/>
        <w:rPr>
          <w:rFonts w:ascii="Verdana" w:hAnsi="Verdana"/>
          <w:sz w:val="20"/>
          <w:szCs w:val="20"/>
          <w:lang w:val="en-GB"/>
        </w:rPr>
      </w:pPr>
    </w:p>
    <w:p w:rsidR="00437948" w:rsidRPr="00DE7E85" w:rsidRDefault="00437948" w:rsidP="00437948">
      <w:pPr>
        <w:spacing w:line="312" w:lineRule="auto"/>
        <w:jc w:val="both"/>
        <w:rPr>
          <w:rFonts w:ascii="Verdana" w:hAnsi="Verdana"/>
          <w:sz w:val="20"/>
          <w:szCs w:val="20"/>
          <w:lang w:val="en-GB"/>
        </w:rPr>
      </w:pPr>
      <w:r w:rsidRPr="00DE7E85">
        <w:rPr>
          <w:rFonts w:ascii="Verdana" w:hAnsi="Verdana"/>
          <w:sz w:val="20"/>
          <w:szCs w:val="20"/>
          <w:lang w:val="en-GB"/>
        </w:rPr>
        <w:t>The mobility of teacher training students carries a great potential for our joint efforts to encourage student mobility throughout the EHEA. Still, teacher training students are among the least mobile student groups in Europe today.</w:t>
      </w:r>
      <w:r w:rsidRPr="00DE7E85">
        <w:rPr>
          <w:rStyle w:val="FootnoteReference"/>
          <w:rFonts w:ascii="Verdana" w:hAnsi="Verdana"/>
          <w:sz w:val="20"/>
          <w:szCs w:val="20"/>
          <w:lang w:val="en-GB"/>
        </w:rPr>
        <w:footnoteReference w:id="5"/>
      </w:r>
      <w:r w:rsidRPr="00DE7E85">
        <w:rPr>
          <w:rFonts w:ascii="Verdana" w:hAnsi="Verdana"/>
          <w:sz w:val="20"/>
          <w:szCs w:val="20"/>
          <w:lang w:val="en-GB"/>
        </w:rPr>
        <w:t xml:space="preserve"> </w:t>
      </w:r>
    </w:p>
    <w:p w:rsidR="00437948" w:rsidRDefault="00437948" w:rsidP="00437948">
      <w:pPr>
        <w:tabs>
          <w:tab w:val="left" w:pos="1393"/>
        </w:tabs>
        <w:spacing w:line="312" w:lineRule="auto"/>
        <w:jc w:val="both"/>
        <w:rPr>
          <w:rFonts w:ascii="Verdana" w:hAnsi="Verdana"/>
          <w:sz w:val="20"/>
          <w:szCs w:val="20"/>
        </w:rPr>
      </w:pPr>
      <w:r w:rsidRPr="00DE7E85">
        <w:rPr>
          <w:rFonts w:ascii="Verdana" w:hAnsi="Verdana"/>
          <w:sz w:val="20"/>
          <w:szCs w:val="20"/>
          <w:lang w:val="en-GB"/>
        </w:rPr>
        <w:t xml:space="preserve">Teacher training students will eventually become teachers and thus serve as role models for new generations of pupils and students. They should be mobile because they are going to explain the world to future generations. Hence they must have experienced it themselves. They should themselves have benefitted from </w:t>
      </w:r>
      <w:r w:rsidRPr="00DE7E85">
        <w:rPr>
          <w:rFonts w:ascii="Verdana" w:hAnsi="Verdana"/>
          <w:sz w:val="20"/>
          <w:szCs w:val="20"/>
        </w:rPr>
        <w:t>the positive effect that the exchange with people from different cultures has on the development of a student’s personality.</w:t>
      </w:r>
      <w:r w:rsidRPr="00DE7E85">
        <w:rPr>
          <w:rStyle w:val="FootnoteReference"/>
          <w:rFonts w:ascii="Verdana" w:hAnsi="Verdana"/>
          <w:sz w:val="20"/>
          <w:szCs w:val="20"/>
        </w:rPr>
        <w:footnoteReference w:id="6"/>
      </w:r>
      <w:r w:rsidRPr="00DE7E85">
        <w:rPr>
          <w:rFonts w:ascii="Verdana" w:hAnsi="Verdana"/>
          <w:sz w:val="20"/>
          <w:szCs w:val="20"/>
        </w:rPr>
        <w:t xml:space="preserve"> Young adults who have studied abroad become more self-conscious and are able to better handle criticism. These are competences which are desirable in particular in teachers. Furthermore, teachers in our more and more globalized society are increasingly facing pupils with an international background. In this regard, the personal experience of cultural differences could prove as an important advantage to better understand and deal with an intercultural context also outside the classroom. </w:t>
      </w:r>
    </w:p>
    <w:p w:rsidR="00437948" w:rsidRDefault="00437948" w:rsidP="00437948">
      <w:pPr>
        <w:spacing w:line="312" w:lineRule="auto"/>
        <w:jc w:val="both"/>
        <w:rPr>
          <w:rFonts w:ascii="Verdana" w:hAnsi="Verdana"/>
          <w:sz w:val="20"/>
          <w:szCs w:val="20"/>
          <w:lang w:val="en-GB"/>
        </w:rPr>
      </w:pPr>
      <w:r w:rsidRPr="00DE7E85">
        <w:rPr>
          <w:rFonts w:ascii="Verdana" w:hAnsi="Verdana"/>
          <w:sz w:val="20"/>
          <w:szCs w:val="20"/>
          <w:lang w:val="en-GB"/>
        </w:rPr>
        <w:t>For these reasons, we need to particularly target teacher training students in our European endeavours to support and facilitate student mobility. Such targeted action by the EHEA Ministers could include:</w:t>
      </w:r>
    </w:p>
    <w:p w:rsidR="00437948" w:rsidRDefault="00437948" w:rsidP="00B07A9D">
      <w:pPr>
        <w:pStyle w:val="ListParagraph"/>
        <w:numPr>
          <w:ilvl w:val="0"/>
          <w:numId w:val="12"/>
        </w:numPr>
        <w:spacing w:line="312" w:lineRule="auto"/>
        <w:jc w:val="both"/>
        <w:rPr>
          <w:rFonts w:ascii="Verdana" w:hAnsi="Verdana"/>
          <w:sz w:val="20"/>
          <w:szCs w:val="20"/>
          <w:lang w:val="en-GB"/>
        </w:rPr>
      </w:pPr>
      <w:r w:rsidRPr="00DE7E85">
        <w:rPr>
          <w:rFonts w:ascii="Verdana" w:hAnsi="Verdana"/>
          <w:sz w:val="20"/>
          <w:szCs w:val="20"/>
          <w:lang w:val="en-GB"/>
        </w:rPr>
        <w:t>an acknowledgement of the importance of this particular student group as well as a commitment to improving the framework conditions, such as national regulation which may hinder the mobility of teacher training students</w:t>
      </w:r>
      <w:r>
        <w:rPr>
          <w:rFonts w:ascii="Verdana" w:hAnsi="Verdana"/>
          <w:sz w:val="20"/>
          <w:szCs w:val="20"/>
          <w:lang w:val="en-GB"/>
        </w:rPr>
        <w:t>;</w:t>
      </w:r>
    </w:p>
    <w:p w:rsidR="00437948" w:rsidRPr="00DE7E85" w:rsidRDefault="00437948" w:rsidP="00437948">
      <w:pPr>
        <w:spacing w:line="312" w:lineRule="auto"/>
        <w:jc w:val="both"/>
        <w:rPr>
          <w:rFonts w:ascii="Verdana" w:hAnsi="Verdana"/>
          <w:sz w:val="20"/>
          <w:szCs w:val="20"/>
          <w:lang w:val="en-GB"/>
        </w:rPr>
      </w:pPr>
    </w:p>
    <w:p w:rsidR="00437948" w:rsidRDefault="00437948" w:rsidP="00B07A9D">
      <w:pPr>
        <w:numPr>
          <w:ilvl w:val="0"/>
          <w:numId w:val="12"/>
        </w:numPr>
        <w:spacing w:after="0" w:line="312" w:lineRule="auto"/>
        <w:jc w:val="both"/>
        <w:rPr>
          <w:rFonts w:ascii="Verdana" w:hAnsi="Verdana"/>
          <w:sz w:val="20"/>
          <w:szCs w:val="20"/>
        </w:rPr>
      </w:pPr>
      <w:r w:rsidRPr="00DE7E85">
        <w:rPr>
          <w:rFonts w:ascii="Verdana" w:hAnsi="Verdana"/>
          <w:sz w:val="20"/>
          <w:szCs w:val="20"/>
        </w:rPr>
        <w:t xml:space="preserve">an encouragement to HEIs to </w:t>
      </w:r>
    </w:p>
    <w:p w:rsidR="00437948" w:rsidRDefault="00437948" w:rsidP="00437948">
      <w:pPr>
        <w:pStyle w:val="ListParagraph"/>
        <w:rPr>
          <w:rFonts w:ascii="Verdana" w:hAnsi="Verdana"/>
          <w:sz w:val="20"/>
          <w:szCs w:val="20"/>
        </w:rPr>
      </w:pPr>
    </w:p>
    <w:p w:rsidR="00437948" w:rsidRPr="00DE7E85" w:rsidRDefault="00437948" w:rsidP="00B07A9D">
      <w:pPr>
        <w:numPr>
          <w:ilvl w:val="1"/>
          <w:numId w:val="11"/>
        </w:numPr>
        <w:spacing w:after="0" w:line="312" w:lineRule="auto"/>
        <w:jc w:val="both"/>
        <w:rPr>
          <w:rFonts w:ascii="Verdana" w:hAnsi="Verdana"/>
          <w:sz w:val="20"/>
          <w:szCs w:val="20"/>
        </w:rPr>
      </w:pPr>
      <w:proofErr w:type="spellStart"/>
      <w:r>
        <w:rPr>
          <w:rFonts w:ascii="Verdana" w:hAnsi="Verdana"/>
          <w:sz w:val="20"/>
          <w:szCs w:val="20"/>
        </w:rPr>
        <w:lastRenderedPageBreak/>
        <w:t>R</w:t>
      </w:r>
      <w:r w:rsidRPr="00DE7E85">
        <w:rPr>
          <w:rFonts w:ascii="Verdana" w:hAnsi="Verdana"/>
          <w:sz w:val="20"/>
          <w:szCs w:val="20"/>
        </w:rPr>
        <w:t>ecognise</w:t>
      </w:r>
      <w:proofErr w:type="spellEnd"/>
      <w:r w:rsidRPr="00DE7E85">
        <w:rPr>
          <w:rFonts w:ascii="Verdana" w:hAnsi="Verdana"/>
          <w:sz w:val="20"/>
          <w:szCs w:val="20"/>
        </w:rPr>
        <w:t xml:space="preserve"> study periods abroad</w:t>
      </w:r>
      <w:r>
        <w:rPr>
          <w:rFonts w:ascii="Verdana" w:hAnsi="Verdana"/>
          <w:sz w:val="20"/>
          <w:szCs w:val="20"/>
        </w:rPr>
        <w:t>;</w:t>
      </w:r>
    </w:p>
    <w:p w:rsidR="00437948" w:rsidRPr="00DE7E85" w:rsidRDefault="00437948" w:rsidP="00B07A9D">
      <w:pPr>
        <w:numPr>
          <w:ilvl w:val="1"/>
          <w:numId w:val="11"/>
        </w:numPr>
        <w:spacing w:after="0" w:line="312" w:lineRule="auto"/>
        <w:jc w:val="both"/>
        <w:rPr>
          <w:rFonts w:ascii="Verdana" w:hAnsi="Verdana"/>
          <w:sz w:val="20"/>
          <w:szCs w:val="20"/>
        </w:rPr>
      </w:pPr>
      <w:proofErr w:type="spellStart"/>
      <w:r>
        <w:rPr>
          <w:rFonts w:ascii="Verdana" w:hAnsi="Verdana"/>
          <w:sz w:val="20"/>
          <w:szCs w:val="20"/>
        </w:rPr>
        <w:t>R</w:t>
      </w:r>
      <w:r w:rsidRPr="00DE7E85">
        <w:rPr>
          <w:rFonts w:ascii="Verdana" w:hAnsi="Verdana"/>
          <w:sz w:val="20"/>
          <w:szCs w:val="20"/>
        </w:rPr>
        <w:t>ecognise</w:t>
      </w:r>
      <w:proofErr w:type="spellEnd"/>
      <w:r w:rsidRPr="00DE7E85">
        <w:rPr>
          <w:rFonts w:ascii="Verdana" w:hAnsi="Verdana"/>
          <w:sz w:val="20"/>
          <w:szCs w:val="20"/>
        </w:rPr>
        <w:t xml:space="preserve"> foreign qualifications in accordance with the Lisbon Recognition Convention</w:t>
      </w:r>
      <w:r>
        <w:rPr>
          <w:rFonts w:ascii="Verdana" w:hAnsi="Verdana"/>
          <w:sz w:val="20"/>
          <w:szCs w:val="20"/>
        </w:rPr>
        <w:t>;</w:t>
      </w:r>
    </w:p>
    <w:p w:rsidR="00437948" w:rsidRPr="00DE7E85" w:rsidRDefault="00437948" w:rsidP="00B07A9D">
      <w:pPr>
        <w:numPr>
          <w:ilvl w:val="1"/>
          <w:numId w:val="11"/>
        </w:numPr>
        <w:spacing w:after="0" w:line="312" w:lineRule="auto"/>
        <w:jc w:val="both"/>
        <w:rPr>
          <w:rFonts w:ascii="Verdana" w:hAnsi="Verdana"/>
          <w:sz w:val="20"/>
          <w:szCs w:val="20"/>
        </w:rPr>
      </w:pPr>
      <w:r>
        <w:rPr>
          <w:rFonts w:ascii="Verdana" w:hAnsi="Verdana"/>
          <w:sz w:val="20"/>
          <w:szCs w:val="20"/>
        </w:rPr>
        <w:t>I</w:t>
      </w:r>
      <w:r w:rsidRPr="00DE7E85">
        <w:rPr>
          <w:rFonts w:ascii="Verdana" w:hAnsi="Verdana"/>
          <w:sz w:val="20"/>
          <w:szCs w:val="20"/>
        </w:rPr>
        <w:t>nclude mobility windows into teacher training curricula</w:t>
      </w:r>
      <w:r>
        <w:rPr>
          <w:rFonts w:ascii="Verdana" w:hAnsi="Verdana"/>
          <w:sz w:val="20"/>
          <w:szCs w:val="20"/>
        </w:rPr>
        <w:t>;</w:t>
      </w:r>
      <w:r w:rsidRPr="00DE7E85">
        <w:rPr>
          <w:rFonts w:ascii="Verdana" w:hAnsi="Verdana"/>
          <w:sz w:val="20"/>
          <w:szCs w:val="20"/>
        </w:rPr>
        <w:t xml:space="preserve"> </w:t>
      </w:r>
    </w:p>
    <w:p w:rsidR="00437948" w:rsidRPr="00DE7E85" w:rsidRDefault="00437948" w:rsidP="00B07A9D">
      <w:pPr>
        <w:numPr>
          <w:ilvl w:val="1"/>
          <w:numId w:val="11"/>
        </w:numPr>
        <w:spacing w:after="0" w:line="312" w:lineRule="auto"/>
        <w:jc w:val="both"/>
        <w:rPr>
          <w:rFonts w:ascii="Verdana" w:hAnsi="Verdana"/>
          <w:sz w:val="20"/>
          <w:szCs w:val="20"/>
        </w:rPr>
      </w:pPr>
      <w:r>
        <w:rPr>
          <w:rFonts w:ascii="Verdana" w:hAnsi="Verdana"/>
          <w:sz w:val="20"/>
          <w:szCs w:val="20"/>
        </w:rPr>
        <w:t>O</w:t>
      </w:r>
      <w:r w:rsidRPr="00DE7E85">
        <w:rPr>
          <w:rFonts w:ascii="Verdana" w:hAnsi="Verdana"/>
          <w:sz w:val="20"/>
          <w:szCs w:val="20"/>
        </w:rPr>
        <w:t xml:space="preserve">ffer joint </w:t>
      </w:r>
      <w:proofErr w:type="spellStart"/>
      <w:r w:rsidRPr="00DE7E85">
        <w:rPr>
          <w:rFonts w:ascii="Verdana" w:hAnsi="Verdana"/>
          <w:sz w:val="20"/>
          <w:szCs w:val="20"/>
        </w:rPr>
        <w:t>programmes</w:t>
      </w:r>
      <w:proofErr w:type="spellEnd"/>
      <w:r w:rsidRPr="00DE7E85">
        <w:rPr>
          <w:rFonts w:ascii="Verdana" w:hAnsi="Verdana"/>
          <w:sz w:val="20"/>
          <w:szCs w:val="20"/>
        </w:rPr>
        <w:t xml:space="preserve"> in the field of teacher training</w:t>
      </w:r>
      <w:r>
        <w:rPr>
          <w:rFonts w:ascii="Verdana" w:hAnsi="Verdana"/>
          <w:sz w:val="20"/>
          <w:szCs w:val="20"/>
        </w:rPr>
        <w:t>;</w:t>
      </w:r>
    </w:p>
    <w:p w:rsidR="00437948" w:rsidRPr="00DE7E85" w:rsidRDefault="00437948" w:rsidP="00B07A9D">
      <w:pPr>
        <w:numPr>
          <w:ilvl w:val="1"/>
          <w:numId w:val="11"/>
        </w:numPr>
        <w:spacing w:after="0" w:line="312" w:lineRule="auto"/>
        <w:jc w:val="both"/>
        <w:rPr>
          <w:rFonts w:ascii="Verdana" w:hAnsi="Verdana"/>
          <w:sz w:val="20"/>
          <w:szCs w:val="20"/>
        </w:rPr>
      </w:pPr>
      <w:r>
        <w:rPr>
          <w:rFonts w:ascii="Verdana" w:hAnsi="Verdana"/>
          <w:sz w:val="20"/>
          <w:szCs w:val="20"/>
        </w:rPr>
        <w:t>P</w:t>
      </w:r>
      <w:r w:rsidRPr="00DE7E85">
        <w:rPr>
          <w:rFonts w:ascii="Verdana" w:hAnsi="Verdana"/>
          <w:sz w:val="20"/>
          <w:szCs w:val="20"/>
        </w:rPr>
        <w:t xml:space="preserve">romote exchange </w:t>
      </w:r>
      <w:proofErr w:type="spellStart"/>
      <w:r w:rsidRPr="00DE7E85">
        <w:rPr>
          <w:rFonts w:ascii="Verdana" w:hAnsi="Verdana"/>
          <w:sz w:val="20"/>
          <w:szCs w:val="20"/>
        </w:rPr>
        <w:t>programmes</w:t>
      </w:r>
      <w:proofErr w:type="spellEnd"/>
      <w:r w:rsidRPr="00DE7E85">
        <w:rPr>
          <w:rFonts w:ascii="Verdana" w:hAnsi="Verdana"/>
          <w:sz w:val="20"/>
          <w:szCs w:val="20"/>
        </w:rPr>
        <w:t>, such as ERASMUS +, that offer funding for internships as a teaching assistant abroad.</w:t>
      </w:r>
    </w:p>
    <w:p w:rsidR="00437948" w:rsidRPr="00DE7E85" w:rsidRDefault="00437948" w:rsidP="00437948">
      <w:pPr>
        <w:spacing w:line="312" w:lineRule="auto"/>
        <w:jc w:val="both"/>
        <w:rPr>
          <w:rFonts w:ascii="Verdana" w:hAnsi="Verdana"/>
          <w:sz w:val="20"/>
          <w:szCs w:val="20"/>
        </w:rPr>
      </w:pPr>
    </w:p>
    <w:p w:rsidR="00437948" w:rsidRPr="00DE7E85" w:rsidRDefault="00437948" w:rsidP="0044097B">
      <w:pPr>
        <w:spacing w:after="0" w:line="312" w:lineRule="auto"/>
        <w:jc w:val="both"/>
        <w:rPr>
          <w:rFonts w:ascii="Verdana" w:hAnsi="Verdana"/>
          <w:sz w:val="20"/>
          <w:szCs w:val="20"/>
        </w:rPr>
      </w:pPr>
      <w:r w:rsidRPr="00DE7E85">
        <w:rPr>
          <w:rFonts w:ascii="Verdana" w:hAnsi="Verdana"/>
          <w:sz w:val="20"/>
          <w:szCs w:val="20"/>
        </w:rPr>
        <w:t xml:space="preserve">Prospective </w:t>
      </w:r>
      <w:r w:rsidRPr="00DE7E85">
        <w:rPr>
          <w:rFonts w:ascii="Verdana" w:hAnsi="Verdana"/>
          <w:sz w:val="20"/>
          <w:szCs w:val="20"/>
          <w:u w:val="single"/>
        </w:rPr>
        <w:t>language</w:t>
      </w:r>
      <w:r w:rsidRPr="00DE7E85">
        <w:rPr>
          <w:rFonts w:ascii="Verdana" w:hAnsi="Verdana"/>
          <w:sz w:val="20"/>
          <w:szCs w:val="20"/>
        </w:rPr>
        <w:t xml:space="preserve"> teachers are a group to which mobility is of even greater importance. Teacher training students that aim to teach a foreign language should spend at least one semester in a country where that language is commonly spoken. Teacher training students that aim to teach their native language as a foreign language should spend at least a mobility period of one semester in a country where that language is not commonly spoken. Higher Education Institutions should include such semesters abroad in the curricula of their </w:t>
      </w:r>
      <w:proofErr w:type="spellStart"/>
      <w:r w:rsidRPr="00DE7E85">
        <w:rPr>
          <w:rFonts w:ascii="Verdana" w:hAnsi="Verdana"/>
          <w:sz w:val="20"/>
          <w:szCs w:val="20"/>
        </w:rPr>
        <w:t>programmes</w:t>
      </w:r>
      <w:proofErr w:type="spellEnd"/>
      <w:r w:rsidRPr="00DE7E85">
        <w:rPr>
          <w:rFonts w:ascii="Verdana" w:hAnsi="Verdana"/>
          <w:sz w:val="20"/>
          <w:szCs w:val="20"/>
        </w:rPr>
        <w:t xml:space="preserve"> for prospective language teachers.</w:t>
      </w:r>
    </w:p>
    <w:p w:rsidR="0044097B" w:rsidRDefault="0044097B" w:rsidP="00084451">
      <w:pPr>
        <w:spacing w:after="0" w:line="312" w:lineRule="auto"/>
        <w:jc w:val="both"/>
        <w:rPr>
          <w:rFonts w:ascii="Verdana" w:hAnsi="Verdana"/>
          <w:b/>
        </w:rPr>
      </w:pPr>
    </w:p>
    <w:p w:rsidR="00437948" w:rsidRDefault="00437948" w:rsidP="00084451">
      <w:pPr>
        <w:spacing w:after="0" w:line="312" w:lineRule="auto"/>
        <w:jc w:val="both"/>
        <w:rPr>
          <w:rFonts w:ascii="Verdana" w:hAnsi="Verdana"/>
          <w:b/>
        </w:rPr>
      </w:pPr>
      <w:r>
        <w:rPr>
          <w:rFonts w:ascii="Verdana" w:hAnsi="Verdana"/>
          <w:b/>
        </w:rPr>
        <w:t xml:space="preserve">ANNEX </w:t>
      </w:r>
      <w:r w:rsidR="006C0154">
        <w:rPr>
          <w:rFonts w:ascii="Verdana" w:hAnsi="Verdana"/>
          <w:b/>
        </w:rPr>
        <w:t>V</w:t>
      </w:r>
      <w:r>
        <w:rPr>
          <w:rFonts w:ascii="Verdana" w:hAnsi="Verdana"/>
          <w:b/>
        </w:rPr>
        <w:t xml:space="preserve">: Quality in </w:t>
      </w:r>
      <w:r w:rsidRPr="00084451">
        <w:rPr>
          <w:rFonts w:ascii="Verdana" w:hAnsi="Verdana"/>
          <w:b/>
        </w:rPr>
        <w:t>Mobility</w:t>
      </w:r>
      <w:r w:rsidR="00084451" w:rsidRPr="00084451">
        <w:rPr>
          <w:rFonts w:ascii="Verdana" w:hAnsi="Verdana"/>
          <w:b/>
        </w:rPr>
        <w:t xml:space="preserve"> - </w:t>
      </w:r>
      <w:r w:rsidR="00084451" w:rsidRPr="00084451">
        <w:rPr>
          <w:rFonts w:ascii="Verdana" w:hAnsi="Verdana"/>
          <w:b/>
          <w:bCs/>
          <w:color w:val="000000" w:themeColor="text1"/>
        </w:rPr>
        <w:t>Selected Recommendations and Good Practice based on the European Quality Charter for Mobility and the Mobility Strategy for better learning</w:t>
      </w:r>
    </w:p>
    <w:p w:rsidR="00437948" w:rsidRDefault="00437948" w:rsidP="00437948">
      <w:pPr>
        <w:spacing w:after="0" w:line="312" w:lineRule="auto"/>
        <w:rPr>
          <w:rFonts w:ascii="Verdana" w:hAnsi="Verdana"/>
          <w:b/>
        </w:rPr>
      </w:pPr>
    </w:p>
    <w:p w:rsidR="0044097B" w:rsidRPr="00721013" w:rsidRDefault="0044097B" w:rsidP="0044097B">
      <w:pPr>
        <w:spacing w:line="312" w:lineRule="auto"/>
        <w:jc w:val="both"/>
        <w:rPr>
          <w:rFonts w:ascii="Verdana" w:hAnsi="Verdana"/>
          <w:bCs/>
          <w:sz w:val="20"/>
          <w:szCs w:val="20"/>
        </w:rPr>
      </w:pPr>
      <w:r w:rsidRPr="00721013">
        <w:rPr>
          <w:rFonts w:ascii="Verdana" w:hAnsi="Verdana"/>
          <w:bCs/>
          <w:sz w:val="20"/>
          <w:szCs w:val="20"/>
        </w:rPr>
        <w:t>General Remarks:</w:t>
      </w:r>
    </w:p>
    <w:p w:rsidR="0044097B" w:rsidRPr="00721013" w:rsidRDefault="0044097B" w:rsidP="0044097B">
      <w:pPr>
        <w:spacing w:line="312" w:lineRule="auto"/>
        <w:jc w:val="both"/>
        <w:rPr>
          <w:rFonts w:ascii="Verdana" w:hAnsi="Verdana"/>
          <w:bCs/>
          <w:color w:val="000000" w:themeColor="text1"/>
          <w:sz w:val="20"/>
          <w:szCs w:val="20"/>
        </w:rPr>
      </w:pPr>
      <w:r w:rsidRPr="00721013">
        <w:rPr>
          <w:rFonts w:ascii="Verdana" w:hAnsi="Verdana"/>
          <w:bCs/>
          <w:color w:val="000000" w:themeColor="text1"/>
          <w:sz w:val="20"/>
          <w:szCs w:val="20"/>
        </w:rPr>
        <w:t xml:space="preserve">Mobility is one of the main pillars of the European higher education area, and an indispensable ingredient of internationalization strategies. Although many initiatives have been taken to improve the mobility of students, researchers and staff, little attention has been given to the quality-related aspects. There is a considerable value-added effect of high-quality mobility, such as personal improvement of the overall competence level, tolerance, refined intercultural competences, enhanced foreign language and awareness of democracy skills. Nevertheless, it has been shown that a mere study stay abroad without the proper anchoring does not necessarily lead to enhanced competences. Mobility must be focused, structured, promoted, well-prepared, guided, documented and quality assured. </w:t>
      </w:r>
    </w:p>
    <w:p w:rsidR="0044097B" w:rsidRPr="00721013" w:rsidRDefault="0044097B" w:rsidP="0044097B">
      <w:pPr>
        <w:spacing w:line="312" w:lineRule="auto"/>
        <w:jc w:val="both"/>
        <w:rPr>
          <w:rFonts w:ascii="Verdana" w:hAnsi="Verdana"/>
          <w:bCs/>
          <w:color w:val="000000" w:themeColor="text1"/>
          <w:sz w:val="20"/>
          <w:szCs w:val="20"/>
        </w:rPr>
      </w:pPr>
      <w:r w:rsidRPr="00721013">
        <w:rPr>
          <w:rFonts w:ascii="Verdana" w:hAnsi="Verdana"/>
          <w:bCs/>
          <w:color w:val="000000" w:themeColor="text1"/>
          <w:sz w:val="20"/>
          <w:szCs w:val="20"/>
        </w:rPr>
        <w:t>Quality assurance and accreditation measures (e.g. European Standards and Guidelines) and bodies (ENQA; EQAR; national QA agencies) must be applied to all academic programs which are part of the international exchange experience. Yet, overall quality assurance should not only cover the curricula as well as teaching and training aspects of mobility. It has to start in the planning stage and continue during the stay abroad proper well into the post-mobility periods with its evaluation and recognition procedures.</w:t>
      </w:r>
    </w:p>
    <w:p w:rsidR="0044097B" w:rsidRPr="00721013" w:rsidRDefault="0044097B" w:rsidP="0044097B">
      <w:pPr>
        <w:spacing w:line="312" w:lineRule="auto"/>
        <w:jc w:val="both"/>
        <w:rPr>
          <w:rFonts w:ascii="Verdana" w:hAnsi="Verdana"/>
          <w:bCs/>
          <w:color w:val="000000" w:themeColor="text1"/>
          <w:sz w:val="20"/>
          <w:szCs w:val="20"/>
        </w:rPr>
      </w:pPr>
      <w:r w:rsidRPr="00721013">
        <w:rPr>
          <w:rFonts w:ascii="Verdana" w:hAnsi="Verdana"/>
          <w:bCs/>
          <w:color w:val="000000" w:themeColor="text1"/>
          <w:sz w:val="20"/>
          <w:szCs w:val="20"/>
        </w:rPr>
        <w:t xml:space="preserve">Mobility activities and the respective general conditions should be reflected both within the overarching institutional strategy and the respective departmental policies (as part of the </w:t>
      </w:r>
      <w:r w:rsidRPr="00721013">
        <w:rPr>
          <w:rFonts w:ascii="Verdana" w:hAnsi="Verdana"/>
          <w:bCs/>
          <w:color w:val="000000" w:themeColor="text1"/>
          <w:sz w:val="20"/>
          <w:szCs w:val="20"/>
        </w:rPr>
        <w:lastRenderedPageBreak/>
        <w:t xml:space="preserve">institution´s internationalization strategy). Such conditions include focused target countries, selected cooperation partners at academic and labor market level as well as thoroughly designed mobility windows in the academic and professionally-oriented curricula. </w:t>
      </w:r>
    </w:p>
    <w:p w:rsidR="0044097B" w:rsidRPr="00721013" w:rsidRDefault="0044097B" w:rsidP="0044097B">
      <w:pPr>
        <w:spacing w:line="312" w:lineRule="auto"/>
        <w:jc w:val="both"/>
        <w:rPr>
          <w:rFonts w:ascii="Verdana" w:hAnsi="Verdana"/>
          <w:bCs/>
          <w:color w:val="000000" w:themeColor="text1"/>
          <w:sz w:val="20"/>
          <w:szCs w:val="20"/>
        </w:rPr>
      </w:pPr>
      <w:r w:rsidRPr="00721013">
        <w:rPr>
          <w:rFonts w:ascii="Verdana" w:hAnsi="Verdana"/>
          <w:bCs/>
          <w:color w:val="000000" w:themeColor="text1"/>
          <w:sz w:val="20"/>
          <w:szCs w:val="20"/>
        </w:rPr>
        <w:t xml:space="preserve">A prerequisite for making an informed choice of study destination is the transparent and comprehensive provision of information on the rights and duties of mobile candidates. The meaning and the goals of mobility must be clearly communicated to all candidates. This includes proper preparation (e.g. clear contracts with cooperation partners, adequate timing, guaranteed recognition, including recognition of prior learning). </w:t>
      </w:r>
    </w:p>
    <w:p w:rsidR="0044097B" w:rsidRPr="00721013" w:rsidRDefault="0044097B" w:rsidP="0044097B">
      <w:pPr>
        <w:spacing w:line="312" w:lineRule="auto"/>
        <w:jc w:val="both"/>
        <w:rPr>
          <w:rFonts w:ascii="Verdana" w:hAnsi="Verdana"/>
          <w:bCs/>
          <w:color w:val="000000" w:themeColor="text1"/>
          <w:sz w:val="20"/>
          <w:szCs w:val="20"/>
        </w:rPr>
      </w:pPr>
      <w:r w:rsidRPr="00721013">
        <w:rPr>
          <w:rFonts w:ascii="Verdana" w:hAnsi="Verdana"/>
          <w:bCs/>
          <w:color w:val="000000" w:themeColor="text1"/>
          <w:sz w:val="20"/>
          <w:szCs w:val="20"/>
        </w:rPr>
        <w:t xml:space="preserve">The proper reflection of the mobility experience is an important success factor in this respect. Skills, knowledge and experiences acquired abroad by students, researchers and staff shall be strategically assessed (e.g. evaluation and impact for the home institution) and the results spread upon return to the home institution. The needs of international candidates should be catered for by ensuring that staff has relevant training, expertise and language skills to provide such services. Following these principles, the quality assurance of the mobility experience can be properly implemented and sustainability be guaranteed. </w:t>
      </w:r>
    </w:p>
    <w:p w:rsidR="0044097B" w:rsidRPr="00721013" w:rsidRDefault="0044097B" w:rsidP="0044097B">
      <w:pPr>
        <w:spacing w:line="312" w:lineRule="auto"/>
        <w:jc w:val="both"/>
        <w:rPr>
          <w:rFonts w:ascii="Verdana" w:hAnsi="Verdana"/>
          <w:bCs/>
          <w:color w:val="000000" w:themeColor="text1"/>
          <w:sz w:val="20"/>
          <w:szCs w:val="20"/>
        </w:rPr>
      </w:pPr>
      <w:r w:rsidRPr="00721013">
        <w:rPr>
          <w:rFonts w:ascii="Verdana" w:hAnsi="Verdana"/>
          <w:bCs/>
          <w:color w:val="000000" w:themeColor="text1"/>
          <w:sz w:val="20"/>
          <w:szCs w:val="20"/>
        </w:rPr>
        <w:t>Mobility for staff and researchers should be promoted and valued as it contributes to a more international outlook within the institution, providing staff with relevant experience needed for internationalization at home and creating opportunities for further international cooperation for the students and institution.</w:t>
      </w:r>
    </w:p>
    <w:p w:rsidR="0044097B" w:rsidRPr="00721013" w:rsidRDefault="0044097B" w:rsidP="0044097B">
      <w:pPr>
        <w:spacing w:line="312" w:lineRule="auto"/>
        <w:jc w:val="both"/>
        <w:rPr>
          <w:rFonts w:ascii="Verdana" w:hAnsi="Verdana"/>
          <w:bCs/>
          <w:color w:val="000000" w:themeColor="text1"/>
          <w:sz w:val="20"/>
          <w:szCs w:val="20"/>
        </w:rPr>
      </w:pPr>
      <w:r w:rsidRPr="00721013">
        <w:rPr>
          <w:rFonts w:ascii="Verdana" w:hAnsi="Verdana"/>
          <w:bCs/>
          <w:color w:val="000000" w:themeColor="text1"/>
          <w:sz w:val="20"/>
          <w:szCs w:val="20"/>
        </w:rPr>
        <w:t xml:space="preserve">The specific needs of candidates with disabilities must be taken into account by governments, higher education institutions and student unions also in terms of quality of teaching and support. </w:t>
      </w:r>
    </w:p>
    <w:p w:rsidR="0044097B" w:rsidRPr="00721013" w:rsidRDefault="0044097B" w:rsidP="0044097B">
      <w:pPr>
        <w:spacing w:line="312" w:lineRule="auto"/>
        <w:jc w:val="both"/>
        <w:rPr>
          <w:rFonts w:ascii="Verdana" w:hAnsi="Verdana"/>
          <w:bCs/>
          <w:color w:val="000000" w:themeColor="text1"/>
          <w:sz w:val="20"/>
          <w:szCs w:val="20"/>
        </w:rPr>
      </w:pPr>
      <w:r w:rsidRPr="00721013">
        <w:rPr>
          <w:rFonts w:ascii="Verdana" w:hAnsi="Verdana"/>
          <w:bCs/>
          <w:color w:val="000000" w:themeColor="text1"/>
          <w:sz w:val="20"/>
          <w:szCs w:val="20"/>
        </w:rPr>
        <w:t xml:space="preserve">Financial support is crucial for fostering mobility and sustaining high-quality study or working conditions at home as well as abroad. It should be available on all levels: institutional, state, and federal. Concerning students, portability of scholarships, grants and loans should be possible, especially for students with disadvantaged backgrounds and/or disabilities. </w:t>
      </w:r>
    </w:p>
    <w:p w:rsidR="0044097B" w:rsidRPr="00721013" w:rsidRDefault="0044097B" w:rsidP="0044097B">
      <w:pPr>
        <w:spacing w:line="312" w:lineRule="auto"/>
        <w:jc w:val="both"/>
        <w:rPr>
          <w:rFonts w:ascii="Verdana" w:hAnsi="Verdana"/>
          <w:bCs/>
          <w:color w:val="000000" w:themeColor="text1"/>
          <w:sz w:val="20"/>
          <w:szCs w:val="20"/>
        </w:rPr>
      </w:pPr>
      <w:r w:rsidRPr="00721013">
        <w:rPr>
          <w:rFonts w:ascii="Verdana" w:hAnsi="Verdana"/>
          <w:bCs/>
          <w:color w:val="000000" w:themeColor="text1"/>
          <w:sz w:val="20"/>
          <w:szCs w:val="20"/>
        </w:rPr>
        <w:t>The European Quality Charter for Mobility, but also the Council Recommendation 2011 on “Youth on the move”, and the Mobility Strategy 2020 for the EHEA, which covers all 47 EHEA countries, serve as backdrop for a non-exhaustive collection of recommendations on how to provide quality before, during and after the mobility experience. At a later stage quantitative indicators should be established to check on the quality, and thus on the successful implementation of the overall mobility/internationalization strategy.</w:t>
      </w:r>
    </w:p>
    <w:p w:rsidR="0044097B" w:rsidRPr="00721013" w:rsidRDefault="0044097B" w:rsidP="0044097B">
      <w:pPr>
        <w:spacing w:line="312" w:lineRule="auto"/>
        <w:jc w:val="both"/>
        <w:rPr>
          <w:rFonts w:ascii="Verdana" w:hAnsi="Verdana"/>
          <w:bCs/>
          <w:color w:val="000000" w:themeColor="text1"/>
          <w:sz w:val="20"/>
          <w:szCs w:val="20"/>
        </w:rPr>
      </w:pPr>
      <w:r w:rsidRPr="00721013">
        <w:rPr>
          <w:rFonts w:ascii="Verdana" w:hAnsi="Verdana"/>
          <w:bCs/>
          <w:color w:val="000000" w:themeColor="text1"/>
          <w:sz w:val="20"/>
          <w:szCs w:val="20"/>
        </w:rPr>
        <w:t xml:space="preserve">Every HEI should have an ERASMUS CHARTER for higher education (ECHE) – or equivalent -- as this document sets the basis for many of the recommendations on how to improve </w:t>
      </w:r>
      <w:r w:rsidRPr="00721013">
        <w:rPr>
          <w:rFonts w:ascii="Verdana" w:hAnsi="Verdana"/>
          <w:bCs/>
          <w:color w:val="000000" w:themeColor="text1"/>
          <w:sz w:val="20"/>
          <w:szCs w:val="20"/>
        </w:rPr>
        <w:lastRenderedPageBreak/>
        <w:t>quality in mobility. Non EU-countries are invited to follow the recommendations set out in the ECHE as closely as possible.</w:t>
      </w:r>
    </w:p>
    <w:p w:rsidR="0044097B" w:rsidRPr="00721013" w:rsidRDefault="0044097B" w:rsidP="0044097B">
      <w:pPr>
        <w:spacing w:line="312" w:lineRule="auto"/>
        <w:jc w:val="both"/>
        <w:rPr>
          <w:rFonts w:ascii="Verdana" w:hAnsi="Verdana"/>
          <w:bCs/>
          <w:color w:val="000000" w:themeColor="text1"/>
          <w:sz w:val="20"/>
          <w:szCs w:val="20"/>
        </w:rPr>
      </w:pPr>
      <w:r w:rsidRPr="00721013">
        <w:rPr>
          <w:rFonts w:ascii="Verdana" w:hAnsi="Verdana"/>
          <w:bCs/>
          <w:color w:val="000000" w:themeColor="text1"/>
          <w:sz w:val="20"/>
          <w:szCs w:val="20"/>
        </w:rPr>
        <w:t>The recommendations’ addressees are all persons and institutions involved in planning, counseling, accompanying, recognizing and supporting all types of mobility. They should benefit students, staff, teachers and researchers in planning and realizing their individual mobility activities.</w:t>
      </w:r>
    </w:p>
    <w:p w:rsidR="0044097B" w:rsidRPr="0044097B" w:rsidRDefault="0044097B" w:rsidP="0044097B">
      <w:pPr>
        <w:spacing w:line="312" w:lineRule="auto"/>
        <w:jc w:val="both"/>
        <w:rPr>
          <w:rFonts w:ascii="Verdana" w:hAnsi="Verdana"/>
          <w:bCs/>
          <w:sz w:val="20"/>
          <w:szCs w:val="20"/>
          <w:u w:val="single"/>
        </w:rPr>
      </w:pPr>
      <w:r w:rsidRPr="0044097B">
        <w:rPr>
          <w:rFonts w:ascii="Verdana" w:hAnsi="Verdana"/>
          <w:bCs/>
          <w:sz w:val="20"/>
          <w:szCs w:val="20"/>
          <w:u w:val="single"/>
        </w:rPr>
        <w:t>Quality-enhancing measures in the different stages of mobility</w:t>
      </w:r>
    </w:p>
    <w:p w:rsidR="0044097B" w:rsidRPr="00721013" w:rsidRDefault="0044097B" w:rsidP="00B07A9D">
      <w:pPr>
        <w:pStyle w:val="ListParagraph"/>
        <w:numPr>
          <w:ilvl w:val="0"/>
          <w:numId w:val="13"/>
        </w:numPr>
        <w:spacing w:line="312" w:lineRule="auto"/>
        <w:jc w:val="both"/>
        <w:rPr>
          <w:rFonts w:ascii="Verdana" w:hAnsi="Verdana"/>
          <w:i/>
          <w:sz w:val="20"/>
          <w:szCs w:val="20"/>
        </w:rPr>
      </w:pPr>
      <w:r w:rsidRPr="00721013">
        <w:rPr>
          <w:rFonts w:ascii="Verdana" w:hAnsi="Verdana"/>
          <w:bCs/>
          <w:sz w:val="20"/>
          <w:szCs w:val="20"/>
        </w:rPr>
        <w:t xml:space="preserve">Choice of cooperation partners: </w:t>
      </w:r>
      <w:r w:rsidRPr="00721013">
        <w:rPr>
          <w:rFonts w:ascii="Verdana" w:hAnsi="Verdana"/>
          <w:i/>
          <w:sz w:val="20"/>
          <w:szCs w:val="20"/>
        </w:rPr>
        <w:t>Within both the HEI’s over-arching institutional strategy and the respective departmental policies indications should be clear about which cooperation partners are contributing an added value to the HEI’s own strengths, needs, and competences.</w:t>
      </w:r>
    </w:p>
    <w:p w:rsidR="0044097B" w:rsidRPr="00721013" w:rsidRDefault="0044097B" w:rsidP="0044097B">
      <w:pPr>
        <w:pStyle w:val="NoSpacing"/>
        <w:spacing w:line="312" w:lineRule="auto"/>
        <w:jc w:val="both"/>
        <w:rPr>
          <w:rFonts w:ascii="Verdana" w:hAnsi="Verdana" w:cs="Times New Roman"/>
          <w:color w:val="000000" w:themeColor="text1"/>
          <w:sz w:val="20"/>
          <w:szCs w:val="20"/>
          <w:lang w:val="en-US"/>
        </w:rPr>
      </w:pPr>
    </w:p>
    <w:p w:rsidR="0044097B" w:rsidRPr="00721013" w:rsidRDefault="0044097B" w:rsidP="0044097B">
      <w:pPr>
        <w:pStyle w:val="NoSpacing"/>
        <w:spacing w:line="312" w:lineRule="auto"/>
        <w:jc w:val="both"/>
        <w:rPr>
          <w:rFonts w:ascii="Verdana" w:hAnsi="Verdana" w:cs="Times New Roman"/>
          <w:color w:val="000000" w:themeColor="text1"/>
          <w:sz w:val="20"/>
          <w:szCs w:val="20"/>
          <w:lang w:val="en-US"/>
        </w:rPr>
      </w:pPr>
      <w:r w:rsidRPr="00721013">
        <w:rPr>
          <w:rFonts w:ascii="Verdana" w:hAnsi="Verdana" w:cs="Times New Roman"/>
          <w:color w:val="000000" w:themeColor="text1"/>
          <w:sz w:val="20"/>
          <w:szCs w:val="20"/>
          <w:lang w:val="en-US"/>
        </w:rPr>
        <w:t>Recommended measures:</w:t>
      </w:r>
    </w:p>
    <w:p w:rsidR="0044097B" w:rsidRPr="00721013" w:rsidRDefault="0044097B" w:rsidP="0044097B">
      <w:pPr>
        <w:pStyle w:val="NoSpacing"/>
        <w:spacing w:line="312" w:lineRule="auto"/>
        <w:jc w:val="both"/>
        <w:rPr>
          <w:rFonts w:ascii="Verdana" w:hAnsi="Verdana" w:cs="Times New Roman"/>
          <w:color w:val="000000" w:themeColor="text1"/>
          <w:sz w:val="20"/>
          <w:szCs w:val="20"/>
          <w:lang w:val="en-US"/>
        </w:rPr>
      </w:pPr>
    </w:p>
    <w:p w:rsidR="0044097B" w:rsidRPr="00721013" w:rsidRDefault="0044097B" w:rsidP="00B07A9D">
      <w:pPr>
        <w:pStyle w:val="NoSpacing"/>
        <w:numPr>
          <w:ilvl w:val="0"/>
          <w:numId w:val="21"/>
        </w:numPr>
        <w:spacing w:line="312" w:lineRule="auto"/>
        <w:ind w:left="426" w:hanging="426"/>
        <w:jc w:val="both"/>
        <w:rPr>
          <w:rFonts w:ascii="Verdana" w:hAnsi="Verdana" w:cs="Times New Roman"/>
          <w:color w:val="000000" w:themeColor="text1"/>
          <w:sz w:val="20"/>
          <w:szCs w:val="20"/>
          <w:lang w:val="en-US"/>
        </w:rPr>
      </w:pPr>
      <w:r w:rsidRPr="00721013">
        <w:rPr>
          <w:rFonts w:ascii="Verdana" w:hAnsi="Verdana" w:cs="Times New Roman"/>
          <w:color w:val="000000" w:themeColor="text1"/>
          <w:sz w:val="20"/>
          <w:szCs w:val="20"/>
          <w:lang w:val="en-US"/>
        </w:rPr>
        <w:t>Self-assessment of the own HEI (e.g. material and human resources) in order to find adequate and attractive cooperation partners for enriching the study programs offered.</w:t>
      </w:r>
    </w:p>
    <w:p w:rsidR="0044097B" w:rsidRPr="00721013" w:rsidRDefault="0044097B" w:rsidP="00B07A9D">
      <w:pPr>
        <w:pStyle w:val="NoSpacing"/>
        <w:numPr>
          <w:ilvl w:val="0"/>
          <w:numId w:val="21"/>
        </w:numPr>
        <w:spacing w:line="312" w:lineRule="auto"/>
        <w:jc w:val="both"/>
        <w:rPr>
          <w:rFonts w:ascii="Verdana" w:eastAsia="Times New Roman" w:hAnsi="Verdana" w:cs="Times New Roman"/>
          <w:sz w:val="20"/>
          <w:szCs w:val="20"/>
          <w:lang w:val="en-US"/>
        </w:rPr>
      </w:pPr>
      <w:r w:rsidRPr="00721013">
        <w:rPr>
          <w:rFonts w:ascii="Verdana" w:eastAsia="Times New Roman" w:hAnsi="Verdana" w:cs="Times New Roman"/>
          <w:sz w:val="20"/>
          <w:szCs w:val="20"/>
          <w:lang w:val="en-US"/>
        </w:rPr>
        <w:t xml:space="preserve">Mobility partners should be chosen on the basis of content offered by the partner institution: complementarity of study programs or on the other hand expertise in certain research fields. </w:t>
      </w:r>
    </w:p>
    <w:p w:rsidR="0044097B" w:rsidRPr="00721013" w:rsidRDefault="0044097B" w:rsidP="00B07A9D">
      <w:pPr>
        <w:pStyle w:val="NoSpacing"/>
        <w:numPr>
          <w:ilvl w:val="0"/>
          <w:numId w:val="21"/>
        </w:numPr>
        <w:spacing w:line="312" w:lineRule="auto"/>
        <w:ind w:left="426" w:hanging="426"/>
        <w:jc w:val="both"/>
        <w:rPr>
          <w:rFonts w:ascii="Verdana" w:hAnsi="Verdana" w:cs="Times New Roman"/>
          <w:color w:val="000000" w:themeColor="text1"/>
          <w:sz w:val="20"/>
          <w:szCs w:val="20"/>
          <w:lang w:val="en-US"/>
        </w:rPr>
      </w:pPr>
      <w:r w:rsidRPr="00721013">
        <w:rPr>
          <w:rFonts w:ascii="Verdana" w:hAnsi="Verdana" w:cs="Times New Roman"/>
          <w:color w:val="000000" w:themeColor="text1"/>
          <w:sz w:val="20"/>
          <w:szCs w:val="20"/>
          <w:lang w:val="en-US"/>
        </w:rPr>
        <w:t xml:space="preserve">Mobility partners should be chosen by taking into account various types of mobility: learning or professional mobility, physical or virtual mobility, mobility (not) related to qualifications; intra- or </w:t>
      </w:r>
      <w:proofErr w:type="spellStart"/>
      <w:r w:rsidRPr="00721013">
        <w:rPr>
          <w:rFonts w:ascii="Verdana" w:hAnsi="Verdana" w:cs="Times New Roman"/>
          <w:color w:val="000000" w:themeColor="text1"/>
          <w:sz w:val="20"/>
          <w:szCs w:val="20"/>
          <w:lang w:val="en-US"/>
        </w:rPr>
        <w:t>intersectoral</w:t>
      </w:r>
      <w:proofErr w:type="spellEnd"/>
      <w:r w:rsidRPr="00721013">
        <w:rPr>
          <w:rFonts w:ascii="Verdana" w:hAnsi="Verdana" w:cs="Times New Roman"/>
          <w:color w:val="000000" w:themeColor="text1"/>
          <w:sz w:val="20"/>
          <w:szCs w:val="20"/>
          <w:lang w:val="en-US"/>
        </w:rPr>
        <w:t xml:space="preserve"> mobility; credit or degree mobility.</w:t>
      </w:r>
    </w:p>
    <w:p w:rsidR="0044097B" w:rsidRPr="00721013" w:rsidRDefault="0044097B" w:rsidP="00B07A9D">
      <w:pPr>
        <w:pStyle w:val="NoSpacing"/>
        <w:numPr>
          <w:ilvl w:val="0"/>
          <w:numId w:val="21"/>
        </w:numPr>
        <w:spacing w:line="312" w:lineRule="auto"/>
        <w:ind w:left="426" w:hanging="426"/>
        <w:jc w:val="both"/>
        <w:rPr>
          <w:rFonts w:ascii="Verdana" w:hAnsi="Verdana" w:cs="Times New Roman"/>
          <w:color w:val="000000" w:themeColor="text1"/>
          <w:sz w:val="20"/>
          <w:szCs w:val="20"/>
          <w:lang w:val="en-US"/>
        </w:rPr>
      </w:pPr>
      <w:r w:rsidRPr="00721013">
        <w:rPr>
          <w:rFonts w:ascii="Verdana" w:hAnsi="Verdana" w:cs="Times New Roman"/>
          <w:color w:val="000000" w:themeColor="text1"/>
          <w:sz w:val="20"/>
          <w:szCs w:val="20"/>
          <w:lang w:val="en-US"/>
        </w:rPr>
        <w:t>Mobility partners should be chosen by taking into account various types of mobility duration: short, mid- or long-term. Referring to “fitness for purpose”, different types and durations require different quality tools and measures.</w:t>
      </w:r>
    </w:p>
    <w:p w:rsidR="0044097B" w:rsidRPr="00721013" w:rsidRDefault="0044097B" w:rsidP="00B07A9D">
      <w:pPr>
        <w:pStyle w:val="NoSpacing"/>
        <w:numPr>
          <w:ilvl w:val="0"/>
          <w:numId w:val="21"/>
        </w:numPr>
        <w:spacing w:line="312" w:lineRule="auto"/>
        <w:jc w:val="both"/>
        <w:rPr>
          <w:rFonts w:ascii="Verdana" w:hAnsi="Verdana" w:cs="Times New Roman"/>
          <w:color w:val="000000" w:themeColor="text1"/>
          <w:sz w:val="20"/>
          <w:szCs w:val="20"/>
          <w:lang w:val="en-US"/>
        </w:rPr>
      </w:pPr>
      <w:r w:rsidRPr="00721013">
        <w:rPr>
          <w:rFonts w:ascii="Verdana" w:hAnsi="Verdana" w:cs="Times New Roman"/>
          <w:color w:val="000000" w:themeColor="text1"/>
          <w:sz w:val="20"/>
          <w:szCs w:val="20"/>
          <w:lang w:val="en-US"/>
        </w:rPr>
        <w:t xml:space="preserve">Proper reflection of mobility partners also in terms of support for candidates with disabilities (e.g. check list on Accessibility and International Student Mobility for Exchange Students and Higher Education Institutions by CIMO: </w:t>
      </w:r>
      <w:hyperlink r:id="rId18" w:history="1">
        <w:r w:rsidRPr="00721013">
          <w:rPr>
            <w:rStyle w:val="Hyperlink"/>
            <w:rFonts w:ascii="Verdana" w:hAnsi="Verdana" w:cs="Times New Roman"/>
            <w:sz w:val="20"/>
            <w:szCs w:val="20"/>
            <w:lang w:val="en-US"/>
          </w:rPr>
          <w:t>http://www.cimo.fi/services</w:t>
        </w:r>
      </w:hyperlink>
    </w:p>
    <w:p w:rsidR="0044097B" w:rsidRPr="0044097B" w:rsidRDefault="0044097B" w:rsidP="00B07A9D">
      <w:pPr>
        <w:pStyle w:val="NoSpacing"/>
        <w:numPr>
          <w:ilvl w:val="0"/>
          <w:numId w:val="21"/>
        </w:numPr>
        <w:spacing w:line="312" w:lineRule="auto"/>
        <w:jc w:val="both"/>
        <w:rPr>
          <w:rFonts w:ascii="Verdana" w:hAnsi="Verdana" w:cs="Times New Roman"/>
          <w:color w:val="000000" w:themeColor="text1"/>
          <w:sz w:val="20"/>
          <w:szCs w:val="20"/>
          <w:lang w:val="en-US"/>
        </w:rPr>
      </w:pPr>
      <w:r w:rsidRPr="00721013">
        <w:rPr>
          <w:rFonts w:ascii="Verdana" w:hAnsi="Verdana" w:cs="Times New Roman"/>
          <w:color w:val="000000" w:themeColor="text1"/>
          <w:sz w:val="20"/>
          <w:szCs w:val="20"/>
          <w:lang w:val="en-US"/>
        </w:rPr>
        <w:t xml:space="preserve"> Training for enhancing regional competences within the EHEA: the HEI´s own staff and service department should be trained towards a common understanding of internationalization and intercultural competences as well as know-how, also in relation to specific target countries (s</w:t>
      </w:r>
      <w:r>
        <w:rPr>
          <w:rFonts w:ascii="Verdana" w:hAnsi="Verdana" w:cs="Times New Roman"/>
          <w:color w:val="000000" w:themeColor="text1"/>
          <w:sz w:val="20"/>
          <w:szCs w:val="20"/>
          <w:lang w:val="en-US"/>
        </w:rPr>
        <w:t xml:space="preserve">ee DAAD trainings for </w:t>
      </w:r>
      <w:proofErr w:type="gramStart"/>
      <w:r>
        <w:rPr>
          <w:rFonts w:ascii="Verdana" w:hAnsi="Verdana" w:cs="Times New Roman"/>
          <w:color w:val="000000" w:themeColor="text1"/>
          <w:sz w:val="20"/>
          <w:szCs w:val="20"/>
          <w:lang w:val="en-US"/>
        </w:rPr>
        <w:t>HE</w:t>
      </w:r>
      <w:proofErr w:type="gramEnd"/>
      <w:r>
        <w:rPr>
          <w:rFonts w:ascii="Verdana" w:hAnsi="Verdana" w:cs="Times New Roman"/>
          <w:color w:val="000000" w:themeColor="text1"/>
          <w:sz w:val="20"/>
          <w:szCs w:val="20"/>
          <w:lang w:val="en-US"/>
        </w:rPr>
        <w:t xml:space="preserve"> staff).</w:t>
      </w:r>
    </w:p>
    <w:p w:rsidR="0044097B" w:rsidRPr="00721013" w:rsidRDefault="0044097B" w:rsidP="0044097B">
      <w:pPr>
        <w:pStyle w:val="NoSpacing"/>
        <w:spacing w:line="312" w:lineRule="auto"/>
        <w:ind w:left="1068"/>
        <w:jc w:val="both"/>
        <w:rPr>
          <w:rFonts w:ascii="Verdana" w:hAnsi="Verdana" w:cs="Times New Roman"/>
          <w:color w:val="000000" w:themeColor="text1"/>
          <w:sz w:val="20"/>
          <w:szCs w:val="20"/>
          <w:lang w:val="en-US"/>
        </w:rPr>
      </w:pPr>
    </w:p>
    <w:p w:rsidR="0044097B" w:rsidRPr="0044097B" w:rsidRDefault="0044097B" w:rsidP="0044097B">
      <w:pPr>
        <w:spacing w:line="312" w:lineRule="auto"/>
        <w:ind w:left="426" w:hanging="426"/>
        <w:jc w:val="both"/>
        <w:rPr>
          <w:rFonts w:ascii="Verdana" w:hAnsi="Verdana"/>
          <w:color w:val="000000" w:themeColor="text1"/>
          <w:sz w:val="20"/>
          <w:szCs w:val="20"/>
        </w:rPr>
      </w:pPr>
      <w:r w:rsidRPr="00721013">
        <w:rPr>
          <w:rFonts w:ascii="Verdana" w:hAnsi="Verdana"/>
          <w:bCs/>
          <w:color w:val="000000" w:themeColor="text1"/>
          <w:sz w:val="20"/>
          <w:szCs w:val="20"/>
        </w:rPr>
        <w:t xml:space="preserve">2. </w:t>
      </w:r>
      <w:r w:rsidRPr="00721013">
        <w:rPr>
          <w:rFonts w:ascii="Verdana" w:hAnsi="Verdana"/>
          <w:bCs/>
          <w:color w:val="000000" w:themeColor="text1"/>
          <w:sz w:val="20"/>
          <w:szCs w:val="20"/>
        </w:rPr>
        <w:tab/>
        <w:t>Recognition:</w:t>
      </w:r>
      <w:r w:rsidRPr="00721013">
        <w:rPr>
          <w:rFonts w:ascii="Verdana" w:hAnsi="Verdana"/>
          <w:color w:val="000000" w:themeColor="text1"/>
          <w:sz w:val="20"/>
          <w:szCs w:val="20"/>
        </w:rPr>
        <w:t xml:space="preserve"> </w:t>
      </w:r>
      <w:r w:rsidRPr="00721013">
        <w:rPr>
          <w:rFonts w:ascii="Verdana" w:hAnsi="Verdana"/>
          <w:i/>
          <w:color w:val="000000" w:themeColor="text1"/>
          <w:sz w:val="20"/>
          <w:szCs w:val="20"/>
        </w:rPr>
        <w:t xml:space="preserve">if periods of study or training abroad are an integral part of a formal study or training program, recognition aspects and considerations need to be taken into account before, during and after mobility. Basically, the learning plan has to mention any kind of mobility, and participants should be provided with assistance regarding recognition and certification. For a proper understanding of recognition, it is expected </w:t>
      </w:r>
      <w:r w:rsidRPr="00721013">
        <w:rPr>
          <w:rFonts w:ascii="Verdana" w:hAnsi="Verdana"/>
          <w:i/>
          <w:color w:val="000000" w:themeColor="text1"/>
          <w:sz w:val="20"/>
          <w:szCs w:val="20"/>
        </w:rPr>
        <w:lastRenderedPageBreak/>
        <w:t xml:space="preserve">that all HEI and their staff do have knowledge on the Lisbon Recognition Convention and current implementation handbooks for the EHEA. For other types of mobility, and particularly those in the context of non-formal education and training, certification by - appropriate documents, such as those belonging to </w:t>
      </w:r>
      <w:proofErr w:type="spellStart"/>
      <w:r w:rsidRPr="00721013">
        <w:rPr>
          <w:rFonts w:ascii="Verdana" w:hAnsi="Verdana"/>
          <w:i/>
          <w:color w:val="000000" w:themeColor="text1"/>
          <w:sz w:val="20"/>
          <w:szCs w:val="20"/>
        </w:rPr>
        <w:t>Europass</w:t>
      </w:r>
      <w:proofErr w:type="spellEnd"/>
      <w:r w:rsidRPr="00721013">
        <w:rPr>
          <w:rFonts w:ascii="Verdana" w:hAnsi="Verdana"/>
          <w:i/>
          <w:color w:val="000000" w:themeColor="text1"/>
          <w:sz w:val="20"/>
          <w:szCs w:val="20"/>
        </w:rPr>
        <w:t>, is necessary</w:t>
      </w:r>
      <w:r w:rsidRPr="00721013">
        <w:rPr>
          <w:rFonts w:ascii="Verdana" w:hAnsi="Verdana"/>
          <w:color w:val="000000" w:themeColor="text1"/>
          <w:sz w:val="20"/>
          <w:szCs w:val="20"/>
        </w:rPr>
        <w:t>.</w:t>
      </w:r>
    </w:p>
    <w:p w:rsidR="0044097B" w:rsidRPr="0044097B" w:rsidRDefault="0044097B" w:rsidP="0044097B">
      <w:pPr>
        <w:spacing w:line="312" w:lineRule="auto"/>
        <w:jc w:val="both"/>
        <w:rPr>
          <w:rFonts w:ascii="Verdana" w:hAnsi="Verdana"/>
          <w:color w:val="000000" w:themeColor="text1"/>
          <w:sz w:val="20"/>
          <w:szCs w:val="20"/>
          <w:lang w:val="en-GB"/>
        </w:rPr>
      </w:pPr>
      <w:r w:rsidRPr="00721013">
        <w:rPr>
          <w:rFonts w:ascii="Verdana" w:hAnsi="Verdana"/>
          <w:color w:val="000000" w:themeColor="text1"/>
          <w:sz w:val="20"/>
          <w:szCs w:val="20"/>
          <w:lang w:val="en-GB"/>
        </w:rPr>
        <w:t>Recommended measures in order to enhance transparency and recognition in mobility:</w:t>
      </w:r>
    </w:p>
    <w:p w:rsidR="0044097B" w:rsidRPr="00721013" w:rsidRDefault="0044097B" w:rsidP="00B07A9D">
      <w:pPr>
        <w:pStyle w:val="ListParagraph"/>
        <w:numPr>
          <w:ilvl w:val="0"/>
          <w:numId w:val="17"/>
        </w:numPr>
        <w:spacing w:line="312" w:lineRule="auto"/>
        <w:ind w:left="426" w:hanging="426"/>
        <w:jc w:val="both"/>
        <w:rPr>
          <w:rFonts w:ascii="Verdana" w:hAnsi="Verdana"/>
          <w:bCs/>
          <w:iCs/>
          <w:sz w:val="20"/>
          <w:szCs w:val="20"/>
        </w:rPr>
      </w:pPr>
      <w:r w:rsidRPr="00721013">
        <w:rPr>
          <w:rFonts w:ascii="Verdana" w:hAnsi="Verdana"/>
          <w:sz w:val="20"/>
          <w:szCs w:val="20"/>
        </w:rPr>
        <w:t xml:space="preserve">Regular training and exchange of experience for all staff connected with questions of recognition and/or ECTS Credits (and the implementation of respective conventions, legal papers, guidelines (e.g. ECTS Users’ Guidelines, practical guidelines for recognition by national bodies, and handbooks (e.g. EAR/European Area of Recognition manual, also in accordance with information and advice provided by the National Academic Recognition Information Centers (ENIC-NARICs). </w:t>
      </w:r>
    </w:p>
    <w:p w:rsidR="0044097B" w:rsidRPr="00721013" w:rsidRDefault="0044097B" w:rsidP="00B07A9D">
      <w:pPr>
        <w:pStyle w:val="ListParagraph"/>
        <w:numPr>
          <w:ilvl w:val="0"/>
          <w:numId w:val="17"/>
        </w:numPr>
        <w:spacing w:line="312" w:lineRule="auto"/>
        <w:ind w:left="426" w:hanging="426"/>
        <w:jc w:val="both"/>
        <w:rPr>
          <w:rFonts w:ascii="Verdana" w:hAnsi="Verdana"/>
          <w:bCs/>
          <w:iCs/>
          <w:sz w:val="20"/>
          <w:szCs w:val="20"/>
        </w:rPr>
      </w:pPr>
      <w:r w:rsidRPr="00721013">
        <w:rPr>
          <w:rFonts w:ascii="Verdana" w:hAnsi="Verdana"/>
          <w:sz w:val="20"/>
          <w:szCs w:val="20"/>
        </w:rPr>
        <w:t>The recognition of learning activities carried out abroad s</w:t>
      </w:r>
      <w:r w:rsidRPr="00721013">
        <w:rPr>
          <w:rFonts w:ascii="Verdana" w:hAnsi="Verdana"/>
          <w:bCs/>
          <w:iCs/>
          <w:sz w:val="20"/>
          <w:szCs w:val="20"/>
        </w:rPr>
        <w:t>hould be based on the learning outcomes achieved by the students and follow the principles of flexibility and trust (Lisbon Convention). Before departure of the student the sending institution should formally commit itself in the learning agreement that, upon successful completion of the agreed program of study, it will fully recognize and use towards the home degree all the credits gained abroad without any further requirements on the part of the student. The learning agreement will be devised and signed by both the academic advisor and the student. Once the participants have proven the successful completion of learning activities abroad through certification, the home institution is responsible for all procedures related to recognition.</w:t>
      </w:r>
    </w:p>
    <w:p w:rsidR="0044097B" w:rsidRPr="00721013" w:rsidRDefault="0044097B" w:rsidP="00B07A9D">
      <w:pPr>
        <w:pStyle w:val="ListParagraph"/>
        <w:numPr>
          <w:ilvl w:val="0"/>
          <w:numId w:val="17"/>
        </w:numPr>
        <w:spacing w:line="312" w:lineRule="auto"/>
        <w:ind w:left="426" w:hanging="426"/>
        <w:jc w:val="both"/>
        <w:rPr>
          <w:rFonts w:ascii="Verdana" w:hAnsi="Verdana"/>
          <w:bCs/>
          <w:iCs/>
          <w:sz w:val="20"/>
          <w:szCs w:val="20"/>
        </w:rPr>
      </w:pPr>
      <w:r w:rsidRPr="00721013">
        <w:rPr>
          <w:rFonts w:ascii="Verdana" w:hAnsi="Verdana"/>
          <w:sz w:val="20"/>
          <w:szCs w:val="20"/>
        </w:rPr>
        <w:t>Provisions should be made for the case that certain agreed lectures are not available (checklist). In case of study periods abroad, it is extremely important to deal with curricular changes after the learning agreement was signed, as these changes are a frequent reason for non-recognition. Candidates need to know the contacts in charge, and flexible solutions need to be found at the earliest point possible.</w:t>
      </w:r>
    </w:p>
    <w:p w:rsidR="0044097B" w:rsidRPr="00721013" w:rsidRDefault="0044097B" w:rsidP="00B07A9D">
      <w:pPr>
        <w:pStyle w:val="ListParagraph"/>
        <w:numPr>
          <w:ilvl w:val="0"/>
          <w:numId w:val="17"/>
        </w:numPr>
        <w:spacing w:line="312" w:lineRule="auto"/>
        <w:ind w:left="426" w:hanging="426"/>
        <w:jc w:val="both"/>
        <w:rPr>
          <w:rFonts w:ascii="Verdana" w:hAnsi="Verdana"/>
          <w:sz w:val="20"/>
          <w:szCs w:val="20"/>
        </w:rPr>
      </w:pPr>
      <w:r w:rsidRPr="00721013">
        <w:rPr>
          <w:rFonts w:ascii="Verdana" w:hAnsi="Verdana"/>
          <w:sz w:val="20"/>
          <w:szCs w:val="20"/>
        </w:rPr>
        <w:t xml:space="preserve">The mobility experience and the newly acquired skills and competencies coming along with it must be added within the diploma supplement. </w:t>
      </w:r>
    </w:p>
    <w:p w:rsidR="0044097B" w:rsidRPr="00721013" w:rsidRDefault="0044097B" w:rsidP="0044097B">
      <w:pPr>
        <w:spacing w:line="312" w:lineRule="auto"/>
        <w:jc w:val="both"/>
        <w:rPr>
          <w:rFonts w:ascii="Verdana" w:hAnsi="Verdana"/>
          <w:bCs/>
          <w:color w:val="000000" w:themeColor="text1"/>
          <w:sz w:val="20"/>
          <w:szCs w:val="20"/>
        </w:rPr>
      </w:pPr>
    </w:p>
    <w:p w:rsidR="0044097B" w:rsidRPr="00721013" w:rsidRDefault="0044097B" w:rsidP="00B07A9D">
      <w:pPr>
        <w:pStyle w:val="ListParagraph"/>
        <w:numPr>
          <w:ilvl w:val="0"/>
          <w:numId w:val="25"/>
        </w:numPr>
        <w:spacing w:line="312" w:lineRule="auto"/>
        <w:jc w:val="both"/>
        <w:rPr>
          <w:rFonts w:ascii="Verdana" w:hAnsi="Verdana"/>
          <w:sz w:val="20"/>
          <w:szCs w:val="20"/>
        </w:rPr>
      </w:pPr>
      <w:r w:rsidRPr="00721013">
        <w:rPr>
          <w:rFonts w:ascii="Verdana" w:hAnsi="Verdana"/>
          <w:bCs/>
          <w:sz w:val="20"/>
          <w:szCs w:val="20"/>
        </w:rPr>
        <w:t>Information and guidance</w:t>
      </w:r>
      <w:r w:rsidRPr="00721013">
        <w:rPr>
          <w:rFonts w:ascii="Verdana" w:hAnsi="Verdana"/>
          <w:sz w:val="20"/>
          <w:szCs w:val="20"/>
        </w:rPr>
        <w:t xml:space="preserve">: </w:t>
      </w:r>
      <w:r w:rsidRPr="00721013">
        <w:rPr>
          <w:rFonts w:ascii="Verdana" w:hAnsi="Verdana"/>
          <w:i/>
          <w:sz w:val="20"/>
          <w:szCs w:val="20"/>
        </w:rPr>
        <w:t>every candidate for mobility should have access to clear and reliable sources of information and guidance on mobility and the conditions in which it can be taken up,</w:t>
      </w:r>
      <w:r w:rsidRPr="00721013">
        <w:rPr>
          <w:rFonts w:ascii="Verdana" w:hAnsi="Verdana"/>
          <w:i/>
          <w:sz w:val="20"/>
          <w:szCs w:val="20"/>
          <w:lang w:val="en-GB"/>
        </w:rPr>
        <w:t xml:space="preserve"> </w:t>
      </w:r>
      <w:r w:rsidRPr="00721013">
        <w:rPr>
          <w:rFonts w:ascii="Verdana" w:hAnsi="Verdana"/>
          <w:i/>
          <w:sz w:val="20"/>
          <w:szCs w:val="20"/>
        </w:rPr>
        <w:t>including details of the roles of sending and hosting organizations</w:t>
      </w:r>
      <w:r w:rsidRPr="00721013">
        <w:rPr>
          <w:rFonts w:ascii="Verdana" w:hAnsi="Verdana"/>
          <w:sz w:val="20"/>
          <w:szCs w:val="20"/>
        </w:rPr>
        <w:t xml:space="preserve"> </w:t>
      </w:r>
    </w:p>
    <w:p w:rsidR="0044097B" w:rsidRDefault="0044097B" w:rsidP="0044097B">
      <w:pPr>
        <w:spacing w:line="312" w:lineRule="auto"/>
        <w:jc w:val="both"/>
        <w:rPr>
          <w:rFonts w:ascii="Verdana" w:hAnsi="Verdana"/>
          <w:color w:val="000000" w:themeColor="text1"/>
          <w:sz w:val="20"/>
          <w:szCs w:val="20"/>
        </w:rPr>
      </w:pPr>
    </w:p>
    <w:p w:rsidR="0044097B" w:rsidRPr="00721013" w:rsidRDefault="0044097B" w:rsidP="0044097B">
      <w:pPr>
        <w:spacing w:line="312" w:lineRule="auto"/>
        <w:jc w:val="both"/>
        <w:rPr>
          <w:rFonts w:ascii="Verdana" w:hAnsi="Verdana"/>
          <w:color w:val="000000" w:themeColor="text1"/>
          <w:sz w:val="20"/>
          <w:szCs w:val="20"/>
        </w:rPr>
      </w:pPr>
      <w:r w:rsidRPr="00721013">
        <w:rPr>
          <w:rFonts w:ascii="Verdana" w:hAnsi="Verdana"/>
          <w:color w:val="000000" w:themeColor="text1"/>
          <w:sz w:val="20"/>
          <w:szCs w:val="20"/>
        </w:rPr>
        <w:t>Recommended measures:</w:t>
      </w:r>
    </w:p>
    <w:p w:rsidR="0044097B" w:rsidRPr="00721013" w:rsidRDefault="0044097B" w:rsidP="00B07A9D">
      <w:pPr>
        <w:pStyle w:val="ListParagraph"/>
        <w:numPr>
          <w:ilvl w:val="0"/>
          <w:numId w:val="14"/>
        </w:numPr>
        <w:spacing w:line="312" w:lineRule="auto"/>
        <w:ind w:left="426" w:hanging="426"/>
        <w:jc w:val="both"/>
        <w:rPr>
          <w:rFonts w:ascii="Verdana" w:hAnsi="Verdana"/>
          <w:sz w:val="20"/>
          <w:szCs w:val="20"/>
        </w:rPr>
      </w:pPr>
      <w:r w:rsidRPr="00721013">
        <w:rPr>
          <w:rFonts w:ascii="Verdana" w:hAnsi="Verdana"/>
          <w:sz w:val="20"/>
          <w:szCs w:val="20"/>
        </w:rPr>
        <w:t>Improving the information for students, academic and administrative staff about the goals and benefits of mobility.</w:t>
      </w:r>
    </w:p>
    <w:p w:rsidR="0044097B" w:rsidRPr="00721013" w:rsidRDefault="0044097B" w:rsidP="00B07A9D">
      <w:pPr>
        <w:pStyle w:val="ListParagraph"/>
        <w:numPr>
          <w:ilvl w:val="0"/>
          <w:numId w:val="14"/>
        </w:numPr>
        <w:spacing w:line="312" w:lineRule="auto"/>
        <w:ind w:left="426" w:hanging="426"/>
        <w:jc w:val="both"/>
        <w:rPr>
          <w:rFonts w:ascii="Verdana" w:hAnsi="Verdana"/>
          <w:sz w:val="20"/>
          <w:szCs w:val="20"/>
        </w:rPr>
      </w:pPr>
      <w:r w:rsidRPr="00721013">
        <w:rPr>
          <w:rFonts w:ascii="Verdana" w:hAnsi="Verdana"/>
          <w:sz w:val="20"/>
          <w:szCs w:val="20"/>
        </w:rPr>
        <w:lastRenderedPageBreak/>
        <w:t xml:space="preserve">Improving the information on study programs and admission systems (e.g. outgoings folder, transparent and clear information on curricula that include obligatory mobility). </w:t>
      </w:r>
    </w:p>
    <w:p w:rsidR="0044097B" w:rsidRPr="00721013" w:rsidRDefault="0044097B" w:rsidP="0044097B">
      <w:pPr>
        <w:pStyle w:val="ListParagraph"/>
        <w:spacing w:line="312" w:lineRule="auto"/>
        <w:ind w:left="426"/>
        <w:jc w:val="both"/>
        <w:rPr>
          <w:rFonts w:ascii="Verdana" w:hAnsi="Verdana"/>
          <w:sz w:val="20"/>
          <w:szCs w:val="20"/>
        </w:rPr>
      </w:pPr>
      <w:proofErr w:type="gramStart"/>
      <w:r w:rsidRPr="00721013">
        <w:rPr>
          <w:rFonts w:ascii="Verdana" w:hAnsi="Verdana"/>
          <w:sz w:val="20"/>
          <w:szCs w:val="20"/>
        </w:rPr>
        <w:t>Improving the information on timing and appropriate or efficient preparation as soon as a decision on mobility is taken by the student.</w:t>
      </w:r>
      <w:proofErr w:type="gramEnd"/>
    </w:p>
    <w:p w:rsidR="0044097B" w:rsidRPr="00721013" w:rsidRDefault="0044097B" w:rsidP="00B07A9D">
      <w:pPr>
        <w:pStyle w:val="ListParagraph"/>
        <w:numPr>
          <w:ilvl w:val="0"/>
          <w:numId w:val="14"/>
        </w:numPr>
        <w:spacing w:line="312" w:lineRule="auto"/>
        <w:ind w:left="426" w:hanging="426"/>
        <w:jc w:val="both"/>
        <w:rPr>
          <w:rFonts w:ascii="Verdana" w:hAnsi="Verdana"/>
          <w:sz w:val="20"/>
          <w:szCs w:val="20"/>
        </w:rPr>
      </w:pPr>
      <w:r w:rsidRPr="00721013">
        <w:rPr>
          <w:rFonts w:ascii="Verdana" w:hAnsi="Verdana"/>
          <w:sz w:val="20"/>
          <w:szCs w:val="20"/>
        </w:rPr>
        <w:t xml:space="preserve">Cutting down administrative procedures and requirements as much as possible. </w:t>
      </w:r>
    </w:p>
    <w:p w:rsidR="0044097B" w:rsidRPr="00721013" w:rsidRDefault="0044097B" w:rsidP="00B07A9D">
      <w:pPr>
        <w:pStyle w:val="ListParagraph"/>
        <w:numPr>
          <w:ilvl w:val="0"/>
          <w:numId w:val="14"/>
        </w:numPr>
        <w:spacing w:line="312" w:lineRule="auto"/>
        <w:ind w:left="426" w:hanging="426"/>
        <w:jc w:val="both"/>
        <w:rPr>
          <w:rFonts w:ascii="Verdana" w:hAnsi="Verdana"/>
          <w:sz w:val="20"/>
          <w:szCs w:val="20"/>
        </w:rPr>
      </w:pPr>
      <w:r w:rsidRPr="00721013">
        <w:rPr>
          <w:rFonts w:ascii="Verdana" w:hAnsi="Verdana"/>
          <w:sz w:val="20"/>
          <w:szCs w:val="20"/>
        </w:rPr>
        <w:t>Establishing simple communication channels and clearly designated contact partners for both incomings and outgoings, in order to accordingly respond to short-notice changes in the academic, organizational and infrastructural context.</w:t>
      </w:r>
    </w:p>
    <w:p w:rsidR="0044097B" w:rsidRPr="0044097B" w:rsidRDefault="0044097B" w:rsidP="00B07A9D">
      <w:pPr>
        <w:pStyle w:val="ListParagraph"/>
        <w:numPr>
          <w:ilvl w:val="0"/>
          <w:numId w:val="14"/>
        </w:numPr>
        <w:spacing w:line="312" w:lineRule="auto"/>
        <w:ind w:left="426" w:hanging="426"/>
        <w:jc w:val="both"/>
        <w:rPr>
          <w:rFonts w:ascii="Verdana" w:hAnsi="Verdana"/>
          <w:sz w:val="20"/>
          <w:szCs w:val="20"/>
        </w:rPr>
      </w:pPr>
      <w:r w:rsidRPr="00721013">
        <w:rPr>
          <w:rFonts w:ascii="Verdana" w:hAnsi="Verdana"/>
          <w:sz w:val="20"/>
          <w:szCs w:val="20"/>
        </w:rPr>
        <w:t>Identifying academic staff with mobility experience who act as advisors for strategy and/or for “distance support” when needed.</w:t>
      </w:r>
    </w:p>
    <w:p w:rsidR="0044097B" w:rsidRPr="00721013" w:rsidRDefault="0044097B" w:rsidP="00B07A9D">
      <w:pPr>
        <w:pStyle w:val="NoSpacing"/>
        <w:numPr>
          <w:ilvl w:val="0"/>
          <w:numId w:val="14"/>
        </w:numPr>
        <w:spacing w:line="312" w:lineRule="auto"/>
        <w:ind w:left="426" w:hanging="426"/>
        <w:jc w:val="both"/>
        <w:rPr>
          <w:rFonts w:ascii="Verdana" w:hAnsi="Verdana" w:cs="Times New Roman"/>
          <w:color w:val="000000" w:themeColor="text1"/>
          <w:sz w:val="20"/>
          <w:szCs w:val="20"/>
          <w:lang w:val="en-US"/>
        </w:rPr>
      </w:pPr>
      <w:r w:rsidRPr="00721013">
        <w:rPr>
          <w:rFonts w:ascii="Verdana" w:hAnsi="Verdana" w:cs="Times New Roman"/>
          <w:color w:val="000000" w:themeColor="text1"/>
          <w:sz w:val="20"/>
          <w:szCs w:val="20"/>
          <w:lang w:val="en-US"/>
        </w:rPr>
        <w:t>Match homecomings with future outgoings for an exchange of information.</w:t>
      </w:r>
    </w:p>
    <w:p w:rsidR="0044097B" w:rsidRPr="00721013" w:rsidRDefault="0044097B" w:rsidP="00B07A9D">
      <w:pPr>
        <w:pStyle w:val="NoSpacing"/>
        <w:numPr>
          <w:ilvl w:val="0"/>
          <w:numId w:val="14"/>
        </w:numPr>
        <w:spacing w:line="312" w:lineRule="auto"/>
        <w:ind w:left="426" w:hanging="426"/>
        <w:jc w:val="both"/>
        <w:rPr>
          <w:rFonts w:ascii="Verdana" w:hAnsi="Verdana" w:cs="Times New Roman"/>
          <w:color w:val="000000" w:themeColor="text1"/>
          <w:sz w:val="20"/>
          <w:szCs w:val="20"/>
          <w:lang w:val="en-US"/>
        </w:rPr>
      </w:pPr>
      <w:r w:rsidRPr="00721013">
        <w:rPr>
          <w:rFonts w:ascii="Verdana" w:hAnsi="Verdana" w:cs="Times New Roman"/>
          <w:color w:val="000000" w:themeColor="text1"/>
          <w:sz w:val="20"/>
          <w:szCs w:val="20"/>
          <w:lang w:val="en-US"/>
        </w:rPr>
        <w:t>Many of these activities can be planned and organized by Offices for International Relations, but should always be in accordance with other relevant Service Offices (e.g. Marketing and Communication, Student Service Point), Academic and Managing authorities  at the respective HEI.</w:t>
      </w:r>
    </w:p>
    <w:p w:rsidR="0044097B" w:rsidRPr="00721013" w:rsidRDefault="0044097B" w:rsidP="0044097B">
      <w:pPr>
        <w:spacing w:line="312" w:lineRule="auto"/>
        <w:jc w:val="both"/>
        <w:rPr>
          <w:rFonts w:ascii="Verdana" w:hAnsi="Verdana"/>
          <w:color w:val="000000" w:themeColor="text1"/>
          <w:sz w:val="20"/>
          <w:szCs w:val="20"/>
          <w:lang w:val="en-GB"/>
        </w:rPr>
      </w:pPr>
      <w:r w:rsidRPr="00721013">
        <w:rPr>
          <w:rFonts w:ascii="Verdana" w:hAnsi="Verdana"/>
          <w:color w:val="000000" w:themeColor="text1"/>
          <w:sz w:val="20"/>
          <w:szCs w:val="20"/>
        </w:rPr>
        <w:t> </w:t>
      </w:r>
    </w:p>
    <w:p w:rsidR="0044097B" w:rsidRPr="00721013" w:rsidRDefault="0044097B" w:rsidP="00B07A9D">
      <w:pPr>
        <w:pStyle w:val="ListParagraph"/>
        <w:numPr>
          <w:ilvl w:val="0"/>
          <w:numId w:val="23"/>
        </w:numPr>
        <w:spacing w:line="312" w:lineRule="auto"/>
        <w:jc w:val="both"/>
        <w:rPr>
          <w:rFonts w:ascii="Verdana" w:hAnsi="Verdana"/>
          <w:sz w:val="20"/>
          <w:szCs w:val="20"/>
        </w:rPr>
      </w:pPr>
      <w:r w:rsidRPr="00721013">
        <w:rPr>
          <w:rFonts w:ascii="Verdana" w:hAnsi="Verdana"/>
          <w:bCs/>
          <w:sz w:val="20"/>
          <w:szCs w:val="20"/>
        </w:rPr>
        <w:t xml:space="preserve">Learning plan: </w:t>
      </w:r>
      <w:r w:rsidRPr="00721013">
        <w:rPr>
          <w:rFonts w:ascii="Verdana" w:hAnsi="Verdana"/>
          <w:i/>
          <w:sz w:val="20"/>
          <w:szCs w:val="20"/>
        </w:rPr>
        <w:t>a plan is drawn up and signed by the home and host institutions and participants before every stay for education or training purposes. It must describe</w:t>
      </w:r>
      <w:r w:rsidRPr="00721013">
        <w:rPr>
          <w:rFonts w:ascii="Verdana" w:hAnsi="Verdana"/>
          <w:i/>
          <w:sz w:val="20"/>
          <w:szCs w:val="20"/>
          <w:lang w:val="en-GB"/>
        </w:rPr>
        <w:t xml:space="preserve"> </w:t>
      </w:r>
      <w:r w:rsidRPr="00721013">
        <w:rPr>
          <w:rFonts w:ascii="Verdana" w:hAnsi="Verdana"/>
          <w:i/>
          <w:sz w:val="20"/>
          <w:szCs w:val="20"/>
        </w:rPr>
        <w:t>the objectives and expected outcomes, the means of achieving them, an evaluation, and must also take account of reintegration issues</w:t>
      </w:r>
    </w:p>
    <w:p w:rsidR="0044097B" w:rsidRPr="00721013" w:rsidRDefault="0044097B" w:rsidP="0044097B">
      <w:pPr>
        <w:pStyle w:val="ListParagraph"/>
        <w:spacing w:line="312" w:lineRule="auto"/>
        <w:ind w:left="360"/>
        <w:jc w:val="both"/>
        <w:rPr>
          <w:rFonts w:ascii="Verdana" w:hAnsi="Verdana"/>
          <w:sz w:val="20"/>
          <w:szCs w:val="20"/>
        </w:rPr>
      </w:pPr>
    </w:p>
    <w:p w:rsidR="0044097B" w:rsidRPr="00721013" w:rsidRDefault="0044097B" w:rsidP="0044097B">
      <w:pPr>
        <w:pStyle w:val="NoSpacing"/>
        <w:spacing w:line="312" w:lineRule="auto"/>
        <w:jc w:val="both"/>
        <w:rPr>
          <w:rFonts w:ascii="Verdana" w:hAnsi="Verdana" w:cs="Times New Roman"/>
          <w:color w:val="000000" w:themeColor="text1"/>
          <w:sz w:val="20"/>
          <w:szCs w:val="20"/>
          <w:lang w:val="en-US"/>
        </w:rPr>
      </w:pPr>
      <w:r w:rsidRPr="00721013">
        <w:rPr>
          <w:rFonts w:ascii="Verdana" w:hAnsi="Verdana" w:cs="Times New Roman"/>
          <w:color w:val="000000" w:themeColor="text1"/>
          <w:sz w:val="20"/>
          <w:szCs w:val="20"/>
          <w:lang w:val="en-US"/>
        </w:rPr>
        <w:t>Recommended measures:</w:t>
      </w:r>
    </w:p>
    <w:p w:rsidR="0044097B" w:rsidRPr="00721013" w:rsidRDefault="0044097B" w:rsidP="0044097B">
      <w:pPr>
        <w:pStyle w:val="NoSpacing"/>
        <w:spacing w:line="312" w:lineRule="auto"/>
        <w:jc w:val="both"/>
        <w:rPr>
          <w:rFonts w:ascii="Verdana" w:hAnsi="Verdana" w:cs="Times New Roman"/>
          <w:color w:val="000000" w:themeColor="text1"/>
          <w:sz w:val="20"/>
          <w:szCs w:val="20"/>
          <w:lang w:val="en-US"/>
        </w:rPr>
      </w:pPr>
    </w:p>
    <w:p w:rsidR="0044097B" w:rsidRPr="00721013" w:rsidRDefault="0044097B" w:rsidP="00B07A9D">
      <w:pPr>
        <w:pStyle w:val="ListParagraph"/>
        <w:numPr>
          <w:ilvl w:val="0"/>
          <w:numId w:val="16"/>
        </w:numPr>
        <w:spacing w:line="312" w:lineRule="auto"/>
        <w:ind w:left="426" w:hanging="426"/>
        <w:jc w:val="both"/>
        <w:rPr>
          <w:rFonts w:ascii="Verdana" w:hAnsi="Verdana"/>
          <w:sz w:val="20"/>
          <w:szCs w:val="20"/>
          <w:lang w:val="en-GB"/>
        </w:rPr>
      </w:pPr>
      <w:r w:rsidRPr="00721013">
        <w:rPr>
          <w:rFonts w:ascii="Verdana" w:hAnsi="Verdana"/>
          <w:sz w:val="20"/>
          <w:szCs w:val="20"/>
        </w:rPr>
        <w:t xml:space="preserve">The statutory </w:t>
      </w:r>
      <w:r w:rsidRPr="00721013">
        <w:rPr>
          <w:rFonts w:ascii="Verdana" w:hAnsi="Verdana"/>
          <w:sz w:val="20"/>
          <w:szCs w:val="20"/>
          <w:lang w:val="en-GB"/>
        </w:rPr>
        <w:t>learning plan should also describe extra-curricular and training activities and related assessment.</w:t>
      </w:r>
    </w:p>
    <w:p w:rsidR="0044097B" w:rsidRPr="00721013" w:rsidRDefault="0044097B" w:rsidP="00B07A9D">
      <w:pPr>
        <w:pStyle w:val="ListParagraph"/>
        <w:numPr>
          <w:ilvl w:val="0"/>
          <w:numId w:val="16"/>
        </w:numPr>
        <w:spacing w:line="312" w:lineRule="auto"/>
        <w:ind w:left="426" w:hanging="426"/>
        <w:jc w:val="both"/>
        <w:rPr>
          <w:rFonts w:ascii="Verdana" w:hAnsi="Verdana"/>
          <w:sz w:val="20"/>
          <w:szCs w:val="20"/>
          <w:lang w:val="en-GB"/>
        </w:rPr>
      </w:pPr>
      <w:r w:rsidRPr="00721013">
        <w:rPr>
          <w:rFonts w:ascii="Verdana" w:hAnsi="Verdana"/>
          <w:sz w:val="20"/>
          <w:szCs w:val="20"/>
          <w:lang w:val="en-GB"/>
        </w:rPr>
        <w:t>The learning plan should be developed in the most flexible way in order to fit the personal (individual) learning path of the mobile student.</w:t>
      </w:r>
    </w:p>
    <w:p w:rsidR="0044097B" w:rsidRPr="00721013" w:rsidRDefault="0044097B" w:rsidP="00B07A9D">
      <w:pPr>
        <w:pStyle w:val="ListParagraph"/>
        <w:numPr>
          <w:ilvl w:val="0"/>
          <w:numId w:val="16"/>
        </w:numPr>
        <w:spacing w:line="312" w:lineRule="auto"/>
        <w:ind w:left="426" w:hanging="426"/>
        <w:jc w:val="both"/>
        <w:rPr>
          <w:rFonts w:ascii="Verdana" w:hAnsi="Verdana"/>
          <w:sz w:val="20"/>
          <w:szCs w:val="20"/>
          <w:lang w:val="en-GB"/>
        </w:rPr>
      </w:pPr>
      <w:r w:rsidRPr="00721013">
        <w:rPr>
          <w:rFonts w:ascii="Verdana" w:hAnsi="Verdana"/>
          <w:sz w:val="20"/>
          <w:szCs w:val="20"/>
        </w:rPr>
        <w:t>Apart from courses directly relevant for the individual study program (those included in the learning agreement), further optional courses should be included in the mobility workload to allow for additional personality-enhancing and cross-disciplinary competences.</w:t>
      </w:r>
    </w:p>
    <w:p w:rsidR="0044097B" w:rsidRPr="0044097B" w:rsidRDefault="0044097B" w:rsidP="00B07A9D">
      <w:pPr>
        <w:pStyle w:val="ListParagraph"/>
        <w:numPr>
          <w:ilvl w:val="0"/>
          <w:numId w:val="16"/>
        </w:numPr>
        <w:spacing w:line="312" w:lineRule="auto"/>
        <w:ind w:left="426" w:hanging="426"/>
        <w:jc w:val="both"/>
        <w:rPr>
          <w:rFonts w:ascii="Verdana" w:hAnsi="Verdana"/>
          <w:sz w:val="20"/>
          <w:szCs w:val="20"/>
          <w:lang w:val="en-GB"/>
        </w:rPr>
      </w:pPr>
      <w:r w:rsidRPr="0044097B">
        <w:rPr>
          <w:rFonts w:ascii="Verdana" w:hAnsi="Verdana"/>
          <w:sz w:val="20"/>
          <w:szCs w:val="20"/>
          <w:lang w:val="en-GB"/>
        </w:rPr>
        <w:t>A learning agreement, signed by the home and the host institutions as well as the student, serves to guarantee transparent recognition.</w:t>
      </w:r>
    </w:p>
    <w:p w:rsidR="0044097B" w:rsidRPr="00721013" w:rsidRDefault="0044097B" w:rsidP="0044097B">
      <w:pPr>
        <w:pStyle w:val="NoSpacing"/>
        <w:spacing w:line="312" w:lineRule="auto"/>
        <w:jc w:val="both"/>
        <w:rPr>
          <w:rFonts w:ascii="Verdana" w:hAnsi="Verdana" w:cs="Times New Roman"/>
          <w:color w:val="000000" w:themeColor="text1"/>
          <w:sz w:val="20"/>
          <w:szCs w:val="20"/>
          <w:lang w:val="en-GB"/>
        </w:rPr>
      </w:pPr>
    </w:p>
    <w:p w:rsidR="0044097B" w:rsidRPr="00721013" w:rsidRDefault="0044097B" w:rsidP="00B07A9D">
      <w:pPr>
        <w:pStyle w:val="ListParagraph"/>
        <w:numPr>
          <w:ilvl w:val="0"/>
          <w:numId w:val="22"/>
        </w:numPr>
        <w:spacing w:line="312" w:lineRule="auto"/>
        <w:jc w:val="both"/>
        <w:rPr>
          <w:rFonts w:ascii="Verdana" w:hAnsi="Verdana"/>
          <w:i/>
          <w:sz w:val="20"/>
          <w:szCs w:val="20"/>
        </w:rPr>
      </w:pPr>
      <w:r w:rsidRPr="00721013">
        <w:rPr>
          <w:rFonts w:ascii="Verdana" w:hAnsi="Verdana"/>
          <w:bCs/>
          <w:sz w:val="20"/>
          <w:szCs w:val="20"/>
        </w:rPr>
        <w:t>General preparation:</w:t>
      </w:r>
      <w:r w:rsidRPr="00721013">
        <w:rPr>
          <w:rFonts w:ascii="Verdana" w:hAnsi="Verdana"/>
          <w:sz w:val="20"/>
          <w:szCs w:val="20"/>
        </w:rPr>
        <w:t xml:space="preserve"> </w:t>
      </w:r>
      <w:r w:rsidRPr="00721013">
        <w:rPr>
          <w:rFonts w:ascii="Verdana" w:hAnsi="Verdana"/>
          <w:i/>
          <w:sz w:val="20"/>
          <w:szCs w:val="20"/>
        </w:rPr>
        <w:t>before departure, participants should receive preparation tailored to their specific needs and prior experiences, covering linguistic, pedagogical, legal, cultural, and financial aspects</w:t>
      </w:r>
    </w:p>
    <w:p w:rsidR="0044097B" w:rsidRPr="00721013" w:rsidRDefault="0044097B" w:rsidP="0044097B">
      <w:pPr>
        <w:pStyle w:val="NoSpacing"/>
        <w:spacing w:line="312" w:lineRule="auto"/>
        <w:jc w:val="both"/>
        <w:rPr>
          <w:rFonts w:ascii="Verdana" w:hAnsi="Verdana" w:cs="Times New Roman"/>
          <w:color w:val="000000" w:themeColor="text1"/>
          <w:sz w:val="20"/>
          <w:szCs w:val="20"/>
          <w:lang w:val="en-US"/>
        </w:rPr>
      </w:pPr>
    </w:p>
    <w:p w:rsidR="0044097B" w:rsidRPr="00721013" w:rsidRDefault="0044097B" w:rsidP="0044097B">
      <w:pPr>
        <w:pStyle w:val="NoSpacing"/>
        <w:spacing w:line="312" w:lineRule="auto"/>
        <w:jc w:val="both"/>
        <w:rPr>
          <w:rFonts w:ascii="Verdana" w:hAnsi="Verdana" w:cs="Times New Roman"/>
          <w:color w:val="000000" w:themeColor="text1"/>
          <w:sz w:val="20"/>
          <w:szCs w:val="20"/>
          <w:lang w:val="en-US"/>
        </w:rPr>
      </w:pPr>
      <w:r w:rsidRPr="00721013">
        <w:rPr>
          <w:rFonts w:ascii="Verdana" w:hAnsi="Verdana" w:cs="Times New Roman"/>
          <w:color w:val="000000" w:themeColor="text1"/>
          <w:sz w:val="20"/>
          <w:szCs w:val="20"/>
          <w:lang w:val="en-US"/>
        </w:rPr>
        <w:t>Recommended measures:</w:t>
      </w:r>
    </w:p>
    <w:p w:rsidR="0044097B" w:rsidRPr="00721013" w:rsidRDefault="0044097B" w:rsidP="0044097B">
      <w:pPr>
        <w:pStyle w:val="NoSpacing"/>
        <w:spacing w:line="312" w:lineRule="auto"/>
        <w:jc w:val="both"/>
        <w:rPr>
          <w:rFonts w:ascii="Verdana" w:hAnsi="Verdana" w:cs="Times New Roman"/>
          <w:color w:val="000000" w:themeColor="text1"/>
          <w:sz w:val="20"/>
          <w:szCs w:val="20"/>
          <w:lang w:val="en-US"/>
        </w:rPr>
      </w:pPr>
    </w:p>
    <w:p w:rsidR="0044097B" w:rsidRPr="00721013" w:rsidRDefault="0044097B" w:rsidP="00B07A9D">
      <w:pPr>
        <w:pStyle w:val="NoSpacing"/>
        <w:numPr>
          <w:ilvl w:val="0"/>
          <w:numId w:val="19"/>
        </w:numPr>
        <w:spacing w:line="312" w:lineRule="auto"/>
        <w:ind w:left="360"/>
        <w:jc w:val="both"/>
        <w:rPr>
          <w:rFonts w:ascii="Verdana" w:hAnsi="Verdana" w:cs="Times New Roman"/>
          <w:color w:val="000000" w:themeColor="text1"/>
          <w:sz w:val="20"/>
          <w:szCs w:val="20"/>
          <w:lang w:val="en-GB"/>
        </w:rPr>
      </w:pPr>
      <w:r w:rsidRPr="00721013">
        <w:rPr>
          <w:rFonts w:ascii="Verdana" w:hAnsi="Verdana" w:cs="Times New Roman"/>
          <w:color w:val="000000" w:themeColor="text1"/>
          <w:sz w:val="20"/>
          <w:szCs w:val="20"/>
          <w:lang w:val="en-US"/>
        </w:rPr>
        <w:lastRenderedPageBreak/>
        <w:t>Coordination between all the stakeholders involved is essential. This is especially important when it comes to partnership agreements between the sending and the host institution. This agreement should focus on providing the best possible framework conditions for a successful completion of a study/research/teaching stay abroad.</w:t>
      </w:r>
    </w:p>
    <w:p w:rsidR="0044097B" w:rsidRPr="00721013" w:rsidRDefault="0044097B" w:rsidP="00B07A9D">
      <w:pPr>
        <w:pStyle w:val="ListParagraph"/>
        <w:numPr>
          <w:ilvl w:val="0"/>
          <w:numId w:val="19"/>
        </w:numPr>
        <w:spacing w:line="312" w:lineRule="auto"/>
        <w:ind w:left="426" w:hanging="426"/>
        <w:jc w:val="both"/>
        <w:rPr>
          <w:rFonts w:ascii="Verdana" w:hAnsi="Verdana"/>
          <w:bCs/>
          <w:sz w:val="20"/>
          <w:szCs w:val="20"/>
        </w:rPr>
      </w:pPr>
      <w:r w:rsidRPr="00721013">
        <w:rPr>
          <w:rFonts w:ascii="Verdana" w:hAnsi="Verdana"/>
          <w:sz w:val="20"/>
          <w:szCs w:val="20"/>
          <w:lang w:val="en-GB"/>
        </w:rPr>
        <w:t xml:space="preserve">Adequate foreign </w:t>
      </w:r>
      <w:r>
        <w:rPr>
          <w:rFonts w:ascii="Verdana" w:hAnsi="Verdana"/>
          <w:sz w:val="20"/>
          <w:szCs w:val="20"/>
          <w:lang w:val="en-GB"/>
        </w:rPr>
        <w:t>language</w:t>
      </w:r>
      <w:r w:rsidRPr="00721013">
        <w:rPr>
          <w:rFonts w:ascii="Verdana" w:hAnsi="Verdana"/>
          <w:sz w:val="20"/>
          <w:szCs w:val="20"/>
        </w:rPr>
        <w:t xml:space="preserve"> skills make for more effective learning, better intercultural communication and openness, and a deeper understanding of the host country’s culture. Arrangements could include</w:t>
      </w:r>
      <w:r w:rsidRPr="00721013">
        <w:rPr>
          <w:rFonts w:ascii="Verdana" w:hAnsi="Verdana"/>
          <w:sz w:val="20"/>
          <w:szCs w:val="20"/>
          <w:lang w:val="en-GB"/>
        </w:rPr>
        <w:t xml:space="preserve"> </w:t>
      </w:r>
      <w:r w:rsidRPr="00721013">
        <w:rPr>
          <w:rFonts w:ascii="Verdana" w:hAnsi="Verdana"/>
          <w:sz w:val="20"/>
          <w:szCs w:val="20"/>
        </w:rPr>
        <w:t xml:space="preserve">a pre-departure assessment of language skills, the possibility of attending courses in the language of the host country and/or language learning and linguistic support and advice on site. </w:t>
      </w:r>
      <w:r w:rsidRPr="00721013">
        <w:rPr>
          <w:rFonts w:ascii="Verdana" w:hAnsi="Verdana"/>
          <w:bCs/>
          <w:sz w:val="20"/>
          <w:szCs w:val="20"/>
        </w:rPr>
        <w:t xml:space="preserve">Proper linguistic preparation should be provided by the home institution but should also be initiated by the individual, and continued in the host country. </w:t>
      </w:r>
    </w:p>
    <w:p w:rsidR="0044097B" w:rsidRPr="00721013" w:rsidRDefault="0044097B" w:rsidP="00B07A9D">
      <w:pPr>
        <w:pStyle w:val="ListParagraph"/>
        <w:numPr>
          <w:ilvl w:val="0"/>
          <w:numId w:val="19"/>
        </w:numPr>
        <w:spacing w:line="312" w:lineRule="auto"/>
        <w:ind w:left="360"/>
        <w:jc w:val="both"/>
        <w:rPr>
          <w:rFonts w:ascii="Verdana" w:hAnsi="Verdana"/>
          <w:sz w:val="20"/>
          <w:szCs w:val="20"/>
        </w:rPr>
      </w:pPr>
      <w:r w:rsidRPr="00721013">
        <w:rPr>
          <w:rFonts w:ascii="Verdana" w:hAnsi="Verdana"/>
          <w:sz w:val="20"/>
          <w:szCs w:val="20"/>
        </w:rPr>
        <w:t>Using virtual tools (e.g. distance learning, e-learning or blended learning offers, social media, interactive information tools, chat rooms, video-instructions) can support the candidates’ preparation for the mobility stay.</w:t>
      </w:r>
    </w:p>
    <w:p w:rsidR="0044097B" w:rsidRPr="00721013" w:rsidRDefault="0044097B" w:rsidP="0044097B">
      <w:pPr>
        <w:pStyle w:val="NoSpacing"/>
        <w:spacing w:line="312" w:lineRule="auto"/>
        <w:jc w:val="both"/>
        <w:rPr>
          <w:rFonts w:ascii="Verdana" w:hAnsi="Verdana"/>
          <w:sz w:val="20"/>
          <w:szCs w:val="20"/>
          <w:lang w:val="en-US"/>
        </w:rPr>
      </w:pPr>
    </w:p>
    <w:p w:rsidR="0044097B" w:rsidRPr="00721013" w:rsidRDefault="0044097B" w:rsidP="0044097B">
      <w:pPr>
        <w:pStyle w:val="NoSpacing"/>
        <w:spacing w:line="312" w:lineRule="auto"/>
        <w:jc w:val="both"/>
        <w:rPr>
          <w:rFonts w:ascii="Verdana" w:hAnsi="Verdana"/>
          <w:sz w:val="20"/>
          <w:szCs w:val="20"/>
          <w:lang w:val="en-US"/>
        </w:rPr>
      </w:pPr>
    </w:p>
    <w:p w:rsidR="0044097B" w:rsidRPr="00721013" w:rsidRDefault="0044097B" w:rsidP="00B07A9D">
      <w:pPr>
        <w:pStyle w:val="ListParagraph"/>
        <w:numPr>
          <w:ilvl w:val="0"/>
          <w:numId w:val="22"/>
        </w:numPr>
        <w:spacing w:line="312" w:lineRule="auto"/>
        <w:jc w:val="both"/>
        <w:rPr>
          <w:rFonts w:ascii="Verdana" w:hAnsi="Verdana"/>
          <w:sz w:val="20"/>
          <w:szCs w:val="20"/>
        </w:rPr>
      </w:pPr>
      <w:r w:rsidRPr="00721013">
        <w:rPr>
          <w:rFonts w:ascii="Verdana" w:hAnsi="Verdana"/>
          <w:bCs/>
          <w:sz w:val="20"/>
          <w:szCs w:val="20"/>
        </w:rPr>
        <w:t xml:space="preserve">Logistical support: </w:t>
      </w:r>
      <w:r w:rsidRPr="00721013">
        <w:rPr>
          <w:rFonts w:ascii="Verdana" w:hAnsi="Verdana"/>
          <w:i/>
          <w:sz w:val="20"/>
          <w:szCs w:val="20"/>
        </w:rPr>
        <w:t>providing participants with information and assistance concerning  travel arrangements, insurance, portability grants and loans, residence or work permits,</w:t>
      </w:r>
      <w:r w:rsidRPr="00721013">
        <w:rPr>
          <w:rFonts w:ascii="Verdana" w:hAnsi="Verdana"/>
          <w:i/>
          <w:sz w:val="20"/>
          <w:szCs w:val="20"/>
          <w:lang w:val="en-GB"/>
        </w:rPr>
        <w:t xml:space="preserve"> </w:t>
      </w:r>
      <w:r w:rsidRPr="00721013">
        <w:rPr>
          <w:rFonts w:ascii="Verdana" w:hAnsi="Verdana"/>
          <w:i/>
          <w:sz w:val="20"/>
          <w:szCs w:val="20"/>
        </w:rPr>
        <w:t>social security and any other practical aspects</w:t>
      </w:r>
    </w:p>
    <w:p w:rsidR="00E26CCB" w:rsidRDefault="00E26CCB" w:rsidP="0044097B">
      <w:pPr>
        <w:spacing w:line="312" w:lineRule="auto"/>
        <w:jc w:val="both"/>
        <w:rPr>
          <w:rFonts w:ascii="Verdana" w:hAnsi="Verdana"/>
          <w:color w:val="000000" w:themeColor="text1"/>
          <w:sz w:val="20"/>
          <w:szCs w:val="20"/>
        </w:rPr>
      </w:pPr>
    </w:p>
    <w:p w:rsidR="0044097B" w:rsidRPr="00721013" w:rsidRDefault="0044097B" w:rsidP="0044097B">
      <w:pPr>
        <w:spacing w:line="312" w:lineRule="auto"/>
        <w:jc w:val="both"/>
        <w:rPr>
          <w:rFonts w:ascii="Verdana" w:hAnsi="Verdana"/>
          <w:color w:val="000000" w:themeColor="text1"/>
          <w:sz w:val="20"/>
          <w:szCs w:val="20"/>
        </w:rPr>
      </w:pPr>
      <w:r w:rsidRPr="00721013">
        <w:rPr>
          <w:rFonts w:ascii="Verdana" w:hAnsi="Verdana"/>
          <w:color w:val="000000" w:themeColor="text1"/>
          <w:sz w:val="20"/>
          <w:szCs w:val="20"/>
        </w:rPr>
        <w:t>Recommended measures:</w:t>
      </w:r>
    </w:p>
    <w:p w:rsidR="0044097B" w:rsidRPr="00721013" w:rsidRDefault="0044097B" w:rsidP="00B07A9D">
      <w:pPr>
        <w:pStyle w:val="ListParagraph"/>
        <w:numPr>
          <w:ilvl w:val="0"/>
          <w:numId w:val="15"/>
        </w:numPr>
        <w:spacing w:line="312" w:lineRule="auto"/>
        <w:ind w:left="426" w:hanging="426"/>
        <w:jc w:val="both"/>
        <w:rPr>
          <w:rFonts w:ascii="Verdana" w:hAnsi="Verdana"/>
          <w:sz w:val="20"/>
          <w:szCs w:val="20"/>
        </w:rPr>
      </w:pPr>
      <w:r w:rsidRPr="00721013">
        <w:rPr>
          <w:rFonts w:ascii="Verdana" w:hAnsi="Verdana"/>
          <w:sz w:val="20"/>
          <w:szCs w:val="20"/>
        </w:rPr>
        <w:t>Restrictive immigration rules are one of the legal barriers for mobility in the EHEA.  All EHEA member states are therefore strongly invited to adopt more flexible regulations regarding immigration and residency laws for both short and long term mobile persons.</w:t>
      </w:r>
    </w:p>
    <w:p w:rsidR="0044097B" w:rsidRPr="00721013" w:rsidRDefault="0044097B" w:rsidP="00B07A9D">
      <w:pPr>
        <w:pStyle w:val="ListParagraph"/>
        <w:numPr>
          <w:ilvl w:val="0"/>
          <w:numId w:val="15"/>
        </w:numPr>
        <w:spacing w:line="312" w:lineRule="auto"/>
        <w:ind w:left="426" w:hanging="426"/>
        <w:jc w:val="both"/>
        <w:rPr>
          <w:rFonts w:ascii="Verdana" w:hAnsi="Verdana"/>
          <w:sz w:val="20"/>
          <w:szCs w:val="20"/>
        </w:rPr>
      </w:pPr>
      <w:r w:rsidRPr="00721013">
        <w:rPr>
          <w:rFonts w:ascii="Verdana" w:hAnsi="Verdana"/>
          <w:sz w:val="20"/>
          <w:szCs w:val="20"/>
        </w:rPr>
        <w:t>For a student to be independent in the host country, adequate access to the labor market and, at the same time, to social security benefits should be provided.</w:t>
      </w:r>
    </w:p>
    <w:p w:rsidR="0044097B" w:rsidRPr="00721013" w:rsidRDefault="0044097B" w:rsidP="00B07A9D">
      <w:pPr>
        <w:pStyle w:val="ListParagraph"/>
        <w:numPr>
          <w:ilvl w:val="0"/>
          <w:numId w:val="15"/>
        </w:numPr>
        <w:spacing w:line="312" w:lineRule="auto"/>
        <w:ind w:left="426" w:hanging="426"/>
        <w:jc w:val="both"/>
        <w:rPr>
          <w:rFonts w:ascii="Verdana" w:hAnsi="Verdana"/>
          <w:sz w:val="20"/>
          <w:szCs w:val="20"/>
          <w:lang w:val="en-GB"/>
        </w:rPr>
      </w:pPr>
      <w:r w:rsidRPr="00721013">
        <w:rPr>
          <w:rFonts w:ascii="Verdana" w:hAnsi="Verdana"/>
          <w:sz w:val="20"/>
          <w:szCs w:val="20"/>
          <w:lang w:val="en-GB"/>
        </w:rPr>
        <w:t>Timely payment of financial grants is essential to avoid financial bottlenecks.</w:t>
      </w:r>
    </w:p>
    <w:p w:rsidR="0044097B" w:rsidRPr="00721013" w:rsidRDefault="0044097B" w:rsidP="00B07A9D">
      <w:pPr>
        <w:pStyle w:val="ListParagraph"/>
        <w:numPr>
          <w:ilvl w:val="0"/>
          <w:numId w:val="15"/>
        </w:numPr>
        <w:spacing w:line="312" w:lineRule="auto"/>
        <w:ind w:left="426" w:hanging="426"/>
        <w:jc w:val="both"/>
        <w:rPr>
          <w:rFonts w:ascii="Verdana" w:hAnsi="Verdana"/>
          <w:sz w:val="20"/>
          <w:szCs w:val="20"/>
          <w:lang w:val="en-GB"/>
        </w:rPr>
      </w:pPr>
      <w:r w:rsidRPr="00721013">
        <w:rPr>
          <w:rFonts w:ascii="Verdana" w:hAnsi="Verdana"/>
          <w:sz w:val="20"/>
          <w:szCs w:val="20"/>
          <w:lang w:val="en-GB"/>
        </w:rPr>
        <w:t>Portable loans and grants should be available to all mobile participants in the EHEA.</w:t>
      </w:r>
    </w:p>
    <w:p w:rsidR="0044097B" w:rsidRPr="00721013" w:rsidRDefault="0044097B" w:rsidP="0044097B">
      <w:pPr>
        <w:spacing w:line="312" w:lineRule="auto"/>
        <w:jc w:val="both"/>
        <w:rPr>
          <w:rFonts w:ascii="Verdana" w:hAnsi="Verdana"/>
          <w:color w:val="000000" w:themeColor="text1"/>
          <w:sz w:val="20"/>
          <w:szCs w:val="20"/>
          <w:lang w:val="en-GB"/>
        </w:rPr>
      </w:pPr>
    </w:p>
    <w:p w:rsidR="0044097B" w:rsidRPr="00721013" w:rsidRDefault="0044097B" w:rsidP="00B07A9D">
      <w:pPr>
        <w:pStyle w:val="ListParagraph"/>
        <w:numPr>
          <w:ilvl w:val="0"/>
          <w:numId w:val="22"/>
        </w:numPr>
        <w:spacing w:line="312" w:lineRule="auto"/>
        <w:jc w:val="both"/>
        <w:rPr>
          <w:rFonts w:ascii="Verdana" w:hAnsi="Verdana"/>
          <w:sz w:val="20"/>
          <w:szCs w:val="20"/>
        </w:rPr>
      </w:pPr>
      <w:r w:rsidRPr="00721013">
        <w:rPr>
          <w:rFonts w:ascii="Verdana" w:hAnsi="Verdana"/>
          <w:bCs/>
          <w:sz w:val="20"/>
          <w:szCs w:val="20"/>
        </w:rPr>
        <w:t>mentoring:</w:t>
      </w:r>
      <w:r w:rsidRPr="00721013">
        <w:rPr>
          <w:rFonts w:ascii="Verdana" w:hAnsi="Verdana"/>
          <w:sz w:val="20"/>
          <w:szCs w:val="20"/>
        </w:rPr>
        <w:t xml:space="preserve"> </w:t>
      </w:r>
      <w:r w:rsidRPr="00721013">
        <w:rPr>
          <w:rFonts w:ascii="Verdana" w:hAnsi="Verdana"/>
          <w:i/>
          <w:sz w:val="20"/>
          <w:szCs w:val="20"/>
        </w:rPr>
        <w:t>the hosting organization should provide tailored mentoring to advise and help participants throughout their stay, also to ensure their integration</w:t>
      </w:r>
    </w:p>
    <w:p w:rsidR="0044097B" w:rsidRPr="00721013" w:rsidRDefault="0044097B" w:rsidP="0044097B">
      <w:pPr>
        <w:spacing w:line="312" w:lineRule="auto"/>
        <w:jc w:val="both"/>
        <w:rPr>
          <w:rFonts w:ascii="Verdana" w:hAnsi="Verdana"/>
          <w:color w:val="000000" w:themeColor="text1"/>
          <w:sz w:val="20"/>
          <w:szCs w:val="20"/>
        </w:rPr>
      </w:pPr>
    </w:p>
    <w:p w:rsidR="0044097B" w:rsidRPr="00721013" w:rsidRDefault="0044097B" w:rsidP="00E26CCB">
      <w:pPr>
        <w:spacing w:line="312" w:lineRule="auto"/>
        <w:ind w:firstLine="708"/>
        <w:jc w:val="both"/>
        <w:rPr>
          <w:rFonts w:ascii="Verdana" w:hAnsi="Verdana"/>
          <w:color w:val="000000" w:themeColor="text1"/>
          <w:sz w:val="20"/>
          <w:szCs w:val="20"/>
        </w:rPr>
      </w:pPr>
      <w:r w:rsidRPr="00721013">
        <w:rPr>
          <w:rFonts w:ascii="Verdana" w:hAnsi="Verdana"/>
          <w:color w:val="000000" w:themeColor="text1"/>
          <w:sz w:val="20"/>
          <w:szCs w:val="20"/>
        </w:rPr>
        <w:t>Recommended measures:</w:t>
      </w:r>
    </w:p>
    <w:p w:rsidR="0044097B" w:rsidRPr="00721013" w:rsidRDefault="0044097B" w:rsidP="00B07A9D">
      <w:pPr>
        <w:pStyle w:val="NoSpacing"/>
        <w:numPr>
          <w:ilvl w:val="0"/>
          <w:numId w:val="18"/>
        </w:numPr>
        <w:spacing w:line="312" w:lineRule="auto"/>
        <w:ind w:left="426" w:hanging="426"/>
        <w:jc w:val="both"/>
        <w:rPr>
          <w:rFonts w:ascii="Verdana" w:hAnsi="Verdana" w:cs="Times New Roman"/>
          <w:color w:val="000000" w:themeColor="text1"/>
          <w:sz w:val="20"/>
          <w:szCs w:val="20"/>
          <w:lang w:val="en-US"/>
        </w:rPr>
      </w:pPr>
      <w:r w:rsidRPr="00721013">
        <w:rPr>
          <w:rFonts w:ascii="Verdana" w:hAnsi="Verdana" w:cs="Times New Roman"/>
          <w:color w:val="000000" w:themeColor="text1"/>
          <w:sz w:val="20"/>
          <w:szCs w:val="20"/>
          <w:lang w:val="en-US"/>
        </w:rPr>
        <w:t>Social and cultural field activities for mobile students/staff/researchers with the involvement of national students/staff/researchers and former outgoings should be organized. Many institutions use “International Weeks” for this purpose.</w:t>
      </w:r>
    </w:p>
    <w:p w:rsidR="0044097B" w:rsidRPr="00721013" w:rsidRDefault="0044097B" w:rsidP="00B07A9D">
      <w:pPr>
        <w:pStyle w:val="ListParagraph"/>
        <w:numPr>
          <w:ilvl w:val="0"/>
          <w:numId w:val="18"/>
        </w:numPr>
        <w:spacing w:line="312" w:lineRule="auto"/>
        <w:ind w:left="426" w:hanging="426"/>
        <w:jc w:val="both"/>
        <w:rPr>
          <w:rFonts w:ascii="Verdana" w:hAnsi="Verdana"/>
          <w:sz w:val="20"/>
          <w:szCs w:val="20"/>
        </w:rPr>
      </w:pPr>
      <w:r w:rsidRPr="00721013">
        <w:rPr>
          <w:rFonts w:ascii="Verdana" w:hAnsi="Verdana"/>
          <w:sz w:val="20"/>
          <w:szCs w:val="20"/>
        </w:rPr>
        <w:t xml:space="preserve">A Buddy System should be standard for all incomings to provide organizational help in the first weeks, to further the integration process and to reflect on the mobility </w:t>
      </w:r>
      <w:r w:rsidRPr="00721013">
        <w:rPr>
          <w:rFonts w:ascii="Verdana" w:hAnsi="Verdana"/>
          <w:sz w:val="20"/>
          <w:szCs w:val="20"/>
        </w:rPr>
        <w:lastRenderedPageBreak/>
        <w:t xml:space="preserve">experience. This could be a major contribution to easing the acculturation process. Especially former mobility candidates serve as ideal buddies, since they can share their own experiences made abroad. Training and proper preparation for all these activities are essential. As for staff and researchers involved in a buddy system, further financial or administrative incentives (work leave) might be motivating. </w:t>
      </w:r>
    </w:p>
    <w:p w:rsidR="0044097B" w:rsidRPr="00721013" w:rsidRDefault="0044097B" w:rsidP="00B07A9D">
      <w:pPr>
        <w:pStyle w:val="NoSpacing"/>
        <w:numPr>
          <w:ilvl w:val="0"/>
          <w:numId w:val="18"/>
        </w:numPr>
        <w:spacing w:line="312" w:lineRule="auto"/>
        <w:ind w:left="426" w:hanging="426"/>
        <w:jc w:val="both"/>
        <w:rPr>
          <w:rFonts w:ascii="Verdana" w:hAnsi="Verdana" w:cs="Times New Roman"/>
          <w:color w:val="000000" w:themeColor="text1"/>
          <w:sz w:val="20"/>
          <w:szCs w:val="20"/>
          <w:lang w:val="en-US"/>
        </w:rPr>
      </w:pPr>
      <w:r w:rsidRPr="00721013">
        <w:rPr>
          <w:rFonts w:ascii="Verdana" w:hAnsi="Verdana" w:cs="Times New Roman"/>
          <w:color w:val="000000" w:themeColor="text1"/>
          <w:sz w:val="20"/>
          <w:szCs w:val="20"/>
          <w:lang w:val="en-US"/>
        </w:rPr>
        <w:t>In-tandem learning is a perfect enhancement of the buddy-system and extremely helpful in steering an international student through a new and unknown study/working/academic system.</w:t>
      </w:r>
    </w:p>
    <w:p w:rsidR="0044097B" w:rsidRPr="00721013" w:rsidRDefault="0044097B" w:rsidP="00B07A9D">
      <w:pPr>
        <w:pStyle w:val="NoSpacing"/>
        <w:numPr>
          <w:ilvl w:val="0"/>
          <w:numId w:val="18"/>
        </w:numPr>
        <w:spacing w:line="312" w:lineRule="auto"/>
        <w:ind w:left="426" w:hanging="426"/>
        <w:jc w:val="both"/>
        <w:rPr>
          <w:rFonts w:ascii="Verdana" w:hAnsi="Verdana" w:cs="Times New Roman"/>
          <w:color w:val="000000" w:themeColor="text1"/>
          <w:sz w:val="20"/>
          <w:szCs w:val="20"/>
          <w:lang w:val="en-US"/>
        </w:rPr>
      </w:pPr>
      <w:r w:rsidRPr="00721013">
        <w:rPr>
          <w:rFonts w:ascii="Verdana" w:hAnsi="Verdana" w:cs="Times New Roman"/>
          <w:color w:val="000000" w:themeColor="text1"/>
          <w:sz w:val="20"/>
          <w:szCs w:val="20"/>
          <w:lang w:val="en-US"/>
        </w:rPr>
        <w:t xml:space="preserve">Host institutions could provide virtual platforms or newsletters connecting mobile participants with their own staff and students in order to support exchange on local activities or academic culture. The sending institution and the mobile student can stay in touch via blogs, </w:t>
      </w:r>
      <w:proofErr w:type="spellStart"/>
      <w:r w:rsidRPr="00721013">
        <w:rPr>
          <w:rFonts w:ascii="Verdana" w:hAnsi="Verdana" w:cs="Times New Roman"/>
          <w:color w:val="000000" w:themeColor="text1"/>
          <w:sz w:val="20"/>
          <w:szCs w:val="20"/>
          <w:lang w:val="en-US"/>
        </w:rPr>
        <w:t>moodle</w:t>
      </w:r>
      <w:proofErr w:type="spellEnd"/>
      <w:r w:rsidRPr="00721013">
        <w:rPr>
          <w:rFonts w:ascii="Verdana" w:hAnsi="Verdana" w:cs="Times New Roman"/>
          <w:color w:val="000000" w:themeColor="text1"/>
          <w:sz w:val="20"/>
          <w:szCs w:val="20"/>
          <w:lang w:val="en-US"/>
        </w:rPr>
        <w:t xml:space="preserve">, e-mail, skype, </w:t>
      </w:r>
      <w:proofErr w:type="spellStart"/>
      <w:r w:rsidRPr="00721013">
        <w:rPr>
          <w:rFonts w:ascii="Verdana" w:hAnsi="Verdana" w:cs="Times New Roman"/>
          <w:color w:val="000000" w:themeColor="text1"/>
          <w:sz w:val="20"/>
          <w:szCs w:val="20"/>
          <w:lang w:val="en-US"/>
        </w:rPr>
        <w:t>facebook</w:t>
      </w:r>
      <w:proofErr w:type="spellEnd"/>
      <w:r w:rsidRPr="00721013">
        <w:rPr>
          <w:rFonts w:ascii="Verdana" w:hAnsi="Verdana" w:cs="Times New Roman"/>
          <w:color w:val="000000" w:themeColor="text1"/>
          <w:sz w:val="20"/>
          <w:szCs w:val="20"/>
          <w:lang w:val="en-US"/>
        </w:rPr>
        <w:t>, intercultural diaries or regular reports, especially in case of an internship where technical training aspects are relevant.</w:t>
      </w:r>
    </w:p>
    <w:p w:rsidR="00E26CCB" w:rsidRDefault="0044097B" w:rsidP="00E26CCB">
      <w:pPr>
        <w:spacing w:after="0" w:line="312" w:lineRule="auto"/>
        <w:ind w:left="432"/>
        <w:jc w:val="both"/>
        <w:rPr>
          <w:rFonts w:ascii="Verdana" w:hAnsi="Verdana"/>
          <w:bCs/>
          <w:color w:val="000000" w:themeColor="text1"/>
          <w:sz w:val="20"/>
          <w:szCs w:val="20"/>
          <w:lang w:val="en-GB"/>
        </w:rPr>
      </w:pPr>
      <w:r w:rsidRPr="00721013">
        <w:rPr>
          <w:rFonts w:ascii="Verdana" w:hAnsi="Verdana"/>
          <w:color w:val="000000" w:themeColor="text1"/>
          <w:sz w:val="20"/>
          <w:szCs w:val="20"/>
        </w:rPr>
        <w:t xml:space="preserve">A (quality) code of conduct provides favorable and foreseeable conditions for incomings. One example is the “German </w:t>
      </w:r>
      <w:r w:rsidRPr="00721013">
        <w:rPr>
          <w:rFonts w:ascii="Verdana" w:hAnsi="Verdana"/>
          <w:bCs/>
          <w:color w:val="000000" w:themeColor="text1"/>
          <w:sz w:val="20"/>
          <w:szCs w:val="20"/>
          <w:lang w:val="en-GB"/>
        </w:rPr>
        <w:t>National Code of Conduct on Foreign Students at German Higher Education Institutions”:</w:t>
      </w:r>
    </w:p>
    <w:p w:rsidR="0044097B" w:rsidRPr="00721013" w:rsidRDefault="007C5FAC" w:rsidP="00E26CCB">
      <w:pPr>
        <w:spacing w:after="0" w:line="312" w:lineRule="auto"/>
        <w:ind w:left="432"/>
        <w:jc w:val="both"/>
        <w:rPr>
          <w:rFonts w:ascii="Verdana" w:hAnsi="Verdana"/>
          <w:sz w:val="20"/>
          <w:szCs w:val="20"/>
        </w:rPr>
      </w:pPr>
      <w:hyperlink r:id="rId19" w:history="1">
        <w:r w:rsidR="0044097B" w:rsidRPr="00721013">
          <w:rPr>
            <w:rStyle w:val="Hyperlink"/>
            <w:rFonts w:ascii="Verdana" w:hAnsi="Verdana"/>
            <w:sz w:val="20"/>
            <w:szCs w:val="20"/>
          </w:rPr>
          <w:t>http://www.hrk.de/uploads/media/Text_Code_of_Conduct.pdf</w:t>
        </w:r>
      </w:hyperlink>
    </w:p>
    <w:p w:rsidR="0044097B" w:rsidRPr="00EB6BC8" w:rsidRDefault="0044097B" w:rsidP="00B07A9D">
      <w:pPr>
        <w:pStyle w:val="NoSpacing"/>
        <w:numPr>
          <w:ilvl w:val="0"/>
          <w:numId w:val="18"/>
        </w:numPr>
        <w:spacing w:line="312" w:lineRule="auto"/>
        <w:ind w:left="432" w:hanging="426"/>
        <w:jc w:val="both"/>
        <w:rPr>
          <w:rFonts w:ascii="Verdana" w:hAnsi="Verdana" w:cs="Times New Roman"/>
          <w:color w:val="000000" w:themeColor="text1"/>
          <w:sz w:val="20"/>
          <w:szCs w:val="20"/>
          <w:lang w:val="en-GB"/>
        </w:rPr>
      </w:pPr>
      <w:r w:rsidRPr="00721013">
        <w:rPr>
          <w:rFonts w:ascii="Verdana" w:hAnsi="Verdana" w:cs="Times New Roman"/>
          <w:color w:val="000000" w:themeColor="text1"/>
          <w:sz w:val="20"/>
          <w:szCs w:val="20"/>
          <w:lang w:val="en-GB"/>
        </w:rPr>
        <w:t xml:space="preserve">Incomings should, wherever possible, have the same rights and access to the same services as national students/staff and researchers, as well as be offered additional </w:t>
      </w:r>
      <w:r w:rsidR="00EB6BC8">
        <w:rPr>
          <w:rFonts w:ascii="Verdana" w:hAnsi="Verdana" w:cs="Times New Roman"/>
          <w:color w:val="000000" w:themeColor="text1"/>
          <w:sz w:val="20"/>
          <w:szCs w:val="20"/>
          <w:lang w:val="en-GB"/>
        </w:rPr>
        <w:t>special services.</w:t>
      </w:r>
    </w:p>
    <w:p w:rsidR="0044097B" w:rsidRPr="00721013" w:rsidRDefault="0044097B" w:rsidP="0044097B">
      <w:pPr>
        <w:spacing w:line="312" w:lineRule="auto"/>
        <w:jc w:val="both"/>
        <w:rPr>
          <w:rFonts w:ascii="Verdana" w:hAnsi="Verdana"/>
          <w:bCs/>
          <w:color w:val="000000" w:themeColor="text1"/>
          <w:sz w:val="20"/>
          <w:szCs w:val="20"/>
        </w:rPr>
      </w:pPr>
    </w:p>
    <w:p w:rsidR="0044097B" w:rsidRPr="00721013" w:rsidRDefault="0044097B" w:rsidP="00B07A9D">
      <w:pPr>
        <w:pStyle w:val="ListParagraph"/>
        <w:numPr>
          <w:ilvl w:val="0"/>
          <w:numId w:val="22"/>
        </w:numPr>
        <w:spacing w:line="312" w:lineRule="auto"/>
        <w:jc w:val="both"/>
        <w:rPr>
          <w:rFonts w:ascii="Verdana" w:hAnsi="Verdana"/>
          <w:i/>
          <w:sz w:val="20"/>
          <w:szCs w:val="20"/>
        </w:rPr>
      </w:pPr>
      <w:r w:rsidRPr="00721013">
        <w:rPr>
          <w:rFonts w:ascii="Verdana" w:hAnsi="Verdana"/>
          <w:bCs/>
          <w:sz w:val="20"/>
          <w:szCs w:val="20"/>
        </w:rPr>
        <w:t xml:space="preserve"> Reintegration and evaluation:</w:t>
      </w:r>
      <w:r w:rsidRPr="00721013">
        <w:rPr>
          <w:rFonts w:ascii="Verdana" w:hAnsi="Verdana"/>
          <w:sz w:val="20"/>
          <w:szCs w:val="20"/>
        </w:rPr>
        <w:t xml:space="preserve"> </w:t>
      </w:r>
      <w:r w:rsidRPr="00721013">
        <w:rPr>
          <w:rFonts w:ascii="Verdana" w:hAnsi="Verdana"/>
          <w:i/>
          <w:sz w:val="20"/>
          <w:szCs w:val="20"/>
        </w:rPr>
        <w:t>on returning to their country of origin and home institution, participants should receive guidance on how to make use of the competences acquired during their stay and, especially following a long stay, any necessary help with reintegration. Evaluation of the experience acquired should make it possible to assess whether the aims of the learning plan have been achieved. Returning candidates should be invited to share their experience via feedback and evaluation forms and should be engaged as promoters for further mobility activities.</w:t>
      </w:r>
    </w:p>
    <w:p w:rsidR="0044097B" w:rsidRPr="00721013" w:rsidRDefault="0044097B" w:rsidP="0044097B">
      <w:pPr>
        <w:spacing w:line="312" w:lineRule="auto"/>
        <w:jc w:val="both"/>
        <w:rPr>
          <w:rFonts w:ascii="Verdana" w:hAnsi="Verdana"/>
          <w:color w:val="000000" w:themeColor="text1"/>
          <w:sz w:val="20"/>
          <w:szCs w:val="20"/>
        </w:rPr>
      </w:pPr>
    </w:p>
    <w:p w:rsidR="0044097B" w:rsidRPr="00721013" w:rsidRDefault="0044097B" w:rsidP="0044097B">
      <w:pPr>
        <w:spacing w:line="312" w:lineRule="auto"/>
        <w:jc w:val="both"/>
        <w:rPr>
          <w:rFonts w:ascii="Verdana" w:hAnsi="Verdana"/>
          <w:color w:val="000000" w:themeColor="text1"/>
          <w:sz w:val="20"/>
          <w:szCs w:val="20"/>
        </w:rPr>
      </w:pPr>
      <w:r w:rsidRPr="00721013">
        <w:rPr>
          <w:rFonts w:ascii="Verdana" w:hAnsi="Verdana"/>
          <w:color w:val="000000" w:themeColor="text1"/>
          <w:sz w:val="20"/>
          <w:szCs w:val="20"/>
        </w:rPr>
        <w:t>Recommended measures:</w:t>
      </w:r>
    </w:p>
    <w:p w:rsidR="0044097B" w:rsidRPr="00721013" w:rsidRDefault="0044097B" w:rsidP="00B07A9D">
      <w:pPr>
        <w:pStyle w:val="NoSpacing"/>
        <w:numPr>
          <w:ilvl w:val="0"/>
          <w:numId w:val="20"/>
        </w:numPr>
        <w:spacing w:line="312" w:lineRule="auto"/>
        <w:ind w:left="426" w:hanging="426"/>
        <w:jc w:val="both"/>
        <w:rPr>
          <w:rFonts w:ascii="Verdana" w:hAnsi="Verdana" w:cs="Times New Roman"/>
          <w:color w:val="000000" w:themeColor="text1"/>
          <w:sz w:val="20"/>
          <w:szCs w:val="20"/>
          <w:lang w:val="en-US"/>
        </w:rPr>
      </w:pPr>
      <w:r w:rsidRPr="00721013">
        <w:rPr>
          <w:rFonts w:ascii="Verdana" w:hAnsi="Verdana" w:cs="Times New Roman"/>
          <w:color w:val="000000" w:themeColor="text1"/>
          <w:sz w:val="20"/>
          <w:szCs w:val="20"/>
          <w:lang w:val="en-US"/>
        </w:rPr>
        <w:t xml:space="preserve">There </w:t>
      </w:r>
      <w:r w:rsidRPr="00721013">
        <w:rPr>
          <w:rFonts w:ascii="Verdana" w:hAnsi="Verdana" w:cs="Times New Roman"/>
          <w:color w:val="000000" w:themeColor="text1"/>
          <w:sz w:val="20"/>
          <w:szCs w:val="20"/>
          <w:lang w:val="en-GB"/>
        </w:rPr>
        <w:t>should be an evaluation option which would help future participants to find out whether the host was helpful and to identify areas of improvement.</w:t>
      </w:r>
    </w:p>
    <w:p w:rsidR="0044097B" w:rsidRPr="00721013" w:rsidRDefault="0044097B" w:rsidP="00B07A9D">
      <w:pPr>
        <w:pStyle w:val="NoSpacing"/>
        <w:numPr>
          <w:ilvl w:val="0"/>
          <w:numId w:val="20"/>
        </w:numPr>
        <w:spacing w:line="312" w:lineRule="auto"/>
        <w:ind w:left="426" w:hanging="426"/>
        <w:jc w:val="both"/>
        <w:rPr>
          <w:rFonts w:ascii="Verdana" w:hAnsi="Verdana" w:cs="Times New Roman"/>
          <w:color w:val="000000" w:themeColor="text1"/>
          <w:sz w:val="20"/>
          <w:szCs w:val="20"/>
          <w:lang w:val="en-US"/>
        </w:rPr>
      </w:pPr>
      <w:r w:rsidRPr="00721013">
        <w:rPr>
          <w:rFonts w:ascii="Verdana" w:hAnsi="Verdana" w:cs="Times New Roman"/>
          <w:color w:val="000000" w:themeColor="text1"/>
          <w:sz w:val="20"/>
          <w:szCs w:val="20"/>
          <w:lang w:val="en-US"/>
        </w:rPr>
        <w:t>The evaluation should include measuring the students’ academic and intercultural competences before and after the mobility experience.</w:t>
      </w:r>
    </w:p>
    <w:p w:rsidR="0044097B" w:rsidRPr="00721013" w:rsidRDefault="0044097B" w:rsidP="00B07A9D">
      <w:pPr>
        <w:pStyle w:val="NoSpacing"/>
        <w:numPr>
          <w:ilvl w:val="0"/>
          <w:numId w:val="20"/>
        </w:numPr>
        <w:spacing w:line="312" w:lineRule="auto"/>
        <w:ind w:left="426" w:hanging="426"/>
        <w:jc w:val="both"/>
        <w:rPr>
          <w:rFonts w:ascii="Verdana" w:hAnsi="Verdana" w:cs="Times New Roman"/>
          <w:color w:val="000000" w:themeColor="text1"/>
          <w:sz w:val="20"/>
          <w:szCs w:val="20"/>
          <w:lang w:val="en-US"/>
        </w:rPr>
      </w:pPr>
      <w:r w:rsidRPr="00721013">
        <w:rPr>
          <w:rFonts w:ascii="Verdana" w:hAnsi="Verdana" w:cs="Times New Roman"/>
          <w:color w:val="000000" w:themeColor="text1"/>
          <w:sz w:val="20"/>
          <w:szCs w:val="20"/>
          <w:lang w:val="en-US"/>
        </w:rPr>
        <w:t>Results of the mobile participants’ feedback should be consulted in accordance with quality assurance standards, when mobility partners, curricula, or mobility windows are re-designed.</w:t>
      </w:r>
    </w:p>
    <w:p w:rsidR="0044097B" w:rsidRPr="00721013" w:rsidRDefault="0044097B" w:rsidP="00B07A9D">
      <w:pPr>
        <w:pStyle w:val="NoSpacing"/>
        <w:numPr>
          <w:ilvl w:val="0"/>
          <w:numId w:val="20"/>
        </w:numPr>
        <w:spacing w:line="312" w:lineRule="auto"/>
        <w:ind w:left="426" w:hanging="426"/>
        <w:jc w:val="both"/>
        <w:rPr>
          <w:rFonts w:ascii="Verdana" w:hAnsi="Verdana" w:cs="Times New Roman"/>
          <w:color w:val="000000" w:themeColor="text1"/>
          <w:sz w:val="20"/>
          <w:szCs w:val="20"/>
          <w:lang w:val="en-US"/>
        </w:rPr>
      </w:pPr>
      <w:r w:rsidRPr="00721013">
        <w:rPr>
          <w:rFonts w:ascii="Verdana" w:hAnsi="Verdana" w:cs="Times New Roman"/>
          <w:color w:val="000000" w:themeColor="text1"/>
          <w:sz w:val="20"/>
          <w:szCs w:val="20"/>
          <w:lang w:val="en-US"/>
        </w:rPr>
        <w:t xml:space="preserve">A post-mobility analysis of the experience should be made, in the form of presentations, seminars or discussions, with a thorough reflection of the experience and the learning </w:t>
      </w:r>
      <w:r w:rsidRPr="00721013">
        <w:rPr>
          <w:rFonts w:ascii="Verdana" w:hAnsi="Verdana" w:cs="Times New Roman"/>
          <w:color w:val="000000" w:themeColor="text1"/>
          <w:sz w:val="20"/>
          <w:szCs w:val="20"/>
          <w:lang w:val="en-US"/>
        </w:rPr>
        <w:lastRenderedPageBreak/>
        <w:t xml:space="preserve">outcomes. The acquired skills and competences should be concretely named, e.g. “I have become more flexible in stress situations”. </w:t>
      </w:r>
    </w:p>
    <w:p w:rsidR="0044097B" w:rsidRPr="00721013" w:rsidRDefault="0044097B" w:rsidP="00B07A9D">
      <w:pPr>
        <w:pStyle w:val="NoSpacing"/>
        <w:numPr>
          <w:ilvl w:val="0"/>
          <w:numId w:val="20"/>
        </w:numPr>
        <w:spacing w:line="312" w:lineRule="auto"/>
        <w:ind w:left="426" w:hanging="426"/>
        <w:jc w:val="both"/>
        <w:rPr>
          <w:rFonts w:ascii="Verdana" w:hAnsi="Verdana" w:cs="Times New Roman"/>
          <w:color w:val="000000" w:themeColor="text1"/>
          <w:sz w:val="20"/>
          <w:szCs w:val="20"/>
          <w:lang w:val="en-US"/>
        </w:rPr>
      </w:pPr>
      <w:r w:rsidRPr="00721013">
        <w:rPr>
          <w:rFonts w:ascii="Verdana" w:hAnsi="Verdana" w:cs="Times New Roman"/>
          <w:color w:val="000000" w:themeColor="text1"/>
          <w:sz w:val="20"/>
          <w:szCs w:val="20"/>
          <w:lang w:val="en-US"/>
        </w:rPr>
        <w:t>Use of the “homecomings” for “Internationalization at Home” activities or for the international “Welcome Week”.</w:t>
      </w:r>
      <w:r w:rsidRPr="00721013">
        <w:rPr>
          <w:rFonts w:ascii="Verdana" w:hAnsi="Verdana" w:cs="Times New Roman"/>
          <w:color w:val="000000" w:themeColor="text1"/>
          <w:sz w:val="20"/>
          <w:szCs w:val="20"/>
          <w:lang w:val="en-US"/>
        </w:rPr>
        <w:tab/>
      </w:r>
    </w:p>
    <w:p w:rsidR="0044097B" w:rsidRPr="00721013" w:rsidRDefault="0044097B" w:rsidP="00B07A9D">
      <w:pPr>
        <w:pStyle w:val="NoSpacing"/>
        <w:numPr>
          <w:ilvl w:val="0"/>
          <w:numId w:val="20"/>
        </w:numPr>
        <w:spacing w:line="312" w:lineRule="auto"/>
        <w:ind w:left="426" w:hanging="426"/>
        <w:jc w:val="both"/>
        <w:rPr>
          <w:rFonts w:ascii="Verdana" w:hAnsi="Verdana" w:cs="Times New Roman"/>
          <w:color w:val="000000" w:themeColor="text1"/>
          <w:sz w:val="20"/>
          <w:szCs w:val="20"/>
          <w:lang w:val="en-US"/>
        </w:rPr>
      </w:pPr>
      <w:r w:rsidRPr="00721013">
        <w:rPr>
          <w:rFonts w:ascii="Verdana" w:hAnsi="Verdana" w:cs="Times New Roman"/>
          <w:color w:val="000000" w:themeColor="text1"/>
          <w:sz w:val="20"/>
          <w:szCs w:val="20"/>
          <w:lang w:val="en-US"/>
        </w:rPr>
        <w:t>An e-portfolio or e-newsletter could serve as reference for future outgoings.</w:t>
      </w:r>
    </w:p>
    <w:p w:rsidR="0044097B" w:rsidRPr="00721013" w:rsidRDefault="0044097B" w:rsidP="0044097B">
      <w:pPr>
        <w:pStyle w:val="NoSpacing"/>
        <w:spacing w:line="312" w:lineRule="auto"/>
        <w:jc w:val="both"/>
        <w:rPr>
          <w:rFonts w:ascii="Verdana" w:hAnsi="Verdana" w:cs="Times New Roman"/>
          <w:color w:val="000000" w:themeColor="text1"/>
          <w:sz w:val="20"/>
          <w:szCs w:val="20"/>
          <w:lang w:val="en-US"/>
        </w:rPr>
      </w:pPr>
    </w:p>
    <w:p w:rsidR="0044097B" w:rsidRPr="00721013" w:rsidRDefault="0044097B" w:rsidP="00B07A9D">
      <w:pPr>
        <w:pStyle w:val="ListParagraph"/>
        <w:numPr>
          <w:ilvl w:val="0"/>
          <w:numId w:val="24"/>
        </w:numPr>
        <w:spacing w:line="312" w:lineRule="auto"/>
        <w:jc w:val="both"/>
        <w:rPr>
          <w:rFonts w:ascii="Verdana" w:hAnsi="Verdana"/>
          <w:sz w:val="20"/>
          <w:szCs w:val="20"/>
          <w:lang w:val="en-GB"/>
        </w:rPr>
      </w:pPr>
      <w:r w:rsidRPr="00721013">
        <w:rPr>
          <w:rFonts w:ascii="Verdana" w:hAnsi="Verdana"/>
          <w:bCs/>
          <w:sz w:val="20"/>
          <w:szCs w:val="20"/>
        </w:rPr>
        <w:t>Commitments and responsibilities:</w:t>
      </w:r>
      <w:r w:rsidRPr="00721013">
        <w:rPr>
          <w:rFonts w:ascii="Verdana" w:hAnsi="Verdana"/>
          <w:sz w:val="20"/>
          <w:szCs w:val="20"/>
        </w:rPr>
        <w:t xml:space="preserve"> the responsibilities arising from these quality criteria must be agreed and, in particular, confirmed in writing by all parties (sending and host institutions as well as participants).</w:t>
      </w:r>
    </w:p>
    <w:p w:rsidR="0044097B" w:rsidRPr="00721013" w:rsidRDefault="0044097B" w:rsidP="0044097B">
      <w:pPr>
        <w:spacing w:line="312" w:lineRule="auto"/>
        <w:jc w:val="both"/>
        <w:rPr>
          <w:rFonts w:ascii="Verdana" w:hAnsi="Verdana"/>
          <w:color w:val="000000" w:themeColor="text1"/>
          <w:sz w:val="20"/>
          <w:szCs w:val="20"/>
          <w:lang w:val="en-GB"/>
        </w:rPr>
      </w:pPr>
    </w:p>
    <w:p w:rsidR="0003549C" w:rsidRPr="0003549C" w:rsidRDefault="0003549C" w:rsidP="00437948">
      <w:pPr>
        <w:spacing w:after="0" w:line="312" w:lineRule="auto"/>
        <w:rPr>
          <w:rFonts w:ascii="Verdana" w:hAnsi="Verdana"/>
          <w:b/>
          <w:lang w:val="en-GB"/>
        </w:rPr>
      </w:pPr>
      <w:r>
        <w:rPr>
          <w:rFonts w:ascii="Verdana" w:hAnsi="Verdana"/>
          <w:b/>
          <w:lang w:val="en-GB"/>
        </w:rPr>
        <w:t>ANNEX V</w:t>
      </w:r>
      <w:r w:rsidR="00703289">
        <w:rPr>
          <w:rFonts w:ascii="Verdana" w:hAnsi="Verdana"/>
          <w:b/>
          <w:lang w:val="en-GB"/>
        </w:rPr>
        <w:t>I</w:t>
      </w:r>
      <w:r w:rsidRPr="00D15386">
        <w:rPr>
          <w:rFonts w:ascii="Verdana" w:hAnsi="Verdana"/>
          <w:b/>
          <w:lang w:val="en-GB"/>
        </w:rPr>
        <w:t xml:space="preserve">: </w:t>
      </w:r>
      <w:r w:rsidR="00D15386" w:rsidRPr="00D15386">
        <w:rPr>
          <w:rFonts w:ascii="Verdana" w:hAnsi="Verdana"/>
          <w:b/>
          <w:bCs/>
        </w:rPr>
        <w:t>Overcoming underrepresentation in student credit mobility</w:t>
      </w:r>
    </w:p>
    <w:p w:rsidR="00437948" w:rsidRDefault="00437948" w:rsidP="00437948">
      <w:pPr>
        <w:spacing w:after="0" w:line="312" w:lineRule="auto"/>
        <w:rPr>
          <w:rFonts w:ascii="Verdana" w:hAnsi="Verdana"/>
          <w:sz w:val="20"/>
          <w:szCs w:val="20"/>
          <w:lang w:val="en-GB"/>
        </w:rPr>
      </w:pPr>
    </w:p>
    <w:p w:rsidR="00BD2329" w:rsidRPr="00ED00EA" w:rsidRDefault="00BD2329" w:rsidP="00BD2329">
      <w:pPr>
        <w:pStyle w:val="Default"/>
        <w:spacing w:line="312" w:lineRule="auto"/>
        <w:jc w:val="both"/>
        <w:rPr>
          <w:rFonts w:ascii="Verdana" w:hAnsi="Verdana"/>
          <w:sz w:val="20"/>
          <w:szCs w:val="20"/>
        </w:rPr>
      </w:pPr>
      <w:r w:rsidRPr="00ED00EA">
        <w:rPr>
          <w:rFonts w:ascii="Verdana" w:hAnsi="Verdana"/>
          <w:sz w:val="20"/>
          <w:szCs w:val="20"/>
        </w:rPr>
        <w:t>Student mobility is one of the key topics in European higher education policy and the data base is still somewhat sketchy and insufficient, especially on underrepresented student populations. Simultaneously, awareness of unequal chances of participation has risen, which is why also the interest for subjective and structural obstacles to mobility is increasing (see European Commission 2011, BFUG 2012).</w:t>
      </w:r>
      <w:r w:rsidRPr="00ED00EA">
        <w:rPr>
          <w:rStyle w:val="FootnoteReference"/>
          <w:rFonts w:ascii="Verdana" w:hAnsi="Verdana"/>
          <w:sz w:val="20"/>
          <w:szCs w:val="20"/>
        </w:rPr>
        <w:footnoteReference w:id="7"/>
      </w:r>
      <w:r w:rsidRPr="00ED00EA">
        <w:rPr>
          <w:rFonts w:ascii="Verdana" w:hAnsi="Verdana"/>
          <w:sz w:val="20"/>
          <w:szCs w:val="20"/>
        </w:rPr>
        <w:t xml:space="preserve"> The exclusion of underrepresented student groups from mobility leads to the loss of much talents and expertise which are necessary to cope with the challenges of today and tomorrow, and it is of utmost importance to take remedial measures.</w:t>
      </w:r>
    </w:p>
    <w:p w:rsidR="00BD2329" w:rsidRPr="00ED00EA" w:rsidRDefault="00BD2329" w:rsidP="00BD2329">
      <w:pPr>
        <w:pStyle w:val="Default"/>
        <w:spacing w:line="312" w:lineRule="auto"/>
        <w:jc w:val="both"/>
        <w:rPr>
          <w:rFonts w:ascii="Verdana" w:hAnsi="Verdana"/>
          <w:sz w:val="20"/>
          <w:szCs w:val="20"/>
        </w:rPr>
      </w:pPr>
    </w:p>
    <w:p w:rsidR="00BD2329" w:rsidRDefault="00BD2329" w:rsidP="00BD2329">
      <w:pPr>
        <w:pStyle w:val="Default"/>
        <w:spacing w:line="312" w:lineRule="auto"/>
        <w:jc w:val="both"/>
        <w:rPr>
          <w:rFonts w:ascii="Verdana" w:hAnsi="Verdana"/>
          <w:sz w:val="20"/>
          <w:szCs w:val="20"/>
        </w:rPr>
      </w:pPr>
      <w:r w:rsidRPr="00ED00EA">
        <w:rPr>
          <w:rFonts w:ascii="Verdana" w:hAnsi="Verdana"/>
          <w:sz w:val="20"/>
          <w:szCs w:val="20"/>
        </w:rPr>
        <w:t>The major outcomes of the study „Mobility in the EHEA: Underrepresentation in student credit mobility and imbalances in degree mobility” (2014)</w:t>
      </w:r>
      <w:r w:rsidRPr="00ED00EA">
        <w:rPr>
          <w:rStyle w:val="FootnoteReference"/>
          <w:rFonts w:ascii="Verdana" w:hAnsi="Verdana"/>
          <w:sz w:val="20"/>
          <w:szCs w:val="20"/>
        </w:rPr>
        <w:footnoteReference w:id="8"/>
      </w:r>
      <w:r w:rsidRPr="00ED00EA">
        <w:rPr>
          <w:rFonts w:ascii="Verdana" w:hAnsi="Verdana"/>
          <w:sz w:val="20"/>
          <w:szCs w:val="20"/>
        </w:rPr>
        <w:t xml:space="preserve"> show that:</w:t>
      </w:r>
    </w:p>
    <w:p w:rsidR="00BD2329" w:rsidRPr="00ED00EA" w:rsidRDefault="00BD2329" w:rsidP="00BD2329">
      <w:pPr>
        <w:pStyle w:val="Default"/>
        <w:spacing w:line="312" w:lineRule="auto"/>
        <w:jc w:val="both"/>
        <w:rPr>
          <w:rFonts w:ascii="Verdana" w:hAnsi="Verdana"/>
          <w:sz w:val="20"/>
          <w:szCs w:val="20"/>
        </w:rPr>
      </w:pPr>
    </w:p>
    <w:p w:rsidR="00BD2329" w:rsidRDefault="00BD2329" w:rsidP="00B07A9D">
      <w:pPr>
        <w:pStyle w:val="Default"/>
        <w:numPr>
          <w:ilvl w:val="0"/>
          <w:numId w:val="26"/>
        </w:numPr>
        <w:spacing w:line="312" w:lineRule="auto"/>
        <w:jc w:val="both"/>
        <w:rPr>
          <w:rFonts w:ascii="Verdana" w:hAnsi="Verdana"/>
          <w:sz w:val="20"/>
          <w:szCs w:val="20"/>
        </w:rPr>
      </w:pPr>
      <w:r>
        <w:rPr>
          <w:rFonts w:ascii="Verdana" w:hAnsi="Verdana"/>
          <w:sz w:val="20"/>
          <w:szCs w:val="20"/>
        </w:rPr>
        <w:t>A</w:t>
      </w:r>
      <w:r w:rsidRPr="00ED00EA">
        <w:rPr>
          <w:rFonts w:ascii="Verdana" w:hAnsi="Verdana"/>
          <w:sz w:val="20"/>
          <w:szCs w:val="20"/>
        </w:rPr>
        <w:t>cross Europe, there are primarily three groups underrepresented in temporary enrolment: students from a low educational background, students with delayed transition into higher education and older students;</w:t>
      </w:r>
    </w:p>
    <w:p w:rsidR="00BD2329" w:rsidRPr="00ED00EA" w:rsidRDefault="00BD2329" w:rsidP="00B07A9D">
      <w:pPr>
        <w:pStyle w:val="Default"/>
        <w:numPr>
          <w:ilvl w:val="0"/>
          <w:numId w:val="26"/>
        </w:numPr>
        <w:spacing w:line="312" w:lineRule="auto"/>
        <w:jc w:val="both"/>
        <w:rPr>
          <w:rFonts w:ascii="Verdana" w:hAnsi="Verdana"/>
          <w:sz w:val="20"/>
          <w:szCs w:val="20"/>
        </w:rPr>
      </w:pPr>
      <w:r>
        <w:rPr>
          <w:rFonts w:ascii="Verdana" w:hAnsi="Verdana"/>
          <w:sz w:val="20"/>
          <w:szCs w:val="20"/>
        </w:rPr>
        <w:t>F</w:t>
      </w:r>
      <w:r w:rsidRPr="00ED00EA">
        <w:rPr>
          <w:rFonts w:ascii="Verdana" w:hAnsi="Verdana"/>
          <w:sz w:val="20"/>
          <w:szCs w:val="20"/>
        </w:rPr>
        <w:t>inancial issues are the most obstructing ones for students across Europe, for older students it is more their living conditions (family/ partner/ children) that are hindering a temporary enrolment abroad.</w:t>
      </w:r>
    </w:p>
    <w:p w:rsidR="00BD2329" w:rsidRPr="00ED00EA" w:rsidRDefault="00BD2329" w:rsidP="00BD2329">
      <w:pPr>
        <w:pStyle w:val="Default"/>
        <w:spacing w:line="312" w:lineRule="auto"/>
        <w:jc w:val="both"/>
        <w:rPr>
          <w:rFonts w:ascii="Verdana" w:hAnsi="Verdana"/>
          <w:sz w:val="20"/>
          <w:szCs w:val="20"/>
        </w:rPr>
      </w:pPr>
    </w:p>
    <w:p w:rsidR="00BD2329" w:rsidRPr="00ED00EA" w:rsidRDefault="00BD2329" w:rsidP="00BD2329">
      <w:pPr>
        <w:pStyle w:val="Default"/>
        <w:spacing w:line="312" w:lineRule="auto"/>
        <w:jc w:val="both"/>
        <w:rPr>
          <w:rFonts w:ascii="Verdana" w:hAnsi="Verdana"/>
          <w:sz w:val="20"/>
          <w:szCs w:val="20"/>
        </w:rPr>
      </w:pPr>
      <w:r w:rsidRPr="00ED00EA">
        <w:rPr>
          <w:rFonts w:ascii="Verdana" w:hAnsi="Verdana"/>
          <w:sz w:val="20"/>
          <w:szCs w:val="20"/>
        </w:rPr>
        <w:t>Further obstacles to mobility have been outlined and analyzed in “The EHEA 2012: Bologna Process Implementation Report”</w:t>
      </w:r>
      <w:r w:rsidRPr="00ED00EA">
        <w:rPr>
          <w:rStyle w:val="FootnoteReference"/>
          <w:rFonts w:ascii="Verdana" w:hAnsi="Verdana"/>
          <w:sz w:val="20"/>
          <w:szCs w:val="20"/>
        </w:rPr>
        <w:footnoteReference w:id="9"/>
      </w:r>
      <w:r w:rsidRPr="00ED00EA">
        <w:rPr>
          <w:rFonts w:ascii="Verdana" w:hAnsi="Verdana"/>
          <w:sz w:val="20"/>
          <w:szCs w:val="20"/>
        </w:rPr>
        <w:t xml:space="preserve"> regarding funding, recognition, languages, </w:t>
      </w:r>
      <w:r w:rsidRPr="00ED00EA">
        <w:rPr>
          <w:rFonts w:ascii="Verdana" w:hAnsi="Verdana"/>
          <w:sz w:val="20"/>
          <w:szCs w:val="20"/>
        </w:rPr>
        <w:lastRenderedPageBreak/>
        <w:t>curriculum/study organization, legal issues, lack of information and encouragement, student’s personal situation. However, apart from information considering “students who have not been enrolled abroad considering financial insecurities as (big) obstacle to an enrolment abroad by social background”, there is hardly further comparable data available. Only a few countries have prepared specific reports and surveys analyzing obstacles to underrepresented students’ mobility. There is still considerable room for action at national level to support research to understand these phenomena in greater detail.</w:t>
      </w:r>
    </w:p>
    <w:p w:rsidR="00BD2329" w:rsidRDefault="00BD2329" w:rsidP="00BD2329">
      <w:pPr>
        <w:pStyle w:val="Default"/>
        <w:spacing w:line="312" w:lineRule="auto"/>
        <w:jc w:val="both"/>
        <w:rPr>
          <w:rFonts w:ascii="Verdana" w:hAnsi="Verdana"/>
          <w:sz w:val="20"/>
          <w:szCs w:val="20"/>
        </w:rPr>
      </w:pPr>
      <w:r w:rsidRPr="00ED00EA">
        <w:rPr>
          <w:rFonts w:ascii="Verdana" w:hAnsi="Verdana"/>
          <w:sz w:val="20"/>
          <w:szCs w:val="20"/>
        </w:rPr>
        <w:t>These results underpin the mobility aims and targets formulated in the Mobility strategy 2020 for the EHEA</w:t>
      </w:r>
      <w:r w:rsidRPr="00ED00EA">
        <w:rPr>
          <w:rStyle w:val="FootnoteReference"/>
          <w:rFonts w:ascii="Verdana" w:hAnsi="Verdana"/>
          <w:sz w:val="20"/>
          <w:szCs w:val="20"/>
        </w:rPr>
        <w:footnoteReference w:id="10"/>
      </w:r>
      <w:r w:rsidRPr="00ED00EA">
        <w:rPr>
          <w:rFonts w:ascii="Verdana" w:hAnsi="Verdana"/>
          <w:sz w:val="20"/>
          <w:szCs w:val="20"/>
        </w:rPr>
        <w:t xml:space="preserve"> (Bu</w:t>
      </w:r>
      <w:r>
        <w:rPr>
          <w:rFonts w:ascii="Verdana" w:hAnsi="Verdana"/>
          <w:sz w:val="20"/>
          <w:szCs w:val="20"/>
        </w:rPr>
        <w:t>charest 2012), most prominently;</w:t>
      </w:r>
    </w:p>
    <w:p w:rsidR="00BD2329" w:rsidRPr="00ED00EA" w:rsidRDefault="00BD2329" w:rsidP="00BD2329">
      <w:pPr>
        <w:pStyle w:val="Default"/>
        <w:spacing w:line="312" w:lineRule="auto"/>
        <w:jc w:val="both"/>
        <w:rPr>
          <w:rFonts w:ascii="Verdana" w:hAnsi="Verdana"/>
          <w:sz w:val="20"/>
          <w:szCs w:val="20"/>
        </w:rPr>
      </w:pPr>
      <w:r w:rsidRPr="00ED00EA">
        <w:rPr>
          <w:rFonts w:ascii="Verdana" w:hAnsi="Verdana"/>
          <w:sz w:val="20"/>
          <w:szCs w:val="20"/>
        </w:rPr>
        <w:t xml:space="preserve"> </w:t>
      </w:r>
    </w:p>
    <w:p w:rsidR="00BD2329" w:rsidRPr="00ED00EA" w:rsidRDefault="00BD2329" w:rsidP="00B07A9D">
      <w:pPr>
        <w:pStyle w:val="Default"/>
        <w:numPr>
          <w:ilvl w:val="0"/>
          <w:numId w:val="27"/>
        </w:numPr>
        <w:spacing w:line="312" w:lineRule="auto"/>
        <w:jc w:val="both"/>
        <w:rPr>
          <w:rFonts w:ascii="Verdana" w:hAnsi="Verdana"/>
          <w:sz w:val="20"/>
          <w:szCs w:val="20"/>
        </w:rPr>
      </w:pPr>
      <w:r w:rsidRPr="00ED00EA">
        <w:rPr>
          <w:rFonts w:ascii="Verdana" w:hAnsi="Verdana"/>
          <w:sz w:val="20"/>
          <w:szCs w:val="20"/>
        </w:rPr>
        <w:t xml:space="preserve">that “[the European ministers responsible for higher education] will give extra attention and opportunities to under-represented groups to be mobile and </w:t>
      </w:r>
      <w:proofErr w:type="spellStart"/>
      <w:r w:rsidRPr="00ED00EA">
        <w:rPr>
          <w:rFonts w:ascii="Verdana" w:hAnsi="Verdana"/>
          <w:sz w:val="20"/>
          <w:szCs w:val="20"/>
        </w:rPr>
        <w:t>recognise</w:t>
      </w:r>
      <w:proofErr w:type="spellEnd"/>
      <w:r w:rsidRPr="00ED00EA">
        <w:rPr>
          <w:rFonts w:ascii="Verdana" w:hAnsi="Verdana"/>
          <w:sz w:val="20"/>
          <w:szCs w:val="20"/>
        </w:rPr>
        <w:t xml:space="preserve"> the importance of adequate student support services to this end”</w:t>
      </w:r>
      <w:r>
        <w:rPr>
          <w:rFonts w:ascii="Verdana" w:hAnsi="Verdana"/>
          <w:sz w:val="20"/>
          <w:szCs w:val="20"/>
        </w:rPr>
        <w:t>;</w:t>
      </w:r>
    </w:p>
    <w:p w:rsidR="00BD2329" w:rsidRPr="00ED00EA" w:rsidRDefault="00BD2329" w:rsidP="00B07A9D">
      <w:pPr>
        <w:pStyle w:val="Default"/>
        <w:numPr>
          <w:ilvl w:val="0"/>
          <w:numId w:val="27"/>
        </w:numPr>
        <w:spacing w:line="312" w:lineRule="auto"/>
        <w:jc w:val="both"/>
        <w:rPr>
          <w:rFonts w:ascii="Verdana" w:hAnsi="Verdana"/>
          <w:sz w:val="20"/>
          <w:szCs w:val="20"/>
        </w:rPr>
      </w:pPr>
      <w:r w:rsidRPr="00ED00EA">
        <w:rPr>
          <w:rFonts w:ascii="Verdana" w:hAnsi="Verdana"/>
          <w:sz w:val="20"/>
          <w:szCs w:val="20"/>
        </w:rPr>
        <w:t xml:space="preserve">“[…] where applicable, EHEA countries in co-operation with the European Commission and </w:t>
      </w:r>
      <w:proofErr w:type="spellStart"/>
      <w:r w:rsidRPr="00ED00EA">
        <w:rPr>
          <w:rFonts w:ascii="Verdana" w:hAnsi="Verdana"/>
          <w:sz w:val="20"/>
          <w:szCs w:val="20"/>
        </w:rPr>
        <w:t>Eurostudent</w:t>
      </w:r>
      <w:proofErr w:type="spellEnd"/>
      <w:r w:rsidRPr="00ED00EA">
        <w:rPr>
          <w:rFonts w:ascii="Verdana" w:hAnsi="Verdana"/>
          <w:sz w:val="20"/>
          <w:szCs w:val="20"/>
        </w:rPr>
        <w:t xml:space="preserve"> shall develop and provide data on t</w:t>
      </w:r>
      <w:r>
        <w:rPr>
          <w:rFonts w:ascii="Verdana" w:hAnsi="Verdana"/>
          <w:sz w:val="20"/>
          <w:szCs w:val="20"/>
        </w:rPr>
        <w:t>he social dimension of mobility</w:t>
      </w:r>
      <w:r w:rsidRPr="00ED00EA">
        <w:rPr>
          <w:rFonts w:ascii="Verdana" w:hAnsi="Verdana"/>
          <w:sz w:val="20"/>
          <w:szCs w:val="20"/>
        </w:rPr>
        <w:t>”</w:t>
      </w:r>
      <w:r>
        <w:rPr>
          <w:rFonts w:ascii="Verdana" w:hAnsi="Verdana"/>
          <w:sz w:val="20"/>
          <w:szCs w:val="20"/>
        </w:rPr>
        <w:t>;</w:t>
      </w:r>
    </w:p>
    <w:p w:rsidR="00BD2329" w:rsidRPr="00ED00EA" w:rsidRDefault="00BD2329" w:rsidP="00B07A9D">
      <w:pPr>
        <w:pStyle w:val="Default"/>
        <w:numPr>
          <w:ilvl w:val="0"/>
          <w:numId w:val="27"/>
        </w:numPr>
        <w:spacing w:line="312" w:lineRule="auto"/>
        <w:jc w:val="both"/>
        <w:rPr>
          <w:rFonts w:ascii="Verdana" w:hAnsi="Verdana"/>
          <w:sz w:val="20"/>
          <w:szCs w:val="20"/>
        </w:rPr>
      </w:pPr>
      <w:r w:rsidRPr="00ED00EA">
        <w:rPr>
          <w:rFonts w:ascii="Verdana" w:hAnsi="Verdana"/>
          <w:sz w:val="20"/>
          <w:szCs w:val="20"/>
        </w:rPr>
        <w:t xml:space="preserve">“We call on higher education institutions to pay attention to the mobility and international competence of their staff, in particular to give fair and formal recognition for competences gained abroad, to offer attractive incentives for their greater participation in </w:t>
      </w:r>
      <w:proofErr w:type="spellStart"/>
      <w:r w:rsidRPr="00ED00EA">
        <w:rPr>
          <w:rFonts w:ascii="Verdana" w:hAnsi="Verdana"/>
          <w:sz w:val="20"/>
          <w:szCs w:val="20"/>
        </w:rPr>
        <w:t>internationalisation</w:t>
      </w:r>
      <w:proofErr w:type="spellEnd"/>
      <w:r w:rsidRPr="00ED00EA">
        <w:rPr>
          <w:rFonts w:ascii="Verdana" w:hAnsi="Verdana"/>
          <w:sz w:val="20"/>
          <w:szCs w:val="20"/>
        </w:rPr>
        <w:t xml:space="preserve"> and mobility measures as well as to ensure good working conditions for mobile staff”</w:t>
      </w:r>
      <w:r>
        <w:rPr>
          <w:rFonts w:ascii="Verdana" w:hAnsi="Verdana"/>
          <w:sz w:val="20"/>
          <w:szCs w:val="20"/>
        </w:rPr>
        <w:t>.</w:t>
      </w:r>
    </w:p>
    <w:p w:rsidR="00BD2329" w:rsidRPr="00ED00EA" w:rsidRDefault="00BD2329" w:rsidP="00BD2329">
      <w:pPr>
        <w:pStyle w:val="Default"/>
        <w:spacing w:line="312" w:lineRule="auto"/>
        <w:jc w:val="both"/>
        <w:rPr>
          <w:rFonts w:ascii="Verdana" w:hAnsi="Verdana"/>
          <w:sz w:val="20"/>
          <w:szCs w:val="20"/>
        </w:rPr>
      </w:pPr>
    </w:p>
    <w:p w:rsidR="00BD2329" w:rsidRPr="00ED00EA" w:rsidRDefault="00BD2329" w:rsidP="00BD2329">
      <w:pPr>
        <w:pStyle w:val="Default"/>
        <w:spacing w:line="312" w:lineRule="auto"/>
        <w:jc w:val="both"/>
        <w:rPr>
          <w:rFonts w:ascii="Verdana" w:hAnsi="Verdana"/>
          <w:sz w:val="20"/>
          <w:szCs w:val="20"/>
        </w:rPr>
      </w:pPr>
      <w:r w:rsidRPr="00ED00EA">
        <w:rPr>
          <w:rFonts w:ascii="Verdana" w:hAnsi="Verdana"/>
          <w:b/>
          <w:bCs/>
          <w:sz w:val="20"/>
          <w:szCs w:val="20"/>
        </w:rPr>
        <w:t xml:space="preserve">Better data to address the problem of underrepresentation </w:t>
      </w:r>
    </w:p>
    <w:p w:rsidR="00BD2329" w:rsidRPr="00ED00EA" w:rsidRDefault="00BD2329" w:rsidP="00BD2329">
      <w:pPr>
        <w:pStyle w:val="Default"/>
        <w:spacing w:line="312" w:lineRule="auto"/>
        <w:jc w:val="both"/>
        <w:rPr>
          <w:rFonts w:ascii="Verdana" w:hAnsi="Verdana"/>
          <w:sz w:val="20"/>
          <w:szCs w:val="20"/>
        </w:rPr>
      </w:pPr>
    </w:p>
    <w:p w:rsidR="00BD2329" w:rsidRDefault="00BD2329" w:rsidP="00BD2329">
      <w:pPr>
        <w:pStyle w:val="Default"/>
        <w:spacing w:line="312" w:lineRule="auto"/>
        <w:jc w:val="both"/>
        <w:rPr>
          <w:rFonts w:ascii="Verdana" w:hAnsi="Verdana"/>
          <w:sz w:val="20"/>
          <w:szCs w:val="20"/>
        </w:rPr>
      </w:pPr>
      <w:r w:rsidRPr="00ED00EA">
        <w:rPr>
          <w:rFonts w:ascii="Verdana" w:hAnsi="Verdana"/>
          <w:sz w:val="20"/>
          <w:szCs w:val="20"/>
        </w:rPr>
        <w:t xml:space="preserve">All EHEA-member countries should identify the underrepresented groups in their higher education systems, the reasons which prevent them from being mobile, and the remedial actions to be taken. </w:t>
      </w:r>
    </w:p>
    <w:p w:rsidR="00BD2329" w:rsidRPr="00ED00EA" w:rsidRDefault="00BD2329" w:rsidP="00BD2329">
      <w:pPr>
        <w:pStyle w:val="Default"/>
        <w:spacing w:line="312" w:lineRule="auto"/>
        <w:jc w:val="both"/>
        <w:rPr>
          <w:rFonts w:ascii="Verdana" w:hAnsi="Verdana"/>
          <w:sz w:val="20"/>
          <w:szCs w:val="20"/>
        </w:rPr>
      </w:pPr>
    </w:p>
    <w:p w:rsidR="00BD2329" w:rsidRDefault="00BD2329" w:rsidP="00BD2329">
      <w:pPr>
        <w:pStyle w:val="Default"/>
        <w:spacing w:line="312" w:lineRule="auto"/>
        <w:jc w:val="both"/>
        <w:rPr>
          <w:rFonts w:ascii="Verdana" w:hAnsi="Verdana"/>
          <w:sz w:val="20"/>
          <w:szCs w:val="20"/>
        </w:rPr>
      </w:pPr>
      <w:r w:rsidRPr="00ED00EA">
        <w:rPr>
          <w:rFonts w:ascii="Verdana" w:hAnsi="Verdana"/>
          <w:sz w:val="20"/>
          <w:szCs w:val="20"/>
        </w:rPr>
        <w:t xml:space="preserve">Data should not only focus on credit mobility but also on traineeships and other forms of mobility to be able to analyze questions like the following: Who choses which type of mobility and why? Are there specific obstacles which prevent certain groups from being mobile or using other forms of mobility? </w:t>
      </w:r>
    </w:p>
    <w:p w:rsidR="00BD2329" w:rsidRPr="00ED00EA" w:rsidRDefault="00BD2329" w:rsidP="00BD2329">
      <w:pPr>
        <w:pStyle w:val="Default"/>
        <w:spacing w:line="312" w:lineRule="auto"/>
        <w:jc w:val="both"/>
        <w:rPr>
          <w:rFonts w:ascii="Verdana" w:hAnsi="Verdana"/>
          <w:sz w:val="20"/>
          <w:szCs w:val="20"/>
        </w:rPr>
      </w:pPr>
    </w:p>
    <w:p w:rsidR="00BD2329" w:rsidRPr="00ED00EA" w:rsidRDefault="00BD2329" w:rsidP="00BD2329">
      <w:pPr>
        <w:pStyle w:val="Default"/>
        <w:spacing w:line="312" w:lineRule="auto"/>
        <w:jc w:val="both"/>
        <w:rPr>
          <w:rFonts w:ascii="Verdana" w:hAnsi="Verdana"/>
          <w:sz w:val="20"/>
          <w:szCs w:val="20"/>
        </w:rPr>
      </w:pPr>
      <w:r w:rsidRPr="00ED00EA">
        <w:rPr>
          <w:rFonts w:ascii="Verdana" w:hAnsi="Verdana"/>
          <w:sz w:val="20"/>
          <w:szCs w:val="20"/>
        </w:rPr>
        <w:t>Data should not only include the groups identified in the Austrian study but should cover others, such as students with children, working students, students with disabilities, students from ethnic minorities or students with migration background, “second chance students”, etc.</w:t>
      </w:r>
    </w:p>
    <w:p w:rsidR="00BD2329" w:rsidRPr="00ED00EA" w:rsidRDefault="00BD2329" w:rsidP="00BD2329">
      <w:pPr>
        <w:pStyle w:val="Default"/>
        <w:spacing w:line="312" w:lineRule="auto"/>
        <w:jc w:val="both"/>
        <w:rPr>
          <w:rFonts w:ascii="Verdana" w:hAnsi="Verdana"/>
          <w:sz w:val="20"/>
          <w:szCs w:val="20"/>
        </w:rPr>
      </w:pPr>
      <w:r w:rsidRPr="00ED00EA">
        <w:rPr>
          <w:rFonts w:ascii="Verdana" w:hAnsi="Verdana"/>
          <w:sz w:val="20"/>
          <w:szCs w:val="20"/>
        </w:rPr>
        <w:t xml:space="preserve"> </w:t>
      </w:r>
    </w:p>
    <w:p w:rsidR="00BD2329" w:rsidRPr="00ED00EA" w:rsidRDefault="00BD2329" w:rsidP="00BD2329">
      <w:pPr>
        <w:pStyle w:val="Default"/>
        <w:spacing w:line="312" w:lineRule="auto"/>
        <w:jc w:val="both"/>
        <w:rPr>
          <w:rFonts w:ascii="Verdana" w:hAnsi="Verdana"/>
          <w:sz w:val="20"/>
          <w:szCs w:val="20"/>
        </w:rPr>
      </w:pPr>
      <w:r w:rsidRPr="00ED00EA">
        <w:rPr>
          <w:rFonts w:ascii="Verdana" w:hAnsi="Verdana"/>
          <w:b/>
          <w:bCs/>
          <w:sz w:val="20"/>
          <w:szCs w:val="20"/>
        </w:rPr>
        <w:lastRenderedPageBreak/>
        <w:t xml:space="preserve">Addressing the main obstacles </w:t>
      </w:r>
    </w:p>
    <w:p w:rsidR="00BD2329" w:rsidRPr="00ED00EA" w:rsidRDefault="00BD2329" w:rsidP="00BD2329">
      <w:pPr>
        <w:pStyle w:val="Default"/>
        <w:spacing w:line="312" w:lineRule="auto"/>
        <w:jc w:val="both"/>
        <w:rPr>
          <w:rFonts w:ascii="Verdana" w:hAnsi="Verdana"/>
          <w:sz w:val="20"/>
          <w:szCs w:val="20"/>
        </w:rPr>
      </w:pPr>
    </w:p>
    <w:p w:rsidR="00BD2329" w:rsidRPr="00ED00EA" w:rsidRDefault="00BD2329" w:rsidP="00BD2329">
      <w:pPr>
        <w:pStyle w:val="Default"/>
        <w:spacing w:line="312" w:lineRule="auto"/>
        <w:jc w:val="both"/>
        <w:rPr>
          <w:rFonts w:ascii="Verdana" w:hAnsi="Verdana"/>
          <w:sz w:val="20"/>
          <w:szCs w:val="20"/>
        </w:rPr>
      </w:pPr>
      <w:r w:rsidRPr="00ED00EA">
        <w:rPr>
          <w:rFonts w:ascii="Verdana" w:hAnsi="Verdana"/>
          <w:sz w:val="20"/>
          <w:szCs w:val="20"/>
        </w:rPr>
        <w:t xml:space="preserve">Most of the obstacles to mobility identified in the study “Mobility in the EHEA: Underrepresentation in student credit mobility and imbalances in degree mobility” have already been addressed by the Ministerial Conference (Bucharest 2012). </w:t>
      </w:r>
    </w:p>
    <w:p w:rsidR="00BD2329" w:rsidRPr="00ED00EA" w:rsidRDefault="00BD2329" w:rsidP="00BD2329">
      <w:pPr>
        <w:pStyle w:val="Default"/>
        <w:spacing w:line="312" w:lineRule="auto"/>
        <w:jc w:val="both"/>
        <w:rPr>
          <w:rFonts w:ascii="Verdana" w:hAnsi="Verdana"/>
          <w:sz w:val="20"/>
          <w:szCs w:val="20"/>
        </w:rPr>
      </w:pPr>
    </w:p>
    <w:p w:rsidR="00BD2329" w:rsidRPr="00ED00EA" w:rsidRDefault="00BD2329" w:rsidP="00BD2329">
      <w:pPr>
        <w:pStyle w:val="Default"/>
        <w:spacing w:line="312" w:lineRule="auto"/>
        <w:jc w:val="both"/>
        <w:rPr>
          <w:rFonts w:ascii="Verdana" w:hAnsi="Verdana"/>
          <w:sz w:val="20"/>
          <w:szCs w:val="20"/>
        </w:rPr>
      </w:pPr>
      <w:r w:rsidRPr="00ED00EA">
        <w:rPr>
          <w:rFonts w:ascii="Verdana" w:hAnsi="Verdana"/>
          <w:sz w:val="20"/>
          <w:szCs w:val="20"/>
        </w:rPr>
        <w:t>It is inevitable to take regional differences into consideration. According to the data of the study, there is a general picture of underrepresented students: students from low education background, students with delayed transition into higher education and older students.</w:t>
      </w:r>
    </w:p>
    <w:p w:rsidR="00BD2329" w:rsidRPr="00ED00EA" w:rsidRDefault="00BD2329" w:rsidP="00BD2329">
      <w:pPr>
        <w:pStyle w:val="Default"/>
        <w:spacing w:line="312" w:lineRule="auto"/>
        <w:jc w:val="both"/>
        <w:rPr>
          <w:rFonts w:ascii="Verdana" w:hAnsi="Verdana"/>
          <w:sz w:val="20"/>
          <w:szCs w:val="20"/>
        </w:rPr>
      </w:pPr>
    </w:p>
    <w:p w:rsidR="00BD2329" w:rsidRPr="00ED00EA" w:rsidRDefault="00BD2329" w:rsidP="00BD2329">
      <w:pPr>
        <w:pStyle w:val="Default"/>
        <w:spacing w:line="312" w:lineRule="auto"/>
        <w:jc w:val="both"/>
        <w:rPr>
          <w:rFonts w:ascii="Verdana" w:hAnsi="Verdana"/>
          <w:sz w:val="20"/>
          <w:szCs w:val="20"/>
        </w:rPr>
      </w:pPr>
      <w:r w:rsidRPr="00ED00EA">
        <w:rPr>
          <w:rFonts w:ascii="Verdana" w:hAnsi="Verdana"/>
          <w:sz w:val="20"/>
          <w:szCs w:val="20"/>
        </w:rPr>
        <w:t>These three groups are often intersectional: Older students have often started a working career after graduating from secondary school and found their way into higher education more than two years after graduation from secondary school. As students from lower education background are more likely to choose a non-traditional education track or to enter higher education at a higher age and with a delay between secondary school and tertiary education.</w:t>
      </w:r>
      <w:r w:rsidRPr="00ED00EA">
        <w:rPr>
          <w:rStyle w:val="FootnoteReference"/>
          <w:rFonts w:ascii="Verdana" w:hAnsi="Verdana"/>
          <w:sz w:val="20"/>
          <w:szCs w:val="20"/>
        </w:rPr>
        <w:footnoteReference w:id="11"/>
      </w:r>
    </w:p>
    <w:p w:rsidR="00BD2329" w:rsidRPr="00ED00EA" w:rsidRDefault="00BD2329" w:rsidP="00BD2329">
      <w:pPr>
        <w:pStyle w:val="Default"/>
        <w:spacing w:line="312" w:lineRule="auto"/>
        <w:jc w:val="both"/>
        <w:rPr>
          <w:rFonts w:ascii="Verdana" w:hAnsi="Verdana"/>
          <w:sz w:val="20"/>
          <w:szCs w:val="20"/>
        </w:rPr>
      </w:pPr>
    </w:p>
    <w:p w:rsidR="00BD2329" w:rsidRPr="00ED00EA" w:rsidRDefault="00BD2329" w:rsidP="00BD2329">
      <w:pPr>
        <w:pStyle w:val="Default"/>
        <w:spacing w:line="312" w:lineRule="auto"/>
        <w:jc w:val="both"/>
        <w:rPr>
          <w:rFonts w:ascii="Verdana" w:hAnsi="Verdana"/>
          <w:sz w:val="20"/>
          <w:szCs w:val="20"/>
        </w:rPr>
      </w:pPr>
      <w:r w:rsidRPr="00ED00EA">
        <w:rPr>
          <w:rFonts w:ascii="Verdana" w:hAnsi="Verdana"/>
          <w:sz w:val="20"/>
          <w:szCs w:val="20"/>
        </w:rPr>
        <w:t>Funding and therefore financial issues are still and by large the biggest obstacle to student mobility in general, and for students from socio-economically disadvantaged backgrounds in particular. Especially Students from Southern and Eastern European countries, in comparison with Northern European countries, rate financial and also structural obstacles higher than other obstacles. In Northern European countries students stated personal reasons more often than other obstacles, in relation to other countries. Therefore financial and structural barriers are smaller in Northern European countries. This is also reflected by the generally high affinity towards enrolment abroad in Northern countries.</w:t>
      </w:r>
    </w:p>
    <w:p w:rsidR="00BD2329" w:rsidRPr="00ED00EA" w:rsidRDefault="00BD2329" w:rsidP="00BD2329">
      <w:pPr>
        <w:pStyle w:val="Default"/>
        <w:spacing w:line="312" w:lineRule="auto"/>
        <w:jc w:val="both"/>
        <w:rPr>
          <w:rFonts w:ascii="Verdana" w:hAnsi="Verdana"/>
          <w:b/>
          <w:bCs/>
          <w:sz w:val="20"/>
          <w:szCs w:val="20"/>
        </w:rPr>
      </w:pPr>
    </w:p>
    <w:p w:rsidR="00BD2329" w:rsidRPr="00ED00EA" w:rsidRDefault="00BD2329" w:rsidP="00BD2329">
      <w:pPr>
        <w:pStyle w:val="Default"/>
        <w:spacing w:line="312" w:lineRule="auto"/>
        <w:jc w:val="both"/>
        <w:rPr>
          <w:rFonts w:ascii="Verdana" w:hAnsi="Verdana"/>
          <w:sz w:val="20"/>
          <w:szCs w:val="20"/>
        </w:rPr>
      </w:pPr>
      <w:r w:rsidRPr="00ED00EA">
        <w:rPr>
          <w:rFonts w:ascii="Verdana" w:hAnsi="Verdana"/>
          <w:sz w:val="20"/>
          <w:szCs w:val="20"/>
        </w:rPr>
        <w:t>The perception of obstacles to mobility often varies considerably between (</w:t>
      </w:r>
      <w:proofErr w:type="spellStart"/>
      <w:r w:rsidRPr="00ED00EA">
        <w:rPr>
          <w:rFonts w:ascii="Verdana" w:hAnsi="Verdana"/>
          <w:sz w:val="20"/>
          <w:szCs w:val="20"/>
        </w:rPr>
        <w:t>i</w:t>
      </w:r>
      <w:proofErr w:type="spellEnd"/>
      <w:r w:rsidRPr="00ED00EA">
        <w:rPr>
          <w:rFonts w:ascii="Verdana" w:hAnsi="Verdana"/>
          <w:sz w:val="20"/>
          <w:szCs w:val="20"/>
        </w:rPr>
        <w:t>) countries and (ii) types of students within these countries. European-level policies designed to remove a certain obstacle might thus benefit students in certain countries, while being irrelevant or even inadvertently harmful to students in others. Similarly, national measures might help certain – perhaps already privileged – groups of students, while not reaching out to others. It can thus be argued that more differentiated analyses are needed, which point out where factors deterring students from gaining study-related experiences resemble each other and where they differ between countries and types of students within these countries.</w:t>
      </w:r>
      <w:r w:rsidRPr="00ED00EA">
        <w:rPr>
          <w:rStyle w:val="FootnoteReference"/>
          <w:rFonts w:ascii="Verdana" w:hAnsi="Verdana"/>
          <w:sz w:val="20"/>
          <w:szCs w:val="20"/>
        </w:rPr>
        <w:footnoteReference w:id="12"/>
      </w:r>
    </w:p>
    <w:p w:rsidR="00BD2329" w:rsidRPr="00ED00EA" w:rsidRDefault="00BD2329" w:rsidP="00BD2329">
      <w:pPr>
        <w:pStyle w:val="Default"/>
        <w:spacing w:line="312" w:lineRule="auto"/>
        <w:jc w:val="both"/>
        <w:rPr>
          <w:rFonts w:ascii="Verdana" w:hAnsi="Verdana"/>
          <w:b/>
          <w:bCs/>
          <w:sz w:val="20"/>
          <w:szCs w:val="20"/>
        </w:rPr>
      </w:pPr>
    </w:p>
    <w:p w:rsidR="00BD2329" w:rsidRPr="00ED00EA" w:rsidRDefault="00BD2329" w:rsidP="00BD2329">
      <w:pPr>
        <w:pStyle w:val="Default"/>
        <w:spacing w:line="312" w:lineRule="auto"/>
        <w:jc w:val="both"/>
        <w:rPr>
          <w:rFonts w:ascii="Verdana" w:hAnsi="Verdana"/>
          <w:sz w:val="20"/>
          <w:szCs w:val="20"/>
        </w:rPr>
      </w:pPr>
      <w:r w:rsidRPr="00ED00EA">
        <w:rPr>
          <w:rFonts w:ascii="Verdana" w:hAnsi="Verdana"/>
          <w:b/>
          <w:bCs/>
          <w:sz w:val="20"/>
          <w:szCs w:val="20"/>
        </w:rPr>
        <w:t xml:space="preserve">A Look at the broader picture </w:t>
      </w:r>
    </w:p>
    <w:p w:rsidR="00BD2329" w:rsidRPr="00ED00EA" w:rsidRDefault="00BD2329" w:rsidP="00BD2329">
      <w:pPr>
        <w:pStyle w:val="Default"/>
        <w:spacing w:line="312" w:lineRule="auto"/>
        <w:jc w:val="both"/>
        <w:rPr>
          <w:rFonts w:ascii="Verdana" w:hAnsi="Verdana"/>
          <w:sz w:val="20"/>
          <w:szCs w:val="20"/>
        </w:rPr>
      </w:pPr>
    </w:p>
    <w:p w:rsidR="00BD2329" w:rsidRDefault="00BD2329" w:rsidP="00BD2329">
      <w:pPr>
        <w:pStyle w:val="Default"/>
        <w:spacing w:line="312" w:lineRule="auto"/>
        <w:jc w:val="both"/>
        <w:rPr>
          <w:rFonts w:ascii="Verdana" w:hAnsi="Verdana"/>
          <w:sz w:val="20"/>
          <w:szCs w:val="20"/>
        </w:rPr>
      </w:pPr>
      <w:r w:rsidRPr="00ED00EA">
        <w:rPr>
          <w:rFonts w:ascii="Verdana" w:hAnsi="Verdana"/>
          <w:sz w:val="20"/>
          <w:szCs w:val="20"/>
        </w:rPr>
        <w:lastRenderedPageBreak/>
        <w:t>While degree and credit mobility are the main forms of mobility, other forms should not be forgotten. Mobility encompasses a wide range of short-term provision such as traineeships, research stays, summer schools, language courses and voluntary work.</w:t>
      </w:r>
    </w:p>
    <w:p w:rsidR="00BD2329" w:rsidRPr="00ED00EA" w:rsidRDefault="00BD2329" w:rsidP="00BD2329">
      <w:pPr>
        <w:pStyle w:val="Default"/>
        <w:spacing w:line="312" w:lineRule="auto"/>
        <w:jc w:val="both"/>
        <w:rPr>
          <w:rFonts w:ascii="Verdana" w:hAnsi="Verdana"/>
          <w:sz w:val="20"/>
          <w:szCs w:val="20"/>
        </w:rPr>
      </w:pPr>
    </w:p>
    <w:p w:rsidR="00BD2329" w:rsidRPr="00ED00EA" w:rsidRDefault="00BD2329" w:rsidP="00BD2329">
      <w:pPr>
        <w:pStyle w:val="Default"/>
        <w:spacing w:line="312" w:lineRule="auto"/>
        <w:jc w:val="both"/>
        <w:rPr>
          <w:rFonts w:ascii="Verdana" w:hAnsi="Verdana"/>
          <w:sz w:val="20"/>
          <w:szCs w:val="20"/>
        </w:rPr>
      </w:pPr>
      <w:r w:rsidRPr="00ED00EA">
        <w:rPr>
          <w:rFonts w:ascii="Verdana" w:hAnsi="Verdana"/>
          <w:sz w:val="20"/>
          <w:szCs w:val="20"/>
        </w:rPr>
        <w:t>Statistical data on these types of mobility are, however, not collected at European level, even less in relation with underrepresented groups. Still, shorter mobility activities and offers might be more attractive to underrepresented student groups.</w:t>
      </w:r>
    </w:p>
    <w:p w:rsidR="00BD2329" w:rsidRPr="00ED00EA" w:rsidRDefault="00BD2329" w:rsidP="00BD2329">
      <w:pPr>
        <w:pStyle w:val="Default"/>
        <w:spacing w:line="312" w:lineRule="auto"/>
        <w:jc w:val="both"/>
        <w:rPr>
          <w:rFonts w:ascii="Verdana" w:hAnsi="Verdana"/>
          <w:sz w:val="20"/>
          <w:szCs w:val="20"/>
        </w:rPr>
      </w:pPr>
    </w:p>
    <w:p w:rsidR="00BD2329" w:rsidRPr="00ED00EA" w:rsidRDefault="00BD2329" w:rsidP="00BD2329">
      <w:pPr>
        <w:pStyle w:val="Default"/>
        <w:spacing w:line="312" w:lineRule="auto"/>
        <w:jc w:val="both"/>
        <w:rPr>
          <w:rFonts w:ascii="Verdana" w:hAnsi="Verdana"/>
          <w:sz w:val="20"/>
          <w:szCs w:val="20"/>
        </w:rPr>
      </w:pPr>
      <w:r w:rsidRPr="00ED00EA">
        <w:rPr>
          <w:rFonts w:ascii="Verdana" w:hAnsi="Verdana"/>
          <w:sz w:val="20"/>
          <w:szCs w:val="20"/>
        </w:rPr>
        <w:t xml:space="preserve">Focusing only on mobility and financial shortcomings is not enough. A good and productive study environment, supportive guidance by the home higher education institution and good social framework conditions are also inevitable requirements for the possibility and willingness to go abroad. If studying at home is hardly manageable due to personal or work reasons, there won’t be a great inclination to going abroad. Therefore, improving the social dimension in higher education in general has to be prioritized. </w:t>
      </w:r>
    </w:p>
    <w:p w:rsidR="00BD2329" w:rsidRDefault="00BD2329" w:rsidP="00BD2329">
      <w:pPr>
        <w:pStyle w:val="Default"/>
        <w:spacing w:line="312" w:lineRule="auto"/>
        <w:jc w:val="both"/>
        <w:rPr>
          <w:rFonts w:ascii="Verdana" w:hAnsi="Verdana"/>
          <w:b/>
          <w:bCs/>
          <w:sz w:val="20"/>
          <w:szCs w:val="20"/>
        </w:rPr>
      </w:pPr>
    </w:p>
    <w:p w:rsidR="00BD2329" w:rsidRPr="00ED00EA" w:rsidRDefault="00BD2329" w:rsidP="00BD2329">
      <w:pPr>
        <w:pStyle w:val="Default"/>
        <w:spacing w:line="312" w:lineRule="auto"/>
        <w:jc w:val="both"/>
        <w:rPr>
          <w:rFonts w:ascii="Verdana" w:hAnsi="Verdana"/>
          <w:sz w:val="20"/>
          <w:szCs w:val="20"/>
        </w:rPr>
      </w:pPr>
      <w:r w:rsidRPr="00ED00EA">
        <w:rPr>
          <w:rFonts w:ascii="Verdana" w:hAnsi="Verdana"/>
          <w:b/>
          <w:bCs/>
          <w:sz w:val="20"/>
          <w:szCs w:val="20"/>
        </w:rPr>
        <w:t xml:space="preserve">Better data on mobile degree students is needed </w:t>
      </w:r>
    </w:p>
    <w:p w:rsidR="00BD2329" w:rsidRPr="00ED00EA" w:rsidRDefault="00BD2329" w:rsidP="00BD2329">
      <w:pPr>
        <w:pStyle w:val="Default"/>
        <w:spacing w:line="312" w:lineRule="auto"/>
        <w:jc w:val="both"/>
        <w:rPr>
          <w:rFonts w:ascii="Verdana" w:hAnsi="Verdana"/>
          <w:sz w:val="20"/>
          <w:szCs w:val="20"/>
        </w:rPr>
      </w:pPr>
    </w:p>
    <w:p w:rsidR="00BD2329" w:rsidRPr="00ED00EA" w:rsidRDefault="00BD2329" w:rsidP="00BD2329">
      <w:pPr>
        <w:pStyle w:val="Default"/>
        <w:spacing w:line="312" w:lineRule="auto"/>
        <w:jc w:val="both"/>
        <w:rPr>
          <w:rFonts w:ascii="Verdana" w:hAnsi="Verdana"/>
          <w:sz w:val="20"/>
          <w:szCs w:val="20"/>
        </w:rPr>
      </w:pPr>
      <w:r w:rsidRPr="00ED00EA">
        <w:rPr>
          <w:rFonts w:ascii="Verdana" w:hAnsi="Verdana"/>
          <w:sz w:val="20"/>
          <w:szCs w:val="20"/>
        </w:rPr>
        <w:t>As a minimum, all member countries of the EHEA should report data on degree mobility to the UNESCO Institute of Statistics (UIS) – currently 40 out of 47 do that. However, the quality of the data is also important. The UIS definitions and guidelines should be followed in detail – which seems currently not to be the case in the data of all reporting countries (e.g. genuine mobility vs. foreign students)</w:t>
      </w:r>
      <w:r>
        <w:rPr>
          <w:rFonts w:ascii="Verdana" w:hAnsi="Verdana"/>
          <w:sz w:val="20"/>
          <w:szCs w:val="20"/>
        </w:rPr>
        <w:t>.</w:t>
      </w:r>
    </w:p>
    <w:p w:rsidR="00BD2329" w:rsidRPr="00ED00EA" w:rsidRDefault="00BD2329" w:rsidP="00BD2329">
      <w:pPr>
        <w:pStyle w:val="Default"/>
        <w:spacing w:line="312" w:lineRule="auto"/>
        <w:jc w:val="both"/>
        <w:rPr>
          <w:rFonts w:ascii="Verdana" w:hAnsi="Verdana"/>
          <w:sz w:val="20"/>
          <w:szCs w:val="20"/>
        </w:rPr>
      </w:pPr>
      <w:r w:rsidRPr="00ED00EA">
        <w:rPr>
          <w:rFonts w:ascii="Verdana" w:hAnsi="Verdana"/>
          <w:sz w:val="20"/>
          <w:szCs w:val="20"/>
        </w:rPr>
        <w:t xml:space="preserve"> </w:t>
      </w:r>
    </w:p>
    <w:p w:rsidR="00BD2329" w:rsidRPr="00ED00EA" w:rsidRDefault="00BD2329" w:rsidP="00BD2329">
      <w:pPr>
        <w:pStyle w:val="Default"/>
        <w:spacing w:line="312" w:lineRule="auto"/>
        <w:jc w:val="both"/>
        <w:rPr>
          <w:rFonts w:ascii="Verdana" w:hAnsi="Verdana"/>
          <w:sz w:val="20"/>
          <w:szCs w:val="20"/>
        </w:rPr>
      </w:pPr>
      <w:r w:rsidRPr="00ED00EA">
        <w:rPr>
          <w:rFonts w:ascii="Verdana" w:hAnsi="Verdana"/>
          <w:sz w:val="20"/>
          <w:szCs w:val="20"/>
        </w:rPr>
        <w:t xml:space="preserve">Nevertheless, the current UIS-statistics allow only for a small snapshot of student mobility. A deeper look in general, particularly at under-represented groups or imbalanced flows is not possible.  EHEA member countries should start an initiative for more detailed data in the UNESCO statistics (at least for all EHEA-members) or by any another data provider. Data should at least include information about mobility by field of study and type of program (Bachelor, Master). International degree mobility of doctoral candidates could be covered as well, but will be difficult for short-term stays abroad. </w:t>
      </w:r>
    </w:p>
    <w:p w:rsidR="00BD2329" w:rsidRPr="00ED00EA" w:rsidRDefault="00BD2329" w:rsidP="00BD2329">
      <w:pPr>
        <w:pStyle w:val="Default"/>
        <w:spacing w:line="312" w:lineRule="auto"/>
        <w:jc w:val="both"/>
        <w:rPr>
          <w:rFonts w:ascii="Verdana" w:hAnsi="Verdana"/>
          <w:sz w:val="20"/>
          <w:szCs w:val="20"/>
        </w:rPr>
      </w:pPr>
    </w:p>
    <w:p w:rsidR="00BD2329" w:rsidRPr="00ED00EA" w:rsidRDefault="00BD2329" w:rsidP="00BD2329">
      <w:pPr>
        <w:pStyle w:val="Default"/>
        <w:spacing w:line="312" w:lineRule="auto"/>
        <w:jc w:val="both"/>
        <w:rPr>
          <w:rFonts w:ascii="Verdana" w:hAnsi="Verdana"/>
          <w:sz w:val="20"/>
          <w:szCs w:val="20"/>
        </w:rPr>
      </w:pPr>
      <w:r w:rsidRPr="00ED00EA">
        <w:rPr>
          <w:rFonts w:ascii="Verdana" w:hAnsi="Verdana"/>
          <w:sz w:val="20"/>
          <w:szCs w:val="20"/>
        </w:rPr>
        <w:t>Collecting data is the indispensable starting point for improving the access of underrepresented groups to mobility. Therefore it is of utmost importance that all mobility related data collected nationally for international statistics covering degree and credit mobility are valid, comparable und as complete as possible.</w:t>
      </w:r>
    </w:p>
    <w:p w:rsidR="00BD2329" w:rsidRDefault="00BD2329" w:rsidP="00BD2329">
      <w:pPr>
        <w:pStyle w:val="Default"/>
        <w:spacing w:line="312" w:lineRule="auto"/>
        <w:jc w:val="both"/>
        <w:rPr>
          <w:rFonts w:ascii="Verdana" w:hAnsi="Verdana"/>
          <w:sz w:val="20"/>
          <w:szCs w:val="20"/>
        </w:rPr>
      </w:pPr>
      <w:r>
        <w:rPr>
          <w:rFonts w:ascii="Verdana" w:hAnsi="Verdana"/>
          <w:sz w:val="20"/>
          <w:szCs w:val="20"/>
        </w:rPr>
        <w:t xml:space="preserve"> </w:t>
      </w:r>
    </w:p>
    <w:p w:rsidR="00BD2329" w:rsidRPr="00ED00EA" w:rsidRDefault="00BD2329" w:rsidP="00BD2329">
      <w:pPr>
        <w:pStyle w:val="Default"/>
        <w:spacing w:line="312" w:lineRule="auto"/>
        <w:jc w:val="both"/>
        <w:rPr>
          <w:rFonts w:ascii="Verdana" w:hAnsi="Verdana"/>
          <w:b/>
          <w:sz w:val="20"/>
          <w:szCs w:val="20"/>
        </w:rPr>
      </w:pPr>
      <w:r w:rsidRPr="00ED00EA">
        <w:rPr>
          <w:rFonts w:ascii="Verdana" w:hAnsi="Verdana"/>
          <w:b/>
          <w:sz w:val="20"/>
          <w:szCs w:val="20"/>
        </w:rPr>
        <w:t xml:space="preserve">Further Recommendations </w:t>
      </w:r>
    </w:p>
    <w:p w:rsidR="00BD2329" w:rsidRPr="00ED00EA" w:rsidRDefault="00BD2329" w:rsidP="00BD2329">
      <w:pPr>
        <w:pStyle w:val="Default"/>
        <w:spacing w:line="312" w:lineRule="auto"/>
        <w:jc w:val="both"/>
        <w:rPr>
          <w:rFonts w:ascii="Verdana" w:hAnsi="Verdana"/>
          <w:sz w:val="20"/>
          <w:szCs w:val="20"/>
        </w:rPr>
      </w:pPr>
    </w:p>
    <w:p w:rsidR="00BD2329" w:rsidRPr="00ED00EA" w:rsidRDefault="00BD2329" w:rsidP="00BD2329">
      <w:pPr>
        <w:pStyle w:val="Default"/>
        <w:spacing w:line="312" w:lineRule="auto"/>
        <w:jc w:val="both"/>
        <w:rPr>
          <w:rFonts w:ascii="Verdana" w:hAnsi="Verdana"/>
          <w:bCs/>
          <w:sz w:val="20"/>
          <w:szCs w:val="20"/>
        </w:rPr>
      </w:pPr>
      <w:r w:rsidRPr="00ED00EA">
        <w:rPr>
          <w:rFonts w:ascii="Verdana" w:hAnsi="Verdana"/>
          <w:bCs/>
          <w:sz w:val="20"/>
          <w:szCs w:val="20"/>
        </w:rPr>
        <w:t xml:space="preserve">European-level policies designed to remove a certain obstacle might benefit students in certain countries, while being irrelevant or even inadvertently harmful to students in others. </w:t>
      </w:r>
      <w:r w:rsidRPr="00ED00EA">
        <w:rPr>
          <w:rFonts w:ascii="Verdana" w:hAnsi="Verdana"/>
          <w:bCs/>
          <w:sz w:val="20"/>
          <w:szCs w:val="20"/>
        </w:rPr>
        <w:lastRenderedPageBreak/>
        <w:t>The EHEA Members should therefore develop and implement a national or even regional strategy which includes underrepresented students’ mobility.</w:t>
      </w:r>
    </w:p>
    <w:p w:rsidR="00BD2329" w:rsidRPr="00ED00EA" w:rsidRDefault="00BD2329" w:rsidP="00BD2329">
      <w:pPr>
        <w:pStyle w:val="Default"/>
        <w:spacing w:line="312" w:lineRule="auto"/>
        <w:jc w:val="both"/>
        <w:rPr>
          <w:rFonts w:ascii="Verdana" w:hAnsi="Verdana"/>
          <w:bCs/>
          <w:sz w:val="20"/>
          <w:szCs w:val="20"/>
        </w:rPr>
      </w:pPr>
    </w:p>
    <w:p w:rsidR="00BD2329" w:rsidRPr="00ED00EA" w:rsidRDefault="00BD2329" w:rsidP="00BD2329">
      <w:pPr>
        <w:pStyle w:val="Default"/>
        <w:spacing w:line="312" w:lineRule="auto"/>
        <w:jc w:val="both"/>
        <w:rPr>
          <w:rFonts w:ascii="Verdana" w:hAnsi="Verdana"/>
          <w:bCs/>
          <w:sz w:val="20"/>
          <w:szCs w:val="20"/>
        </w:rPr>
      </w:pPr>
      <w:r w:rsidRPr="00ED00EA">
        <w:rPr>
          <w:rFonts w:ascii="Verdana" w:hAnsi="Verdana"/>
          <w:bCs/>
          <w:sz w:val="20"/>
          <w:szCs w:val="20"/>
        </w:rPr>
        <w:t>The provision of timely and relevant information on how to organize mobility as well as on its merits needs to be improved, e.g., by adequate counselling already at the end of secondary education, before young people enter higher education.</w:t>
      </w:r>
    </w:p>
    <w:p w:rsidR="00BD2329" w:rsidRPr="00ED00EA" w:rsidRDefault="00BD2329" w:rsidP="00BD2329">
      <w:pPr>
        <w:pStyle w:val="Default"/>
        <w:spacing w:line="312" w:lineRule="auto"/>
        <w:jc w:val="both"/>
        <w:rPr>
          <w:rFonts w:ascii="Verdana" w:hAnsi="Verdana"/>
          <w:bCs/>
          <w:sz w:val="20"/>
          <w:szCs w:val="20"/>
        </w:rPr>
      </w:pPr>
    </w:p>
    <w:p w:rsidR="00BD2329" w:rsidRPr="00ED00EA" w:rsidRDefault="00BD2329" w:rsidP="00BD2329">
      <w:pPr>
        <w:pStyle w:val="Default"/>
        <w:spacing w:line="312" w:lineRule="auto"/>
        <w:jc w:val="both"/>
        <w:rPr>
          <w:rFonts w:ascii="Verdana" w:hAnsi="Verdana"/>
          <w:bCs/>
          <w:sz w:val="20"/>
          <w:szCs w:val="20"/>
        </w:rPr>
      </w:pPr>
      <w:r w:rsidRPr="00ED00EA">
        <w:rPr>
          <w:rFonts w:ascii="Verdana" w:hAnsi="Verdana"/>
          <w:bCs/>
          <w:sz w:val="20"/>
          <w:szCs w:val="20"/>
        </w:rPr>
        <w:t xml:space="preserve">There is an opportunity to deliver greater efficiency and effectiveness in the support of student mobility through the sharing of best practice as well as through greater inter-institutional collaboration. </w:t>
      </w:r>
    </w:p>
    <w:p w:rsidR="00BD2329" w:rsidRPr="00ED00EA" w:rsidRDefault="00BD2329" w:rsidP="00BD2329">
      <w:pPr>
        <w:pStyle w:val="Default"/>
        <w:spacing w:line="312" w:lineRule="auto"/>
        <w:jc w:val="both"/>
        <w:rPr>
          <w:rFonts w:ascii="Verdana" w:hAnsi="Verdana"/>
          <w:bCs/>
          <w:sz w:val="20"/>
          <w:szCs w:val="20"/>
        </w:rPr>
      </w:pPr>
    </w:p>
    <w:p w:rsidR="00D15386" w:rsidRDefault="00BD2329" w:rsidP="00BD2329">
      <w:pPr>
        <w:spacing w:after="0" w:line="312" w:lineRule="auto"/>
        <w:rPr>
          <w:rFonts w:ascii="Verdana" w:hAnsi="Verdana"/>
          <w:sz w:val="20"/>
          <w:szCs w:val="20"/>
          <w:lang w:val="en-GB"/>
        </w:rPr>
      </w:pPr>
      <w:r w:rsidRPr="00ED00EA">
        <w:rPr>
          <w:rFonts w:ascii="Verdana" w:hAnsi="Verdana"/>
          <w:bCs/>
          <w:sz w:val="20"/>
          <w:szCs w:val="20"/>
        </w:rPr>
        <w:t>As countries cannot afford to leave young people behind in higher education and as they should do everything to harness talents otherwise lost, they should be encouraged to conduct further research to identify the groups of underrepresented students and to work out recommendations on better access.</w:t>
      </w:r>
    </w:p>
    <w:p w:rsidR="00437948" w:rsidRDefault="00437948" w:rsidP="00437948">
      <w:pPr>
        <w:spacing w:after="0" w:line="312" w:lineRule="auto"/>
        <w:rPr>
          <w:rFonts w:ascii="Verdana" w:hAnsi="Verdana"/>
          <w:sz w:val="20"/>
          <w:szCs w:val="20"/>
          <w:lang w:val="en-GB"/>
        </w:rPr>
      </w:pPr>
    </w:p>
    <w:p w:rsidR="00437948" w:rsidRPr="00FC0C0A" w:rsidRDefault="00437948" w:rsidP="00FC0C0A">
      <w:pPr>
        <w:spacing w:after="0" w:line="312" w:lineRule="auto"/>
        <w:rPr>
          <w:rFonts w:ascii="Verdana" w:hAnsi="Verdana"/>
          <w:lang w:val="en-GB"/>
        </w:rPr>
      </w:pPr>
    </w:p>
    <w:p w:rsidR="00BD2329" w:rsidRPr="00FC0C0A" w:rsidRDefault="00BD2329" w:rsidP="00FC0C0A">
      <w:pPr>
        <w:spacing w:after="0" w:line="312" w:lineRule="auto"/>
        <w:jc w:val="both"/>
        <w:rPr>
          <w:rFonts w:ascii="Verdana" w:hAnsi="Verdana"/>
          <w:b/>
          <w:lang w:val="en-GB"/>
        </w:rPr>
      </w:pPr>
      <w:r w:rsidRPr="00FC0C0A">
        <w:rPr>
          <w:rFonts w:ascii="Verdana" w:hAnsi="Verdana"/>
          <w:b/>
          <w:lang w:val="en-GB"/>
        </w:rPr>
        <w:t>ANNEX V</w:t>
      </w:r>
      <w:r w:rsidR="00703289">
        <w:rPr>
          <w:rFonts w:ascii="Verdana" w:hAnsi="Verdana"/>
          <w:b/>
          <w:lang w:val="en-GB"/>
        </w:rPr>
        <w:t>II</w:t>
      </w:r>
      <w:r w:rsidRPr="00FC0C0A">
        <w:rPr>
          <w:rFonts w:ascii="Verdana" w:hAnsi="Verdana"/>
          <w:b/>
          <w:lang w:val="en-GB"/>
        </w:rPr>
        <w:t xml:space="preserve">: </w:t>
      </w:r>
      <w:r w:rsidR="00FC0C0A" w:rsidRPr="00FC0C0A">
        <w:rPr>
          <w:rFonts w:ascii="Verdana" w:hAnsi="Verdana"/>
          <w:b/>
        </w:rPr>
        <w:t xml:space="preserve">Recommendations on a possible common structure at national level for the description of Study </w:t>
      </w:r>
      <w:proofErr w:type="spellStart"/>
      <w:r w:rsidR="00FC0C0A" w:rsidRPr="00FC0C0A">
        <w:rPr>
          <w:rFonts w:ascii="Verdana" w:hAnsi="Verdana"/>
          <w:b/>
        </w:rPr>
        <w:t>Programmes</w:t>
      </w:r>
      <w:proofErr w:type="spellEnd"/>
      <w:r w:rsidR="00FC0C0A" w:rsidRPr="00FC0C0A">
        <w:rPr>
          <w:rFonts w:ascii="Verdana" w:hAnsi="Verdana"/>
          <w:b/>
        </w:rPr>
        <w:t xml:space="preserve"> in the EHEA</w:t>
      </w:r>
    </w:p>
    <w:p w:rsidR="00BD2329" w:rsidRDefault="00BD2329" w:rsidP="00437948">
      <w:pPr>
        <w:spacing w:after="0" w:line="312" w:lineRule="auto"/>
        <w:rPr>
          <w:rFonts w:ascii="Verdana" w:hAnsi="Verdana"/>
          <w:sz w:val="20"/>
          <w:szCs w:val="20"/>
          <w:lang w:val="en-GB"/>
        </w:rPr>
      </w:pPr>
    </w:p>
    <w:p w:rsidR="00431DB3" w:rsidRDefault="00431DB3" w:rsidP="00431DB3">
      <w:pPr>
        <w:spacing w:after="0" w:line="312" w:lineRule="auto"/>
        <w:jc w:val="both"/>
        <w:rPr>
          <w:rFonts w:ascii="Verdana" w:hAnsi="Verdana"/>
          <w:sz w:val="20"/>
          <w:szCs w:val="20"/>
        </w:rPr>
      </w:pPr>
      <w:r w:rsidRPr="004D1A29">
        <w:rPr>
          <w:rFonts w:ascii="Verdana" w:hAnsi="Verdana"/>
          <w:sz w:val="20"/>
          <w:szCs w:val="20"/>
        </w:rPr>
        <w:t xml:space="preserve">The EHEA is an attractive destination for international students, mainly due to the common structure of study </w:t>
      </w:r>
      <w:proofErr w:type="spellStart"/>
      <w:r w:rsidRPr="004D1A29">
        <w:rPr>
          <w:rFonts w:ascii="Verdana" w:hAnsi="Verdana"/>
          <w:sz w:val="20"/>
          <w:szCs w:val="20"/>
        </w:rPr>
        <w:t>programmes</w:t>
      </w:r>
      <w:proofErr w:type="spellEnd"/>
      <w:r w:rsidRPr="004D1A29">
        <w:rPr>
          <w:rFonts w:ascii="Verdana" w:hAnsi="Verdana"/>
          <w:sz w:val="20"/>
          <w:szCs w:val="20"/>
        </w:rPr>
        <w:t xml:space="preserve"> and the quality assurance systems in place</w:t>
      </w:r>
      <w:r w:rsidRPr="004D1A29">
        <w:rPr>
          <w:rStyle w:val="FootnoteReference"/>
          <w:rFonts w:ascii="Verdana" w:hAnsi="Verdana"/>
          <w:sz w:val="20"/>
          <w:szCs w:val="20"/>
        </w:rPr>
        <w:footnoteReference w:id="13"/>
      </w:r>
      <w:r w:rsidRPr="004D1A29">
        <w:rPr>
          <w:rFonts w:ascii="Verdana" w:hAnsi="Verdana"/>
          <w:sz w:val="20"/>
          <w:szCs w:val="20"/>
        </w:rPr>
        <w:t>. However there is an increasing competition at global level for recruitment of the best international students and some surveys at National and European level show new areas and criteria in the international students’ choices that have to be attended at both institutional and national levels.</w:t>
      </w:r>
    </w:p>
    <w:p w:rsidR="00431DB3" w:rsidRPr="004D1A29" w:rsidRDefault="00431DB3" w:rsidP="00431DB3">
      <w:pPr>
        <w:spacing w:after="0" w:line="312" w:lineRule="auto"/>
        <w:jc w:val="both"/>
        <w:rPr>
          <w:rFonts w:ascii="Verdana" w:hAnsi="Verdana"/>
          <w:sz w:val="20"/>
          <w:szCs w:val="20"/>
        </w:rPr>
      </w:pPr>
    </w:p>
    <w:p w:rsidR="00431DB3" w:rsidRDefault="00431DB3" w:rsidP="00431DB3">
      <w:pPr>
        <w:spacing w:after="0" w:line="312" w:lineRule="auto"/>
        <w:jc w:val="both"/>
        <w:rPr>
          <w:rFonts w:ascii="Verdana" w:hAnsi="Verdana"/>
          <w:sz w:val="20"/>
          <w:szCs w:val="20"/>
        </w:rPr>
      </w:pPr>
      <w:r w:rsidRPr="004D1A29">
        <w:rPr>
          <w:rFonts w:ascii="Verdana" w:hAnsi="Verdana"/>
          <w:sz w:val="20"/>
          <w:szCs w:val="20"/>
        </w:rPr>
        <w:t>At institutional level</w:t>
      </w:r>
      <w:r w:rsidRPr="004D1A29">
        <w:rPr>
          <w:rStyle w:val="FootnoteReference"/>
          <w:rFonts w:ascii="Verdana" w:hAnsi="Verdana"/>
          <w:sz w:val="20"/>
          <w:szCs w:val="20"/>
        </w:rPr>
        <w:footnoteReference w:id="14"/>
      </w:r>
      <w:r w:rsidRPr="004D1A29">
        <w:rPr>
          <w:rFonts w:ascii="Verdana" w:hAnsi="Verdana"/>
          <w:sz w:val="20"/>
          <w:szCs w:val="20"/>
        </w:rPr>
        <w:t xml:space="preserve"> the ECTS Course Catalogue within the ECTS User’s Guide includes a check list that is widely used by HEI, providing a suitable and consolidated framework for </w:t>
      </w:r>
      <w:proofErr w:type="spellStart"/>
      <w:r w:rsidRPr="004D1A29">
        <w:rPr>
          <w:rFonts w:ascii="Verdana" w:hAnsi="Verdana"/>
          <w:sz w:val="20"/>
          <w:szCs w:val="20"/>
        </w:rPr>
        <w:t>programmes</w:t>
      </w:r>
      <w:proofErr w:type="spellEnd"/>
      <w:r w:rsidRPr="004D1A29">
        <w:rPr>
          <w:rFonts w:ascii="Verdana" w:hAnsi="Verdana"/>
          <w:sz w:val="20"/>
          <w:szCs w:val="20"/>
        </w:rPr>
        <w:t xml:space="preserve"> description in the EHEA. However, at national</w:t>
      </w:r>
      <w:r w:rsidRPr="004D1A29">
        <w:rPr>
          <w:rStyle w:val="FootnoteReference"/>
          <w:rFonts w:ascii="Verdana" w:hAnsi="Verdana"/>
          <w:sz w:val="20"/>
          <w:szCs w:val="20"/>
        </w:rPr>
        <w:footnoteReference w:id="15"/>
      </w:r>
      <w:r w:rsidRPr="004D1A29">
        <w:rPr>
          <w:rFonts w:ascii="Verdana" w:hAnsi="Verdana"/>
          <w:sz w:val="20"/>
          <w:szCs w:val="20"/>
        </w:rPr>
        <w:t xml:space="preserve"> level there is still a lack of such a standardized approach providing aggregated information to international students.</w:t>
      </w:r>
    </w:p>
    <w:p w:rsidR="00431DB3" w:rsidRPr="004D1A29" w:rsidRDefault="00431DB3" w:rsidP="00431DB3">
      <w:pPr>
        <w:spacing w:after="0" w:line="312" w:lineRule="auto"/>
        <w:jc w:val="both"/>
        <w:rPr>
          <w:rFonts w:ascii="Verdana" w:hAnsi="Verdana"/>
          <w:sz w:val="20"/>
          <w:szCs w:val="20"/>
        </w:rPr>
      </w:pPr>
    </w:p>
    <w:p w:rsidR="00431DB3" w:rsidRDefault="00431DB3" w:rsidP="00C73ADD">
      <w:pPr>
        <w:spacing w:after="0" w:line="312" w:lineRule="auto"/>
        <w:jc w:val="both"/>
        <w:rPr>
          <w:rFonts w:ascii="Verdana" w:hAnsi="Verdana"/>
          <w:sz w:val="20"/>
          <w:szCs w:val="20"/>
        </w:rPr>
      </w:pPr>
      <w:r w:rsidRPr="004D1A29">
        <w:rPr>
          <w:rFonts w:ascii="Verdana" w:hAnsi="Verdana"/>
          <w:sz w:val="20"/>
          <w:szCs w:val="20"/>
        </w:rPr>
        <w:t>The Mobility Strategy 2020 for the EHEA</w:t>
      </w:r>
      <w:r w:rsidRPr="004D1A29">
        <w:rPr>
          <w:rStyle w:val="FootnoteReference"/>
          <w:rFonts w:ascii="Verdana" w:hAnsi="Verdana"/>
          <w:sz w:val="20"/>
          <w:szCs w:val="20"/>
        </w:rPr>
        <w:footnoteReference w:id="16"/>
      </w:r>
      <w:r w:rsidRPr="004D1A29">
        <w:rPr>
          <w:rFonts w:ascii="Verdana" w:hAnsi="Verdana"/>
          <w:sz w:val="20"/>
          <w:szCs w:val="20"/>
        </w:rPr>
        <w:t xml:space="preserve"> encourages to the national HE systems to improve information about study </w:t>
      </w:r>
      <w:proofErr w:type="spellStart"/>
      <w:r w:rsidRPr="004D1A29">
        <w:rPr>
          <w:rFonts w:ascii="Verdana" w:hAnsi="Verdana"/>
          <w:sz w:val="20"/>
          <w:szCs w:val="20"/>
        </w:rPr>
        <w:t>programmes</w:t>
      </w:r>
      <w:proofErr w:type="spellEnd"/>
      <w:r w:rsidRPr="004D1A29">
        <w:rPr>
          <w:rFonts w:ascii="Verdana" w:hAnsi="Verdana"/>
          <w:sz w:val="20"/>
          <w:szCs w:val="20"/>
        </w:rPr>
        <w:t xml:space="preserve"> as a mean to increase mobility by facilitating short response times for international applicants and setting up or improving national websites providing information on study </w:t>
      </w:r>
      <w:proofErr w:type="spellStart"/>
      <w:r w:rsidRPr="004D1A29">
        <w:rPr>
          <w:rFonts w:ascii="Verdana" w:hAnsi="Verdana"/>
          <w:sz w:val="20"/>
          <w:szCs w:val="20"/>
        </w:rPr>
        <w:t>programmes</w:t>
      </w:r>
      <w:proofErr w:type="spellEnd"/>
      <w:r w:rsidRPr="004D1A29">
        <w:rPr>
          <w:rFonts w:ascii="Verdana" w:hAnsi="Verdana"/>
          <w:sz w:val="20"/>
          <w:szCs w:val="20"/>
        </w:rPr>
        <w:t xml:space="preserve"> and student support structures. </w:t>
      </w:r>
    </w:p>
    <w:p w:rsidR="00431DB3" w:rsidRPr="004D1A29" w:rsidRDefault="00431DB3" w:rsidP="00C73ADD">
      <w:pPr>
        <w:spacing w:after="0" w:line="312" w:lineRule="auto"/>
        <w:jc w:val="both"/>
        <w:rPr>
          <w:rFonts w:ascii="Verdana" w:hAnsi="Verdana"/>
          <w:sz w:val="20"/>
          <w:szCs w:val="20"/>
        </w:rPr>
      </w:pPr>
    </w:p>
    <w:p w:rsidR="00431DB3" w:rsidRPr="005D6381" w:rsidRDefault="00431DB3" w:rsidP="00B07A9D">
      <w:pPr>
        <w:pStyle w:val="ListParagraph"/>
        <w:numPr>
          <w:ilvl w:val="0"/>
          <w:numId w:val="32"/>
        </w:numPr>
        <w:spacing w:line="312" w:lineRule="auto"/>
        <w:jc w:val="both"/>
        <w:rPr>
          <w:rFonts w:ascii="Verdana" w:hAnsi="Verdana"/>
          <w:b/>
          <w:sz w:val="20"/>
          <w:szCs w:val="20"/>
        </w:rPr>
      </w:pPr>
      <w:r w:rsidRPr="005D6381">
        <w:rPr>
          <w:rFonts w:ascii="Verdana" w:hAnsi="Verdana"/>
          <w:b/>
          <w:sz w:val="20"/>
          <w:szCs w:val="20"/>
        </w:rPr>
        <w:t>Purpose and Structure of the Recommendations</w:t>
      </w:r>
    </w:p>
    <w:p w:rsidR="005D6381" w:rsidRPr="005D6381" w:rsidRDefault="005D6381" w:rsidP="00C73ADD">
      <w:pPr>
        <w:pStyle w:val="ListParagraph"/>
        <w:spacing w:line="312" w:lineRule="auto"/>
        <w:ind w:left="1080"/>
        <w:jc w:val="both"/>
        <w:rPr>
          <w:rFonts w:ascii="Verdana" w:hAnsi="Verdana"/>
          <w:sz w:val="20"/>
          <w:szCs w:val="20"/>
        </w:rPr>
      </w:pPr>
    </w:p>
    <w:p w:rsidR="00431DB3" w:rsidRDefault="00431DB3" w:rsidP="00C73ADD">
      <w:pPr>
        <w:spacing w:after="0" w:line="312" w:lineRule="auto"/>
        <w:jc w:val="both"/>
        <w:rPr>
          <w:rFonts w:ascii="Verdana" w:hAnsi="Verdana"/>
          <w:sz w:val="20"/>
          <w:szCs w:val="20"/>
        </w:rPr>
      </w:pPr>
      <w:r w:rsidRPr="004D1A29">
        <w:rPr>
          <w:rFonts w:ascii="Verdana" w:hAnsi="Verdana"/>
          <w:sz w:val="20"/>
          <w:szCs w:val="20"/>
        </w:rPr>
        <w:t xml:space="preserve">These recommendations are first addressed to national authorities encouraging the provision of official information on national study </w:t>
      </w:r>
      <w:proofErr w:type="spellStart"/>
      <w:r w:rsidRPr="004D1A29">
        <w:rPr>
          <w:rFonts w:ascii="Verdana" w:hAnsi="Verdana"/>
          <w:sz w:val="20"/>
          <w:szCs w:val="20"/>
        </w:rPr>
        <w:t>programmes</w:t>
      </w:r>
      <w:proofErr w:type="spellEnd"/>
      <w:r w:rsidRPr="004D1A29">
        <w:rPr>
          <w:rFonts w:ascii="Verdana" w:hAnsi="Verdana"/>
          <w:sz w:val="20"/>
          <w:szCs w:val="20"/>
        </w:rPr>
        <w:t xml:space="preserve"> targeted to international students. It is up to the national authorities to adapt them to the nationa</w:t>
      </w:r>
      <w:r>
        <w:rPr>
          <w:rFonts w:ascii="Verdana" w:hAnsi="Verdana"/>
          <w:sz w:val="20"/>
          <w:szCs w:val="20"/>
        </w:rPr>
        <w:t>l</w:t>
      </w:r>
      <w:r w:rsidRPr="004D1A29">
        <w:rPr>
          <w:rFonts w:ascii="Verdana" w:hAnsi="Verdana"/>
          <w:sz w:val="20"/>
          <w:szCs w:val="20"/>
        </w:rPr>
        <w:t xml:space="preserve"> specific context or to use them or not. They can also be useful for data bases providers and data collectors.</w:t>
      </w:r>
    </w:p>
    <w:p w:rsidR="005D6381" w:rsidRPr="004D1A29" w:rsidRDefault="005D6381" w:rsidP="005D6381">
      <w:pPr>
        <w:spacing w:after="0" w:line="312" w:lineRule="auto"/>
        <w:jc w:val="both"/>
        <w:rPr>
          <w:rFonts w:ascii="Verdana" w:hAnsi="Verdana"/>
          <w:sz w:val="20"/>
          <w:szCs w:val="20"/>
        </w:rPr>
      </w:pPr>
    </w:p>
    <w:p w:rsidR="00431DB3" w:rsidRDefault="00431DB3" w:rsidP="002747D1">
      <w:pPr>
        <w:spacing w:after="0" w:line="312" w:lineRule="auto"/>
        <w:jc w:val="both"/>
        <w:rPr>
          <w:rFonts w:ascii="Verdana" w:hAnsi="Verdana"/>
          <w:sz w:val="20"/>
          <w:szCs w:val="20"/>
        </w:rPr>
      </w:pPr>
      <w:r w:rsidRPr="004D1A29">
        <w:rPr>
          <w:rFonts w:ascii="Verdana" w:hAnsi="Verdana"/>
          <w:sz w:val="20"/>
          <w:szCs w:val="20"/>
        </w:rPr>
        <w:t xml:space="preserve">The recommendations relies on the considerable good practice at national level in the description of study </w:t>
      </w:r>
      <w:proofErr w:type="spellStart"/>
      <w:r w:rsidRPr="004D1A29">
        <w:rPr>
          <w:rFonts w:ascii="Verdana" w:hAnsi="Verdana"/>
          <w:sz w:val="20"/>
          <w:szCs w:val="20"/>
        </w:rPr>
        <w:t>programmes</w:t>
      </w:r>
      <w:proofErr w:type="spellEnd"/>
      <w:r w:rsidRPr="004D1A29">
        <w:rPr>
          <w:rFonts w:ascii="Verdana" w:hAnsi="Verdana"/>
          <w:sz w:val="20"/>
          <w:szCs w:val="20"/>
        </w:rPr>
        <w:t xml:space="preserve"> to improve international recruitment as well as on the national study portals providing basic country specific information</w:t>
      </w:r>
      <w:r w:rsidRPr="004D1A29">
        <w:rPr>
          <w:rStyle w:val="FootnoteReference"/>
          <w:rFonts w:ascii="Verdana" w:hAnsi="Verdana"/>
          <w:sz w:val="20"/>
          <w:szCs w:val="20"/>
        </w:rPr>
        <w:footnoteReference w:id="17"/>
      </w:r>
      <w:r w:rsidRPr="004D1A29">
        <w:rPr>
          <w:rFonts w:ascii="Verdana" w:hAnsi="Verdana"/>
          <w:sz w:val="20"/>
          <w:szCs w:val="20"/>
        </w:rPr>
        <w:t xml:space="preserve">. They intend to provide an EHEA-wide set of shared and common principles and standards by providing guidance on a possible common structure for national databases facilitating exchange of information and advice among countries to improve the quality of information in due time to international students interested in studying in any EHEA country, as well as to open opportunities for international collaboration on for instance joint study </w:t>
      </w:r>
      <w:proofErr w:type="spellStart"/>
      <w:r w:rsidRPr="004D1A29">
        <w:rPr>
          <w:rFonts w:ascii="Verdana" w:hAnsi="Verdana"/>
          <w:sz w:val="20"/>
          <w:szCs w:val="20"/>
        </w:rPr>
        <w:t>programmes</w:t>
      </w:r>
      <w:proofErr w:type="spellEnd"/>
      <w:r w:rsidRPr="004D1A29">
        <w:rPr>
          <w:rFonts w:ascii="Verdana" w:hAnsi="Verdana"/>
          <w:sz w:val="20"/>
          <w:szCs w:val="20"/>
        </w:rPr>
        <w:t xml:space="preserve">. </w:t>
      </w:r>
    </w:p>
    <w:p w:rsidR="005D6381" w:rsidRPr="004D1A29" w:rsidRDefault="005D6381" w:rsidP="002747D1">
      <w:pPr>
        <w:spacing w:after="0" w:line="312" w:lineRule="auto"/>
        <w:jc w:val="both"/>
        <w:rPr>
          <w:rFonts w:ascii="Verdana" w:hAnsi="Verdana"/>
          <w:sz w:val="20"/>
          <w:szCs w:val="20"/>
        </w:rPr>
      </w:pPr>
    </w:p>
    <w:p w:rsidR="00431DB3" w:rsidRPr="002747D1" w:rsidRDefault="002747D1" w:rsidP="002747D1">
      <w:pPr>
        <w:spacing w:line="312" w:lineRule="auto"/>
        <w:ind w:firstLine="720"/>
        <w:rPr>
          <w:rFonts w:ascii="Verdana" w:hAnsi="Verdana"/>
          <w:b/>
          <w:sz w:val="20"/>
          <w:szCs w:val="20"/>
        </w:rPr>
      </w:pPr>
      <w:r w:rsidRPr="002747D1">
        <w:rPr>
          <w:rFonts w:ascii="Verdana" w:hAnsi="Verdana"/>
          <w:b/>
          <w:sz w:val="20"/>
          <w:szCs w:val="20"/>
        </w:rPr>
        <w:t>2.</w:t>
      </w:r>
      <w:r>
        <w:rPr>
          <w:rFonts w:ascii="Verdana" w:hAnsi="Verdana"/>
          <w:b/>
          <w:sz w:val="20"/>
          <w:szCs w:val="20"/>
        </w:rPr>
        <w:tab/>
      </w:r>
      <w:r w:rsidR="00431DB3" w:rsidRPr="002747D1">
        <w:rPr>
          <w:rFonts w:ascii="Verdana" w:hAnsi="Verdana"/>
          <w:b/>
          <w:sz w:val="20"/>
          <w:szCs w:val="20"/>
        </w:rPr>
        <w:t>Structure of information</w:t>
      </w:r>
    </w:p>
    <w:p w:rsidR="00431DB3" w:rsidRDefault="00431DB3" w:rsidP="002747D1">
      <w:pPr>
        <w:spacing w:after="0" w:line="312" w:lineRule="auto"/>
        <w:jc w:val="both"/>
        <w:rPr>
          <w:rFonts w:ascii="Verdana" w:hAnsi="Verdana"/>
          <w:sz w:val="20"/>
          <w:szCs w:val="20"/>
        </w:rPr>
      </w:pPr>
      <w:r w:rsidRPr="004D1A29">
        <w:rPr>
          <w:rFonts w:ascii="Verdana" w:hAnsi="Verdana"/>
          <w:sz w:val="20"/>
          <w:szCs w:val="20"/>
        </w:rPr>
        <w:t xml:space="preserve">The information should follows a student oriented approach, facilitating useful information to potential international students mainly outside but also inside the EHEA from the very first contact with the EHEA and national HE systems through admission and enrolment processes, learning and finally into further studies and work opportunities. It should allow for informed decision making when choosing a university course. </w:t>
      </w:r>
    </w:p>
    <w:p w:rsidR="003B6493" w:rsidRPr="004D1A29" w:rsidRDefault="003B6493" w:rsidP="002747D1">
      <w:pPr>
        <w:spacing w:after="0" w:line="312" w:lineRule="auto"/>
        <w:jc w:val="both"/>
        <w:rPr>
          <w:rFonts w:ascii="Verdana" w:hAnsi="Verdana"/>
          <w:sz w:val="20"/>
          <w:szCs w:val="20"/>
        </w:rPr>
      </w:pPr>
    </w:p>
    <w:p w:rsidR="00431DB3" w:rsidRDefault="00431DB3" w:rsidP="002747D1">
      <w:pPr>
        <w:spacing w:after="0" w:line="312" w:lineRule="auto"/>
        <w:jc w:val="both"/>
        <w:rPr>
          <w:rFonts w:ascii="Verdana" w:hAnsi="Verdana"/>
          <w:sz w:val="20"/>
          <w:szCs w:val="20"/>
        </w:rPr>
      </w:pPr>
      <w:r w:rsidRPr="004D1A29">
        <w:rPr>
          <w:rFonts w:ascii="Verdana" w:hAnsi="Verdana"/>
          <w:sz w:val="20"/>
          <w:szCs w:val="20"/>
        </w:rPr>
        <w:t xml:space="preserve">Information providers should promote an inclusive environment considering the needs of international students alongside with the national students in an integrated way, ensuring the provision of clear and easily accessible information at all stages of the student lifecycle, providing ways to get student’s feedback and considering this feedback for continuous improvement of the provision of information. They should include information not only on the academic description of the </w:t>
      </w:r>
      <w:proofErr w:type="spellStart"/>
      <w:r w:rsidRPr="004D1A29">
        <w:rPr>
          <w:rFonts w:ascii="Verdana" w:hAnsi="Verdana"/>
          <w:sz w:val="20"/>
          <w:szCs w:val="20"/>
        </w:rPr>
        <w:t>programmes</w:t>
      </w:r>
      <w:proofErr w:type="spellEnd"/>
      <w:r w:rsidRPr="004D1A29">
        <w:rPr>
          <w:rFonts w:ascii="Verdana" w:hAnsi="Verdana"/>
          <w:sz w:val="20"/>
          <w:szCs w:val="20"/>
        </w:rPr>
        <w:t xml:space="preserve"> but also on supporting services provided to international students at national and institutional level.</w:t>
      </w:r>
    </w:p>
    <w:p w:rsidR="002747D1" w:rsidRPr="004D1A29" w:rsidRDefault="002747D1" w:rsidP="002747D1">
      <w:pPr>
        <w:spacing w:after="0" w:line="312" w:lineRule="auto"/>
        <w:jc w:val="both"/>
        <w:rPr>
          <w:rFonts w:ascii="Verdana" w:hAnsi="Verdana"/>
          <w:sz w:val="20"/>
          <w:szCs w:val="20"/>
        </w:rPr>
      </w:pPr>
    </w:p>
    <w:p w:rsidR="00431DB3" w:rsidRDefault="00431DB3" w:rsidP="002747D1">
      <w:pPr>
        <w:spacing w:after="0" w:line="312" w:lineRule="auto"/>
        <w:ind w:firstLine="720"/>
        <w:rPr>
          <w:rFonts w:ascii="Verdana" w:hAnsi="Verdana"/>
          <w:b/>
          <w:sz w:val="20"/>
          <w:szCs w:val="20"/>
        </w:rPr>
      </w:pPr>
      <w:r w:rsidRPr="004D1A29">
        <w:rPr>
          <w:rFonts w:ascii="Verdana" w:hAnsi="Verdana"/>
          <w:b/>
          <w:sz w:val="20"/>
          <w:szCs w:val="20"/>
        </w:rPr>
        <w:t>3.</w:t>
      </w:r>
      <w:r w:rsidRPr="004D1A29">
        <w:rPr>
          <w:rFonts w:ascii="Verdana" w:hAnsi="Verdana"/>
          <w:b/>
          <w:sz w:val="20"/>
          <w:szCs w:val="20"/>
        </w:rPr>
        <w:tab/>
        <w:t>Common structure of National Data Bases</w:t>
      </w:r>
    </w:p>
    <w:p w:rsidR="006874FE" w:rsidRPr="004D1A29" w:rsidRDefault="006874FE" w:rsidP="002747D1">
      <w:pPr>
        <w:spacing w:after="0" w:line="312" w:lineRule="auto"/>
        <w:ind w:firstLine="720"/>
        <w:rPr>
          <w:rFonts w:ascii="Verdana" w:hAnsi="Verdana"/>
          <w:sz w:val="20"/>
          <w:szCs w:val="20"/>
        </w:rPr>
      </w:pPr>
    </w:p>
    <w:p w:rsidR="00431DB3" w:rsidRDefault="00431DB3" w:rsidP="002747D1">
      <w:pPr>
        <w:spacing w:after="0" w:line="312" w:lineRule="auto"/>
        <w:jc w:val="both"/>
        <w:rPr>
          <w:rFonts w:ascii="Verdana" w:hAnsi="Verdana"/>
          <w:sz w:val="20"/>
          <w:szCs w:val="20"/>
        </w:rPr>
      </w:pPr>
      <w:r w:rsidRPr="004D1A29">
        <w:rPr>
          <w:rFonts w:ascii="Verdana" w:hAnsi="Verdana"/>
          <w:sz w:val="20"/>
          <w:szCs w:val="20"/>
        </w:rPr>
        <w:t>Normally national on-line databases</w:t>
      </w:r>
      <w:r w:rsidRPr="004D1A29">
        <w:rPr>
          <w:rStyle w:val="FootnoteReference"/>
          <w:rFonts w:ascii="Verdana" w:hAnsi="Verdana"/>
          <w:sz w:val="20"/>
          <w:szCs w:val="20"/>
        </w:rPr>
        <w:footnoteReference w:id="18"/>
      </w:r>
      <w:r w:rsidRPr="004D1A29">
        <w:rPr>
          <w:rFonts w:ascii="Verdana" w:hAnsi="Verdana"/>
          <w:sz w:val="20"/>
          <w:szCs w:val="20"/>
        </w:rPr>
        <w:t xml:space="preserve"> provide information on HE institutions, degree </w:t>
      </w:r>
      <w:proofErr w:type="spellStart"/>
      <w:r w:rsidRPr="004D1A29">
        <w:rPr>
          <w:rFonts w:ascii="Verdana" w:hAnsi="Verdana"/>
          <w:sz w:val="20"/>
          <w:szCs w:val="20"/>
        </w:rPr>
        <w:t>programmes</w:t>
      </w:r>
      <w:proofErr w:type="spellEnd"/>
      <w:r w:rsidRPr="004D1A29">
        <w:rPr>
          <w:rFonts w:ascii="Verdana" w:hAnsi="Verdana"/>
          <w:sz w:val="20"/>
          <w:szCs w:val="20"/>
        </w:rPr>
        <w:t xml:space="preserve">, doctoral studies and international partnership and frequently this information </w:t>
      </w:r>
      <w:proofErr w:type="gramStart"/>
      <w:r w:rsidRPr="004D1A29">
        <w:rPr>
          <w:rFonts w:ascii="Verdana" w:hAnsi="Verdana"/>
          <w:sz w:val="20"/>
          <w:szCs w:val="20"/>
        </w:rPr>
        <w:t>is</w:t>
      </w:r>
      <w:proofErr w:type="gramEnd"/>
      <w:r w:rsidRPr="004D1A29">
        <w:rPr>
          <w:rFonts w:ascii="Verdana" w:hAnsi="Verdana"/>
          <w:sz w:val="20"/>
          <w:szCs w:val="20"/>
        </w:rPr>
        <w:t xml:space="preserve"> provided in the National language of the country and in English. National databases on study information should provide at lea</w:t>
      </w:r>
      <w:r w:rsidR="006874FE">
        <w:rPr>
          <w:rFonts w:ascii="Verdana" w:hAnsi="Verdana"/>
          <w:sz w:val="20"/>
          <w:szCs w:val="20"/>
        </w:rPr>
        <w:t>st information on the following:</w:t>
      </w:r>
    </w:p>
    <w:p w:rsidR="006874FE" w:rsidRPr="004D1A29" w:rsidRDefault="006874FE" w:rsidP="006874FE">
      <w:pPr>
        <w:spacing w:after="0" w:line="312" w:lineRule="auto"/>
        <w:jc w:val="both"/>
        <w:rPr>
          <w:rFonts w:ascii="Verdana" w:hAnsi="Verdana"/>
          <w:sz w:val="20"/>
          <w:szCs w:val="20"/>
        </w:rPr>
      </w:pPr>
    </w:p>
    <w:p w:rsidR="00431DB3" w:rsidRPr="004D1A29" w:rsidRDefault="00431DB3" w:rsidP="00B07A9D">
      <w:pPr>
        <w:numPr>
          <w:ilvl w:val="0"/>
          <w:numId w:val="29"/>
        </w:numPr>
        <w:spacing w:after="0" w:line="312" w:lineRule="auto"/>
        <w:ind w:left="357" w:hanging="357"/>
        <w:jc w:val="both"/>
        <w:rPr>
          <w:rFonts w:ascii="Verdana" w:hAnsi="Verdana"/>
          <w:sz w:val="20"/>
          <w:szCs w:val="20"/>
        </w:rPr>
      </w:pPr>
      <w:r w:rsidRPr="004D1A29">
        <w:rPr>
          <w:rFonts w:ascii="Verdana" w:hAnsi="Verdana"/>
          <w:sz w:val="20"/>
          <w:szCs w:val="20"/>
        </w:rPr>
        <w:t>Studying in the EHEA</w:t>
      </w:r>
      <w:r w:rsidR="006874FE">
        <w:rPr>
          <w:rFonts w:ascii="Verdana" w:hAnsi="Verdana"/>
          <w:sz w:val="20"/>
          <w:szCs w:val="20"/>
        </w:rPr>
        <w:t>;</w:t>
      </w:r>
    </w:p>
    <w:p w:rsidR="00431DB3" w:rsidRPr="004D1A29" w:rsidRDefault="00431DB3" w:rsidP="00B07A9D">
      <w:pPr>
        <w:numPr>
          <w:ilvl w:val="0"/>
          <w:numId w:val="29"/>
        </w:numPr>
        <w:spacing w:after="0" w:line="312" w:lineRule="auto"/>
        <w:ind w:left="357" w:hanging="357"/>
        <w:jc w:val="both"/>
        <w:rPr>
          <w:rFonts w:ascii="Verdana" w:hAnsi="Verdana"/>
          <w:sz w:val="20"/>
          <w:szCs w:val="20"/>
        </w:rPr>
      </w:pPr>
      <w:r w:rsidRPr="004D1A29">
        <w:rPr>
          <w:rFonts w:ascii="Verdana" w:hAnsi="Verdana"/>
          <w:sz w:val="20"/>
          <w:szCs w:val="20"/>
        </w:rPr>
        <w:t>National accredited universities and other HE institutions, provided directly by the institutions and updated on an annual basis</w:t>
      </w:r>
      <w:r w:rsidR="006874FE">
        <w:rPr>
          <w:rFonts w:ascii="Verdana" w:hAnsi="Verdana"/>
          <w:sz w:val="20"/>
          <w:szCs w:val="20"/>
        </w:rPr>
        <w:t>;</w:t>
      </w:r>
    </w:p>
    <w:p w:rsidR="00431DB3" w:rsidRPr="004D1A29" w:rsidRDefault="00431DB3" w:rsidP="00B07A9D">
      <w:pPr>
        <w:numPr>
          <w:ilvl w:val="0"/>
          <w:numId w:val="29"/>
        </w:numPr>
        <w:spacing w:after="0" w:line="312" w:lineRule="auto"/>
        <w:ind w:left="357" w:hanging="357"/>
        <w:jc w:val="both"/>
        <w:rPr>
          <w:rFonts w:ascii="Verdana" w:hAnsi="Verdana"/>
          <w:sz w:val="20"/>
          <w:szCs w:val="20"/>
        </w:rPr>
      </w:pPr>
      <w:r w:rsidRPr="004D1A29">
        <w:rPr>
          <w:rFonts w:ascii="Verdana" w:hAnsi="Verdana"/>
          <w:sz w:val="20"/>
          <w:szCs w:val="20"/>
        </w:rPr>
        <w:t>General information about the country</w:t>
      </w:r>
      <w:r w:rsidR="006874FE">
        <w:rPr>
          <w:rFonts w:ascii="Verdana" w:hAnsi="Verdana"/>
          <w:sz w:val="20"/>
          <w:szCs w:val="20"/>
        </w:rPr>
        <w:t>;</w:t>
      </w:r>
    </w:p>
    <w:p w:rsidR="00431DB3" w:rsidRPr="004D1A29" w:rsidRDefault="00431DB3" w:rsidP="00B07A9D">
      <w:pPr>
        <w:numPr>
          <w:ilvl w:val="0"/>
          <w:numId w:val="29"/>
        </w:numPr>
        <w:spacing w:after="0" w:line="312" w:lineRule="auto"/>
        <w:ind w:left="357" w:hanging="357"/>
        <w:jc w:val="both"/>
        <w:rPr>
          <w:rFonts w:ascii="Verdana" w:hAnsi="Verdana"/>
          <w:sz w:val="20"/>
          <w:szCs w:val="20"/>
        </w:rPr>
      </w:pPr>
      <w:r w:rsidRPr="004D1A29">
        <w:rPr>
          <w:rFonts w:ascii="Verdana" w:hAnsi="Verdana"/>
          <w:sz w:val="20"/>
          <w:szCs w:val="20"/>
        </w:rPr>
        <w:t>Pre-enrolment, enrolment and admission</w:t>
      </w:r>
      <w:r w:rsidR="006874FE">
        <w:rPr>
          <w:rFonts w:ascii="Verdana" w:hAnsi="Verdana"/>
          <w:sz w:val="20"/>
          <w:szCs w:val="20"/>
        </w:rPr>
        <w:t>;</w:t>
      </w:r>
    </w:p>
    <w:p w:rsidR="00431DB3" w:rsidRPr="004D1A29" w:rsidRDefault="00431DB3" w:rsidP="00B07A9D">
      <w:pPr>
        <w:numPr>
          <w:ilvl w:val="0"/>
          <w:numId w:val="29"/>
        </w:numPr>
        <w:spacing w:after="0" w:line="312" w:lineRule="auto"/>
        <w:ind w:left="357" w:hanging="357"/>
        <w:jc w:val="both"/>
        <w:rPr>
          <w:rFonts w:ascii="Verdana" w:hAnsi="Verdana"/>
          <w:sz w:val="20"/>
          <w:szCs w:val="20"/>
        </w:rPr>
      </w:pPr>
      <w:r w:rsidRPr="004D1A29">
        <w:rPr>
          <w:rFonts w:ascii="Verdana" w:hAnsi="Verdana"/>
          <w:sz w:val="20"/>
          <w:szCs w:val="20"/>
        </w:rPr>
        <w:t xml:space="preserve">Extensive and detailed information on degree </w:t>
      </w:r>
      <w:proofErr w:type="spellStart"/>
      <w:r w:rsidRPr="004D1A29">
        <w:rPr>
          <w:rFonts w:ascii="Verdana" w:hAnsi="Verdana"/>
          <w:sz w:val="20"/>
          <w:szCs w:val="20"/>
        </w:rPr>
        <w:t>programmes</w:t>
      </w:r>
      <w:proofErr w:type="spellEnd"/>
      <w:r w:rsidRPr="004D1A29">
        <w:rPr>
          <w:rFonts w:ascii="Verdana" w:hAnsi="Verdana"/>
          <w:sz w:val="20"/>
          <w:szCs w:val="20"/>
        </w:rPr>
        <w:t xml:space="preserve"> in the first two cycles</w:t>
      </w:r>
      <w:r w:rsidR="006874FE">
        <w:rPr>
          <w:rFonts w:ascii="Verdana" w:hAnsi="Verdana"/>
          <w:sz w:val="20"/>
          <w:szCs w:val="20"/>
        </w:rPr>
        <w:t>;</w:t>
      </w:r>
    </w:p>
    <w:p w:rsidR="00431DB3" w:rsidRPr="004D1A29" w:rsidRDefault="00431DB3" w:rsidP="00B07A9D">
      <w:pPr>
        <w:numPr>
          <w:ilvl w:val="0"/>
          <w:numId w:val="29"/>
        </w:numPr>
        <w:spacing w:after="0" w:line="312" w:lineRule="auto"/>
        <w:ind w:left="357" w:hanging="357"/>
        <w:jc w:val="both"/>
        <w:rPr>
          <w:rFonts w:ascii="Verdana" w:hAnsi="Verdana"/>
          <w:sz w:val="20"/>
          <w:szCs w:val="20"/>
        </w:rPr>
      </w:pPr>
      <w:r w:rsidRPr="004D1A29">
        <w:rPr>
          <w:rFonts w:ascii="Verdana" w:hAnsi="Verdana"/>
          <w:sz w:val="20"/>
          <w:szCs w:val="20"/>
        </w:rPr>
        <w:t>Contact information for students advice at institutional level</w:t>
      </w:r>
      <w:r w:rsidR="006874FE">
        <w:rPr>
          <w:rFonts w:ascii="Verdana" w:hAnsi="Verdana"/>
          <w:sz w:val="20"/>
          <w:szCs w:val="20"/>
        </w:rPr>
        <w:t>;</w:t>
      </w:r>
    </w:p>
    <w:p w:rsidR="00431DB3" w:rsidRPr="004D1A29" w:rsidRDefault="00431DB3" w:rsidP="00B07A9D">
      <w:pPr>
        <w:numPr>
          <w:ilvl w:val="0"/>
          <w:numId w:val="29"/>
        </w:numPr>
        <w:spacing w:after="0" w:line="312" w:lineRule="auto"/>
        <w:ind w:left="357" w:hanging="357"/>
        <w:jc w:val="both"/>
        <w:rPr>
          <w:rFonts w:ascii="Verdana" w:hAnsi="Verdana"/>
          <w:sz w:val="20"/>
          <w:szCs w:val="20"/>
        </w:rPr>
      </w:pPr>
      <w:r w:rsidRPr="004D1A29">
        <w:rPr>
          <w:rFonts w:ascii="Verdana" w:hAnsi="Verdana"/>
          <w:sz w:val="20"/>
          <w:szCs w:val="20"/>
        </w:rPr>
        <w:t>Information on doctoral studies</w:t>
      </w:r>
      <w:r w:rsidR="006874FE">
        <w:rPr>
          <w:rFonts w:ascii="Verdana" w:hAnsi="Verdana"/>
          <w:sz w:val="20"/>
          <w:szCs w:val="20"/>
        </w:rPr>
        <w:t>;</w:t>
      </w:r>
    </w:p>
    <w:p w:rsidR="00431DB3" w:rsidRPr="004D1A29" w:rsidRDefault="00431DB3" w:rsidP="00B07A9D">
      <w:pPr>
        <w:numPr>
          <w:ilvl w:val="0"/>
          <w:numId w:val="29"/>
        </w:numPr>
        <w:spacing w:after="0" w:line="312" w:lineRule="auto"/>
        <w:ind w:left="357" w:hanging="357"/>
        <w:jc w:val="both"/>
        <w:rPr>
          <w:rFonts w:ascii="Verdana" w:hAnsi="Verdana"/>
          <w:sz w:val="20"/>
          <w:szCs w:val="20"/>
        </w:rPr>
      </w:pPr>
      <w:r w:rsidRPr="004D1A29">
        <w:rPr>
          <w:rFonts w:ascii="Verdana" w:hAnsi="Verdana"/>
          <w:sz w:val="20"/>
          <w:szCs w:val="20"/>
        </w:rPr>
        <w:t>Partnerships between National and foreign institutions</w:t>
      </w:r>
      <w:r w:rsidR="006874FE">
        <w:rPr>
          <w:rFonts w:ascii="Verdana" w:hAnsi="Verdana"/>
          <w:sz w:val="20"/>
          <w:szCs w:val="20"/>
        </w:rPr>
        <w:t>;</w:t>
      </w:r>
    </w:p>
    <w:p w:rsidR="00431DB3" w:rsidRPr="004D1A29" w:rsidRDefault="00431DB3" w:rsidP="00B07A9D">
      <w:pPr>
        <w:numPr>
          <w:ilvl w:val="0"/>
          <w:numId w:val="29"/>
        </w:numPr>
        <w:spacing w:after="0" w:line="312" w:lineRule="auto"/>
        <w:ind w:left="357" w:hanging="357"/>
        <w:jc w:val="both"/>
        <w:rPr>
          <w:rFonts w:ascii="Verdana" w:hAnsi="Verdana"/>
          <w:sz w:val="20"/>
          <w:szCs w:val="20"/>
        </w:rPr>
      </w:pPr>
      <w:r w:rsidRPr="004D1A29">
        <w:rPr>
          <w:rFonts w:ascii="Verdana" w:hAnsi="Verdana"/>
          <w:sz w:val="20"/>
          <w:szCs w:val="20"/>
        </w:rPr>
        <w:t>Graduation, departure and further studies</w:t>
      </w:r>
      <w:r w:rsidR="006874FE">
        <w:rPr>
          <w:rFonts w:ascii="Verdana" w:hAnsi="Verdana"/>
          <w:sz w:val="20"/>
          <w:szCs w:val="20"/>
        </w:rPr>
        <w:t>;</w:t>
      </w:r>
    </w:p>
    <w:p w:rsidR="00431DB3" w:rsidRDefault="00431DB3" w:rsidP="00B07A9D">
      <w:pPr>
        <w:numPr>
          <w:ilvl w:val="0"/>
          <w:numId w:val="29"/>
        </w:numPr>
        <w:spacing w:after="0" w:line="312" w:lineRule="auto"/>
        <w:ind w:left="357" w:hanging="357"/>
        <w:jc w:val="both"/>
        <w:rPr>
          <w:rFonts w:ascii="Verdana" w:hAnsi="Verdana"/>
          <w:sz w:val="20"/>
          <w:szCs w:val="20"/>
        </w:rPr>
      </w:pPr>
      <w:r w:rsidRPr="004D1A29">
        <w:rPr>
          <w:rFonts w:ascii="Verdana" w:hAnsi="Verdana"/>
          <w:sz w:val="20"/>
          <w:szCs w:val="20"/>
        </w:rPr>
        <w:t>Work opportunities</w:t>
      </w:r>
      <w:r w:rsidR="006874FE">
        <w:rPr>
          <w:rFonts w:ascii="Verdana" w:hAnsi="Verdana"/>
          <w:sz w:val="20"/>
          <w:szCs w:val="20"/>
        </w:rPr>
        <w:t>.</w:t>
      </w:r>
    </w:p>
    <w:p w:rsidR="006874FE" w:rsidRPr="004D1A29" w:rsidRDefault="006874FE" w:rsidP="006874FE">
      <w:pPr>
        <w:spacing w:after="0" w:line="312" w:lineRule="auto"/>
        <w:jc w:val="both"/>
        <w:rPr>
          <w:rFonts w:ascii="Verdana" w:hAnsi="Verdana"/>
          <w:sz w:val="20"/>
          <w:szCs w:val="20"/>
        </w:rPr>
      </w:pPr>
    </w:p>
    <w:p w:rsidR="00431DB3" w:rsidRDefault="00431DB3" w:rsidP="006874FE">
      <w:pPr>
        <w:spacing w:after="0" w:line="312" w:lineRule="auto"/>
        <w:ind w:left="57"/>
        <w:jc w:val="both"/>
        <w:rPr>
          <w:rFonts w:ascii="Verdana" w:hAnsi="Verdana"/>
          <w:sz w:val="20"/>
          <w:szCs w:val="20"/>
        </w:rPr>
      </w:pPr>
      <w:r w:rsidRPr="004D1A29">
        <w:rPr>
          <w:rFonts w:ascii="Verdana" w:hAnsi="Verdana"/>
          <w:sz w:val="20"/>
          <w:szCs w:val="20"/>
        </w:rPr>
        <w:t xml:space="preserve">Basic </w:t>
      </w:r>
      <w:r w:rsidRPr="004D1A29">
        <w:rPr>
          <w:rFonts w:ascii="Verdana" w:hAnsi="Verdana"/>
          <w:b/>
          <w:sz w:val="20"/>
          <w:szCs w:val="20"/>
        </w:rPr>
        <w:t>information on the EHEA</w:t>
      </w:r>
      <w:r w:rsidRPr="004D1A29">
        <w:rPr>
          <w:rFonts w:ascii="Verdana" w:hAnsi="Verdana"/>
          <w:sz w:val="20"/>
          <w:szCs w:val="20"/>
        </w:rPr>
        <w:t xml:space="preserve"> should be provided since the very first contact of a potential applicant providing general principles and information on studying in the EHEA. This is important not only for the student’s experience but also for the international reputation of the EHEA in other regions of the world. The information provided should give a fair picture of the EHEA, including at least the following</w:t>
      </w:r>
      <w:r w:rsidR="006874FE">
        <w:rPr>
          <w:rFonts w:ascii="Verdana" w:hAnsi="Verdana"/>
          <w:sz w:val="20"/>
          <w:szCs w:val="20"/>
        </w:rPr>
        <w:t>:</w:t>
      </w:r>
    </w:p>
    <w:p w:rsidR="008E509A" w:rsidRPr="004D1A29" w:rsidRDefault="008E509A" w:rsidP="006874FE">
      <w:pPr>
        <w:spacing w:after="0" w:line="312" w:lineRule="auto"/>
        <w:ind w:left="57"/>
        <w:jc w:val="both"/>
        <w:rPr>
          <w:rFonts w:ascii="Verdana" w:hAnsi="Verdana"/>
          <w:sz w:val="20"/>
          <w:szCs w:val="20"/>
        </w:rPr>
      </w:pPr>
    </w:p>
    <w:p w:rsidR="00431DB3" w:rsidRPr="004D1A29" w:rsidRDefault="00431DB3" w:rsidP="00B07A9D">
      <w:pPr>
        <w:numPr>
          <w:ilvl w:val="0"/>
          <w:numId w:val="28"/>
        </w:numPr>
        <w:spacing w:after="0" w:line="312" w:lineRule="auto"/>
        <w:ind w:left="417"/>
        <w:jc w:val="both"/>
        <w:rPr>
          <w:rFonts w:ascii="Verdana" w:hAnsi="Verdana"/>
          <w:sz w:val="20"/>
          <w:szCs w:val="20"/>
        </w:rPr>
      </w:pPr>
      <w:r w:rsidRPr="004D1A29">
        <w:rPr>
          <w:rFonts w:ascii="Verdana" w:hAnsi="Verdana"/>
          <w:sz w:val="20"/>
          <w:szCs w:val="20"/>
        </w:rPr>
        <w:t>Overview of the EHEA principles: structure of studies</w:t>
      </w:r>
      <w:r w:rsidR="006874FE">
        <w:rPr>
          <w:rFonts w:ascii="Verdana" w:hAnsi="Verdana"/>
          <w:sz w:val="20"/>
          <w:szCs w:val="20"/>
        </w:rPr>
        <w:t>;</w:t>
      </w:r>
      <w:r w:rsidRPr="004D1A29">
        <w:rPr>
          <w:rFonts w:ascii="Verdana" w:hAnsi="Verdana"/>
          <w:sz w:val="20"/>
          <w:szCs w:val="20"/>
        </w:rPr>
        <w:t xml:space="preserve">  </w:t>
      </w:r>
    </w:p>
    <w:p w:rsidR="00431DB3" w:rsidRPr="004D1A29" w:rsidRDefault="00431DB3" w:rsidP="00B07A9D">
      <w:pPr>
        <w:numPr>
          <w:ilvl w:val="0"/>
          <w:numId w:val="28"/>
        </w:numPr>
        <w:spacing w:after="0" w:line="312" w:lineRule="auto"/>
        <w:ind w:left="417"/>
        <w:jc w:val="both"/>
        <w:rPr>
          <w:rFonts w:ascii="Verdana" w:hAnsi="Verdana"/>
          <w:sz w:val="20"/>
          <w:szCs w:val="20"/>
        </w:rPr>
      </w:pPr>
      <w:r w:rsidRPr="004D1A29">
        <w:rPr>
          <w:rFonts w:ascii="Verdana" w:hAnsi="Verdana"/>
          <w:sz w:val="20"/>
          <w:szCs w:val="20"/>
        </w:rPr>
        <w:t>Qualifications frameworks (EHEA-QF &amp; links to NQFs)</w:t>
      </w:r>
      <w:r w:rsidR="006874FE">
        <w:rPr>
          <w:rFonts w:ascii="Verdana" w:hAnsi="Verdana"/>
          <w:sz w:val="20"/>
          <w:szCs w:val="20"/>
        </w:rPr>
        <w:t>;</w:t>
      </w:r>
      <w:r w:rsidRPr="004D1A29">
        <w:rPr>
          <w:rFonts w:ascii="Verdana" w:hAnsi="Verdana"/>
          <w:sz w:val="20"/>
          <w:szCs w:val="20"/>
        </w:rPr>
        <w:t xml:space="preserve"> </w:t>
      </w:r>
    </w:p>
    <w:p w:rsidR="00431DB3" w:rsidRPr="004D1A29" w:rsidRDefault="00431DB3" w:rsidP="00B07A9D">
      <w:pPr>
        <w:numPr>
          <w:ilvl w:val="0"/>
          <w:numId w:val="28"/>
        </w:numPr>
        <w:spacing w:after="0" w:line="312" w:lineRule="auto"/>
        <w:ind w:left="417"/>
        <w:jc w:val="both"/>
        <w:rPr>
          <w:rFonts w:ascii="Verdana" w:hAnsi="Verdana"/>
          <w:sz w:val="20"/>
          <w:szCs w:val="20"/>
        </w:rPr>
      </w:pPr>
      <w:r w:rsidRPr="004D1A29">
        <w:rPr>
          <w:rFonts w:ascii="Verdana" w:hAnsi="Verdana"/>
          <w:sz w:val="20"/>
          <w:szCs w:val="20"/>
        </w:rPr>
        <w:t xml:space="preserve">Overall view on different tracks of HE study </w:t>
      </w:r>
      <w:proofErr w:type="spellStart"/>
      <w:r w:rsidRPr="004D1A29">
        <w:rPr>
          <w:rFonts w:ascii="Verdana" w:hAnsi="Verdana"/>
          <w:sz w:val="20"/>
          <w:szCs w:val="20"/>
        </w:rPr>
        <w:t>programmes</w:t>
      </w:r>
      <w:proofErr w:type="spellEnd"/>
      <w:r w:rsidRPr="004D1A29">
        <w:rPr>
          <w:rFonts w:ascii="Verdana" w:hAnsi="Verdana"/>
          <w:sz w:val="20"/>
          <w:szCs w:val="20"/>
        </w:rPr>
        <w:t xml:space="preserve"> according to subject</w:t>
      </w:r>
      <w:r w:rsidR="006874FE">
        <w:rPr>
          <w:rFonts w:ascii="Verdana" w:hAnsi="Verdana"/>
          <w:sz w:val="20"/>
          <w:szCs w:val="20"/>
        </w:rPr>
        <w:t xml:space="preserve"> areas and jobs sought after;</w:t>
      </w:r>
    </w:p>
    <w:p w:rsidR="00431DB3" w:rsidRPr="004D1A29" w:rsidRDefault="00431DB3" w:rsidP="00B07A9D">
      <w:pPr>
        <w:numPr>
          <w:ilvl w:val="0"/>
          <w:numId w:val="28"/>
        </w:numPr>
        <w:spacing w:after="0" w:line="312" w:lineRule="auto"/>
        <w:ind w:left="417"/>
        <w:jc w:val="both"/>
        <w:rPr>
          <w:rFonts w:ascii="Verdana" w:hAnsi="Verdana"/>
          <w:sz w:val="20"/>
          <w:szCs w:val="20"/>
        </w:rPr>
      </w:pPr>
      <w:r w:rsidRPr="004D1A29">
        <w:rPr>
          <w:rFonts w:ascii="Verdana" w:hAnsi="Verdana"/>
          <w:sz w:val="20"/>
          <w:szCs w:val="20"/>
        </w:rPr>
        <w:t>Bologna tools: ECTS credit system, Diploma Supplement</w:t>
      </w:r>
      <w:r w:rsidR="006874FE">
        <w:rPr>
          <w:rFonts w:ascii="Verdana" w:hAnsi="Verdana"/>
          <w:sz w:val="20"/>
          <w:szCs w:val="20"/>
        </w:rPr>
        <w:t>;</w:t>
      </w:r>
    </w:p>
    <w:p w:rsidR="00431DB3" w:rsidRPr="004D1A29" w:rsidRDefault="00431DB3" w:rsidP="00B07A9D">
      <w:pPr>
        <w:numPr>
          <w:ilvl w:val="0"/>
          <w:numId w:val="28"/>
        </w:numPr>
        <w:spacing w:after="0" w:line="312" w:lineRule="auto"/>
        <w:ind w:left="417"/>
        <w:jc w:val="both"/>
        <w:rPr>
          <w:rFonts w:ascii="Verdana" w:hAnsi="Verdana"/>
          <w:sz w:val="20"/>
          <w:szCs w:val="20"/>
        </w:rPr>
      </w:pPr>
      <w:r w:rsidRPr="004D1A29">
        <w:rPr>
          <w:rFonts w:ascii="Verdana" w:hAnsi="Verdana"/>
          <w:sz w:val="20"/>
          <w:szCs w:val="20"/>
        </w:rPr>
        <w:t>Quality assurance</w:t>
      </w:r>
      <w:r w:rsidR="006874FE">
        <w:rPr>
          <w:rFonts w:ascii="Verdana" w:hAnsi="Verdana"/>
          <w:sz w:val="20"/>
          <w:szCs w:val="20"/>
        </w:rPr>
        <w:t>;</w:t>
      </w:r>
    </w:p>
    <w:p w:rsidR="00431DB3" w:rsidRPr="004D1A29" w:rsidRDefault="00431DB3" w:rsidP="00B07A9D">
      <w:pPr>
        <w:numPr>
          <w:ilvl w:val="0"/>
          <w:numId w:val="28"/>
        </w:numPr>
        <w:spacing w:after="0" w:line="312" w:lineRule="auto"/>
        <w:ind w:left="417"/>
        <w:jc w:val="both"/>
        <w:rPr>
          <w:rFonts w:ascii="Verdana" w:hAnsi="Verdana"/>
          <w:sz w:val="20"/>
          <w:szCs w:val="20"/>
        </w:rPr>
      </w:pPr>
      <w:r w:rsidRPr="004D1A29">
        <w:rPr>
          <w:rFonts w:ascii="Verdana" w:hAnsi="Verdana"/>
          <w:sz w:val="20"/>
          <w:szCs w:val="20"/>
        </w:rPr>
        <w:t>Lisbon Convention: recognition of study periods and degrees</w:t>
      </w:r>
      <w:r w:rsidR="006874FE">
        <w:rPr>
          <w:rFonts w:ascii="Verdana" w:hAnsi="Verdana"/>
          <w:sz w:val="20"/>
          <w:szCs w:val="20"/>
        </w:rPr>
        <w:t>;</w:t>
      </w:r>
    </w:p>
    <w:p w:rsidR="00431DB3" w:rsidRPr="004D1A29" w:rsidRDefault="00431DB3" w:rsidP="00B07A9D">
      <w:pPr>
        <w:numPr>
          <w:ilvl w:val="0"/>
          <w:numId w:val="28"/>
        </w:numPr>
        <w:spacing w:after="0" w:line="312" w:lineRule="auto"/>
        <w:ind w:left="414" w:hanging="357"/>
        <w:jc w:val="both"/>
        <w:rPr>
          <w:rFonts w:ascii="Verdana" w:hAnsi="Verdana"/>
          <w:sz w:val="20"/>
          <w:szCs w:val="20"/>
        </w:rPr>
      </w:pPr>
      <w:r w:rsidRPr="004D1A29">
        <w:rPr>
          <w:rFonts w:ascii="Verdana" w:hAnsi="Verdana"/>
          <w:sz w:val="20"/>
          <w:szCs w:val="20"/>
        </w:rPr>
        <w:t xml:space="preserve">Living in the EHEA (different cultures, different living costs (average and range), visas and Schengen area or not, etc.).  </w:t>
      </w:r>
    </w:p>
    <w:p w:rsidR="006E14D4" w:rsidRDefault="006E14D4" w:rsidP="006E14D4">
      <w:pPr>
        <w:spacing w:after="0" w:line="312" w:lineRule="auto"/>
        <w:ind w:left="57"/>
        <w:jc w:val="both"/>
        <w:rPr>
          <w:rFonts w:ascii="Verdana" w:hAnsi="Verdana"/>
          <w:sz w:val="20"/>
          <w:szCs w:val="20"/>
        </w:rPr>
      </w:pPr>
    </w:p>
    <w:p w:rsidR="00431DB3" w:rsidRDefault="00431DB3" w:rsidP="006E14D4">
      <w:pPr>
        <w:spacing w:after="0" w:line="312" w:lineRule="auto"/>
        <w:ind w:left="57"/>
        <w:jc w:val="both"/>
        <w:rPr>
          <w:rFonts w:ascii="Verdana" w:hAnsi="Verdana"/>
          <w:sz w:val="20"/>
          <w:szCs w:val="20"/>
        </w:rPr>
      </w:pPr>
      <w:r w:rsidRPr="004D1A29">
        <w:rPr>
          <w:rFonts w:ascii="Verdana" w:hAnsi="Verdana"/>
          <w:sz w:val="20"/>
          <w:szCs w:val="20"/>
        </w:rPr>
        <w:t xml:space="preserve">This part should clearly inform on the common characteristics of the national </w:t>
      </w:r>
      <w:proofErr w:type="gramStart"/>
      <w:r w:rsidRPr="004D1A29">
        <w:rPr>
          <w:rFonts w:ascii="Verdana" w:hAnsi="Verdana"/>
          <w:sz w:val="20"/>
          <w:szCs w:val="20"/>
        </w:rPr>
        <w:t>HE</w:t>
      </w:r>
      <w:proofErr w:type="gramEnd"/>
      <w:r w:rsidRPr="004D1A29">
        <w:rPr>
          <w:rFonts w:ascii="Verdana" w:hAnsi="Verdana"/>
          <w:sz w:val="20"/>
          <w:szCs w:val="20"/>
        </w:rPr>
        <w:t xml:space="preserve"> systems within the EHEA. It should be emphasized the compatibility and comparability of the different national HE systems concerning qualifications, learning outcomes, teaching and learning methodologies, quality assurance, etc., while keeping the diversity of  the different countries and institutions within the EHEA. </w:t>
      </w:r>
    </w:p>
    <w:p w:rsidR="006E14D4" w:rsidRPr="004D1A29" w:rsidRDefault="006E14D4" w:rsidP="006E14D4">
      <w:pPr>
        <w:spacing w:after="0" w:line="312" w:lineRule="auto"/>
        <w:ind w:left="57"/>
        <w:jc w:val="both"/>
        <w:rPr>
          <w:rFonts w:ascii="Verdana" w:hAnsi="Verdana"/>
          <w:sz w:val="20"/>
          <w:szCs w:val="20"/>
        </w:rPr>
      </w:pPr>
    </w:p>
    <w:p w:rsidR="00431DB3" w:rsidRDefault="00431DB3" w:rsidP="006E14D4">
      <w:pPr>
        <w:spacing w:after="0" w:line="312" w:lineRule="auto"/>
        <w:ind w:left="57"/>
        <w:jc w:val="both"/>
        <w:rPr>
          <w:rFonts w:ascii="Verdana" w:hAnsi="Verdana"/>
          <w:sz w:val="20"/>
          <w:szCs w:val="20"/>
        </w:rPr>
      </w:pPr>
      <w:r w:rsidRPr="004D1A29">
        <w:rPr>
          <w:rFonts w:ascii="Verdana" w:hAnsi="Verdana"/>
          <w:sz w:val="20"/>
          <w:szCs w:val="20"/>
        </w:rPr>
        <w:t xml:space="preserve">Links to all </w:t>
      </w:r>
      <w:r w:rsidRPr="004D1A29">
        <w:rPr>
          <w:rFonts w:ascii="Verdana" w:hAnsi="Verdana"/>
          <w:b/>
          <w:sz w:val="20"/>
          <w:szCs w:val="20"/>
        </w:rPr>
        <w:t>universities and HE institutions in the country</w:t>
      </w:r>
      <w:r w:rsidRPr="004D1A29">
        <w:rPr>
          <w:rFonts w:ascii="Verdana" w:hAnsi="Verdana"/>
          <w:sz w:val="20"/>
          <w:szCs w:val="20"/>
        </w:rPr>
        <w:t xml:space="preserve"> should be provided with reference to other national and international sources of information including links to relevant websites. In addition potential applicants should be informed that acceptance into a course does not guarantee successful completion, or permanent residence and employment after graduation.</w:t>
      </w:r>
    </w:p>
    <w:p w:rsidR="006E14D4" w:rsidRPr="004D1A29" w:rsidRDefault="006E14D4" w:rsidP="006E14D4">
      <w:pPr>
        <w:spacing w:after="0" w:line="312" w:lineRule="auto"/>
        <w:ind w:left="57"/>
        <w:jc w:val="both"/>
        <w:rPr>
          <w:rFonts w:ascii="Verdana" w:hAnsi="Verdana"/>
          <w:sz w:val="20"/>
          <w:szCs w:val="20"/>
        </w:rPr>
      </w:pPr>
    </w:p>
    <w:p w:rsidR="00431DB3" w:rsidRDefault="00431DB3" w:rsidP="002747D1">
      <w:pPr>
        <w:spacing w:after="0" w:line="312" w:lineRule="auto"/>
        <w:jc w:val="both"/>
        <w:rPr>
          <w:rFonts w:ascii="Verdana" w:hAnsi="Verdana"/>
          <w:sz w:val="20"/>
          <w:szCs w:val="20"/>
        </w:rPr>
      </w:pPr>
      <w:r w:rsidRPr="004D1A29">
        <w:rPr>
          <w:rFonts w:ascii="Verdana" w:hAnsi="Verdana"/>
          <w:sz w:val="20"/>
          <w:szCs w:val="20"/>
        </w:rPr>
        <w:lastRenderedPageBreak/>
        <w:t xml:space="preserve">The information provided by </w:t>
      </w:r>
      <w:proofErr w:type="gramStart"/>
      <w:r w:rsidRPr="004D1A29">
        <w:rPr>
          <w:rFonts w:ascii="Verdana" w:hAnsi="Verdana"/>
          <w:sz w:val="20"/>
          <w:szCs w:val="20"/>
        </w:rPr>
        <w:t>HE</w:t>
      </w:r>
      <w:proofErr w:type="gramEnd"/>
      <w:r w:rsidRPr="004D1A29">
        <w:rPr>
          <w:rFonts w:ascii="Verdana" w:hAnsi="Verdana"/>
          <w:sz w:val="20"/>
          <w:szCs w:val="20"/>
        </w:rPr>
        <w:t xml:space="preserve"> institutions should be reviewed on a regular basis to ensure that it remains continuously updated and that opportunities for the students to obtain in due time further and deeper information is in place at institutional level. </w:t>
      </w:r>
    </w:p>
    <w:p w:rsidR="006E14D4" w:rsidRPr="004D1A29" w:rsidRDefault="006E14D4" w:rsidP="002747D1">
      <w:pPr>
        <w:spacing w:after="0" w:line="312" w:lineRule="auto"/>
        <w:jc w:val="both"/>
        <w:rPr>
          <w:rFonts w:ascii="Verdana" w:hAnsi="Verdana"/>
          <w:sz w:val="20"/>
          <w:szCs w:val="20"/>
        </w:rPr>
      </w:pPr>
    </w:p>
    <w:p w:rsidR="00431DB3" w:rsidRDefault="00431DB3" w:rsidP="002747D1">
      <w:pPr>
        <w:spacing w:after="0" w:line="312" w:lineRule="auto"/>
        <w:jc w:val="both"/>
        <w:rPr>
          <w:rFonts w:ascii="Verdana" w:hAnsi="Verdana"/>
          <w:sz w:val="20"/>
          <w:szCs w:val="20"/>
        </w:rPr>
      </w:pPr>
      <w:r w:rsidRPr="004D1A29">
        <w:rPr>
          <w:rFonts w:ascii="Verdana" w:hAnsi="Verdana"/>
          <w:sz w:val="20"/>
          <w:szCs w:val="20"/>
        </w:rPr>
        <w:t xml:space="preserve">Information on </w:t>
      </w:r>
      <w:r w:rsidRPr="004D1A29">
        <w:rPr>
          <w:rFonts w:ascii="Verdana" w:hAnsi="Verdana"/>
          <w:b/>
          <w:sz w:val="20"/>
          <w:szCs w:val="20"/>
        </w:rPr>
        <w:t xml:space="preserve">degree </w:t>
      </w:r>
      <w:proofErr w:type="spellStart"/>
      <w:r w:rsidRPr="004D1A29">
        <w:rPr>
          <w:rFonts w:ascii="Verdana" w:hAnsi="Verdana"/>
          <w:b/>
          <w:sz w:val="20"/>
          <w:szCs w:val="20"/>
        </w:rPr>
        <w:t>programmes</w:t>
      </w:r>
      <w:proofErr w:type="spellEnd"/>
      <w:r w:rsidRPr="004D1A29">
        <w:rPr>
          <w:rFonts w:ascii="Verdana" w:hAnsi="Verdana"/>
          <w:sz w:val="20"/>
          <w:szCs w:val="20"/>
        </w:rPr>
        <w:t xml:space="preserve"> should include:</w:t>
      </w:r>
    </w:p>
    <w:p w:rsidR="006E14D4" w:rsidRPr="004D1A29" w:rsidRDefault="006E14D4" w:rsidP="002747D1">
      <w:pPr>
        <w:spacing w:after="0" w:line="312" w:lineRule="auto"/>
        <w:jc w:val="both"/>
        <w:rPr>
          <w:rFonts w:ascii="Verdana" w:hAnsi="Verdana"/>
          <w:sz w:val="20"/>
          <w:szCs w:val="20"/>
        </w:rPr>
      </w:pPr>
    </w:p>
    <w:p w:rsidR="00431DB3" w:rsidRPr="004D1A29" w:rsidRDefault="00431DB3" w:rsidP="00B07A9D">
      <w:pPr>
        <w:numPr>
          <w:ilvl w:val="0"/>
          <w:numId w:val="30"/>
        </w:numPr>
        <w:spacing w:after="0" w:line="312" w:lineRule="auto"/>
        <w:ind w:hanging="357"/>
        <w:jc w:val="both"/>
        <w:rPr>
          <w:rFonts w:ascii="Verdana" w:hAnsi="Verdana"/>
          <w:sz w:val="20"/>
          <w:szCs w:val="20"/>
        </w:rPr>
      </w:pPr>
      <w:r w:rsidRPr="004D1A29">
        <w:rPr>
          <w:rFonts w:ascii="Verdana" w:hAnsi="Verdana"/>
          <w:sz w:val="20"/>
          <w:szCs w:val="20"/>
        </w:rPr>
        <w:t>Basic orientation information for interested students edited at National level</w:t>
      </w:r>
      <w:r w:rsidR="006E14D4">
        <w:rPr>
          <w:rFonts w:ascii="Verdana" w:hAnsi="Verdana"/>
          <w:sz w:val="20"/>
          <w:szCs w:val="20"/>
        </w:rPr>
        <w:t>;</w:t>
      </w:r>
    </w:p>
    <w:p w:rsidR="00431DB3" w:rsidRPr="004D1A29" w:rsidRDefault="00431DB3" w:rsidP="00B07A9D">
      <w:pPr>
        <w:numPr>
          <w:ilvl w:val="0"/>
          <w:numId w:val="30"/>
        </w:numPr>
        <w:spacing w:after="0" w:line="312" w:lineRule="auto"/>
        <w:ind w:hanging="357"/>
        <w:jc w:val="both"/>
        <w:rPr>
          <w:rFonts w:ascii="Verdana" w:hAnsi="Verdana"/>
          <w:sz w:val="20"/>
          <w:szCs w:val="20"/>
        </w:rPr>
      </w:pPr>
      <w:r w:rsidRPr="004D1A29">
        <w:rPr>
          <w:rFonts w:ascii="Verdana" w:hAnsi="Verdana"/>
          <w:sz w:val="20"/>
          <w:szCs w:val="20"/>
        </w:rPr>
        <w:t xml:space="preserve">General search functionality offering a preliminary overview of </w:t>
      </w:r>
      <w:proofErr w:type="spellStart"/>
      <w:r w:rsidRPr="004D1A29">
        <w:rPr>
          <w:rFonts w:ascii="Verdana" w:hAnsi="Verdana"/>
          <w:sz w:val="20"/>
          <w:szCs w:val="20"/>
        </w:rPr>
        <w:t>programmes</w:t>
      </w:r>
      <w:proofErr w:type="spellEnd"/>
      <w:r w:rsidRPr="004D1A29">
        <w:rPr>
          <w:rFonts w:ascii="Verdana" w:hAnsi="Verdana"/>
          <w:sz w:val="20"/>
          <w:szCs w:val="20"/>
        </w:rPr>
        <w:t xml:space="preserve"> and institutions. The fields addressed could be the name of the study </w:t>
      </w:r>
      <w:proofErr w:type="spellStart"/>
      <w:r w:rsidRPr="004D1A29">
        <w:rPr>
          <w:rFonts w:ascii="Verdana" w:hAnsi="Verdana"/>
          <w:sz w:val="20"/>
          <w:szCs w:val="20"/>
        </w:rPr>
        <w:t>programme</w:t>
      </w:r>
      <w:proofErr w:type="spellEnd"/>
      <w:r w:rsidRPr="004D1A29">
        <w:rPr>
          <w:rFonts w:ascii="Verdana" w:hAnsi="Verdana"/>
          <w:sz w:val="20"/>
          <w:szCs w:val="20"/>
        </w:rPr>
        <w:t>, the subject</w:t>
      </w:r>
      <w:r w:rsidR="006E14D4">
        <w:rPr>
          <w:rFonts w:ascii="Verdana" w:hAnsi="Verdana"/>
          <w:sz w:val="20"/>
          <w:szCs w:val="20"/>
        </w:rPr>
        <w:t xml:space="preserve"> and the area of specialization;</w:t>
      </w:r>
    </w:p>
    <w:p w:rsidR="00431DB3" w:rsidRDefault="00431DB3" w:rsidP="00B07A9D">
      <w:pPr>
        <w:numPr>
          <w:ilvl w:val="0"/>
          <w:numId w:val="30"/>
        </w:numPr>
        <w:spacing w:after="0" w:line="312" w:lineRule="auto"/>
        <w:ind w:hanging="357"/>
        <w:jc w:val="both"/>
        <w:rPr>
          <w:rFonts w:ascii="Verdana" w:hAnsi="Verdana"/>
          <w:sz w:val="20"/>
          <w:szCs w:val="20"/>
        </w:rPr>
      </w:pPr>
      <w:r w:rsidRPr="004D1A29">
        <w:rPr>
          <w:rFonts w:ascii="Verdana" w:hAnsi="Verdana"/>
          <w:sz w:val="20"/>
          <w:szCs w:val="20"/>
        </w:rPr>
        <w:t xml:space="preserve">Advanced search functionality offering in depth information on institutions and </w:t>
      </w:r>
      <w:proofErr w:type="spellStart"/>
      <w:r w:rsidRPr="004D1A29">
        <w:rPr>
          <w:rFonts w:ascii="Verdana" w:hAnsi="Verdana"/>
          <w:sz w:val="20"/>
          <w:szCs w:val="20"/>
        </w:rPr>
        <w:t>programmes</w:t>
      </w:r>
      <w:proofErr w:type="spellEnd"/>
      <w:r w:rsidRPr="004D1A29">
        <w:rPr>
          <w:rFonts w:ascii="Verdana" w:hAnsi="Verdana"/>
          <w:sz w:val="20"/>
          <w:szCs w:val="20"/>
        </w:rPr>
        <w:t xml:space="preserve">  based on: </w:t>
      </w:r>
    </w:p>
    <w:p w:rsidR="006E14D4" w:rsidRPr="004D1A29" w:rsidRDefault="006E14D4" w:rsidP="006E14D4">
      <w:pPr>
        <w:spacing w:after="0" w:line="312" w:lineRule="auto"/>
        <w:jc w:val="both"/>
        <w:rPr>
          <w:rFonts w:ascii="Verdana" w:hAnsi="Verdana"/>
          <w:sz w:val="20"/>
          <w:szCs w:val="20"/>
        </w:rPr>
      </w:pPr>
    </w:p>
    <w:p w:rsidR="00431DB3" w:rsidRPr="004D1A29" w:rsidRDefault="00431DB3" w:rsidP="00B07A9D">
      <w:pPr>
        <w:numPr>
          <w:ilvl w:val="1"/>
          <w:numId w:val="30"/>
        </w:numPr>
        <w:spacing w:after="0" w:line="312" w:lineRule="auto"/>
        <w:ind w:hanging="357"/>
        <w:jc w:val="both"/>
        <w:rPr>
          <w:rFonts w:ascii="Verdana" w:hAnsi="Verdana"/>
          <w:sz w:val="20"/>
          <w:szCs w:val="20"/>
        </w:rPr>
      </w:pPr>
      <w:r w:rsidRPr="004D1A29">
        <w:rPr>
          <w:rFonts w:ascii="Verdana" w:hAnsi="Verdana"/>
          <w:sz w:val="20"/>
          <w:szCs w:val="20"/>
        </w:rPr>
        <w:t xml:space="preserve">Study type and field of study; </w:t>
      </w:r>
    </w:p>
    <w:p w:rsidR="00431DB3" w:rsidRPr="004D1A29" w:rsidRDefault="00431DB3" w:rsidP="00B07A9D">
      <w:pPr>
        <w:numPr>
          <w:ilvl w:val="1"/>
          <w:numId w:val="30"/>
        </w:numPr>
        <w:spacing w:after="0" w:line="312" w:lineRule="auto"/>
        <w:ind w:hanging="357"/>
        <w:jc w:val="both"/>
        <w:rPr>
          <w:rFonts w:ascii="Verdana" w:hAnsi="Verdana"/>
          <w:sz w:val="20"/>
          <w:szCs w:val="20"/>
        </w:rPr>
      </w:pPr>
      <w:r w:rsidRPr="004D1A29">
        <w:rPr>
          <w:rFonts w:ascii="Verdana" w:hAnsi="Verdana"/>
          <w:sz w:val="20"/>
          <w:szCs w:val="20"/>
        </w:rPr>
        <w:t xml:space="preserve">Geographical area or region of interest; </w:t>
      </w:r>
    </w:p>
    <w:p w:rsidR="00431DB3" w:rsidRPr="004D1A29" w:rsidRDefault="006E14D4" w:rsidP="00B07A9D">
      <w:pPr>
        <w:numPr>
          <w:ilvl w:val="1"/>
          <w:numId w:val="30"/>
        </w:numPr>
        <w:spacing w:after="0" w:line="312" w:lineRule="auto"/>
        <w:ind w:hanging="357"/>
        <w:jc w:val="both"/>
        <w:rPr>
          <w:rFonts w:ascii="Verdana" w:hAnsi="Verdana"/>
          <w:sz w:val="20"/>
          <w:szCs w:val="20"/>
        </w:rPr>
      </w:pPr>
      <w:proofErr w:type="spellStart"/>
      <w:r>
        <w:rPr>
          <w:rFonts w:ascii="Verdana" w:hAnsi="Verdana"/>
          <w:sz w:val="20"/>
          <w:szCs w:val="20"/>
        </w:rPr>
        <w:t>Programme</w:t>
      </w:r>
      <w:proofErr w:type="spellEnd"/>
      <w:r>
        <w:rPr>
          <w:rFonts w:ascii="Verdana" w:hAnsi="Verdana"/>
          <w:sz w:val="20"/>
          <w:szCs w:val="20"/>
        </w:rPr>
        <w:t xml:space="preserve"> characteristics;</w:t>
      </w:r>
    </w:p>
    <w:p w:rsidR="00431DB3" w:rsidRPr="004D1A29" w:rsidRDefault="006E14D4" w:rsidP="00B07A9D">
      <w:pPr>
        <w:numPr>
          <w:ilvl w:val="1"/>
          <w:numId w:val="30"/>
        </w:numPr>
        <w:spacing w:after="0" w:line="312" w:lineRule="auto"/>
        <w:ind w:hanging="357"/>
        <w:jc w:val="both"/>
        <w:rPr>
          <w:rFonts w:ascii="Verdana" w:hAnsi="Verdana"/>
          <w:sz w:val="20"/>
          <w:szCs w:val="20"/>
        </w:rPr>
      </w:pPr>
      <w:r>
        <w:rPr>
          <w:rFonts w:ascii="Verdana" w:hAnsi="Verdana"/>
          <w:sz w:val="20"/>
          <w:szCs w:val="20"/>
        </w:rPr>
        <w:t>Institutional characteristics;</w:t>
      </w:r>
      <w:r w:rsidR="00431DB3" w:rsidRPr="004D1A29">
        <w:rPr>
          <w:rFonts w:ascii="Verdana" w:hAnsi="Verdana"/>
          <w:sz w:val="20"/>
          <w:szCs w:val="20"/>
        </w:rPr>
        <w:t xml:space="preserve"> </w:t>
      </w:r>
    </w:p>
    <w:p w:rsidR="00431DB3" w:rsidRDefault="00431DB3" w:rsidP="00B07A9D">
      <w:pPr>
        <w:numPr>
          <w:ilvl w:val="1"/>
          <w:numId w:val="30"/>
        </w:numPr>
        <w:spacing w:after="0" w:line="312" w:lineRule="auto"/>
        <w:ind w:left="1083" w:hanging="357"/>
        <w:jc w:val="both"/>
        <w:rPr>
          <w:rFonts w:ascii="Verdana" w:hAnsi="Verdana"/>
          <w:sz w:val="20"/>
          <w:szCs w:val="20"/>
        </w:rPr>
      </w:pPr>
      <w:r w:rsidRPr="004D1A29">
        <w:rPr>
          <w:rFonts w:ascii="Verdana" w:hAnsi="Verdana"/>
          <w:sz w:val="20"/>
          <w:szCs w:val="20"/>
        </w:rPr>
        <w:t>Subject Group, Subject Field and Field of Study with predetermined list for choice</w:t>
      </w:r>
      <w:r w:rsidR="008E509A">
        <w:rPr>
          <w:rFonts w:ascii="Verdana" w:hAnsi="Verdana"/>
          <w:sz w:val="20"/>
          <w:szCs w:val="20"/>
        </w:rPr>
        <w:t>.</w:t>
      </w:r>
    </w:p>
    <w:p w:rsidR="008E509A" w:rsidRPr="004D1A29" w:rsidRDefault="008E509A" w:rsidP="008E509A">
      <w:pPr>
        <w:spacing w:after="0" w:line="312" w:lineRule="auto"/>
        <w:jc w:val="both"/>
        <w:rPr>
          <w:rFonts w:ascii="Verdana" w:hAnsi="Verdana"/>
          <w:sz w:val="20"/>
          <w:szCs w:val="20"/>
        </w:rPr>
      </w:pPr>
    </w:p>
    <w:p w:rsidR="00431DB3" w:rsidRDefault="00431DB3" w:rsidP="008E509A">
      <w:pPr>
        <w:spacing w:after="0" w:line="312" w:lineRule="auto"/>
        <w:jc w:val="both"/>
        <w:rPr>
          <w:rFonts w:ascii="Verdana" w:hAnsi="Verdana"/>
          <w:sz w:val="20"/>
          <w:szCs w:val="20"/>
        </w:rPr>
      </w:pPr>
      <w:r w:rsidRPr="004D1A29">
        <w:rPr>
          <w:rFonts w:ascii="Verdana" w:hAnsi="Verdana"/>
          <w:sz w:val="20"/>
          <w:szCs w:val="20"/>
        </w:rPr>
        <w:t xml:space="preserve">The results of the search should include a list with information on modes of study (presence, distance, part time, international course, etc.), institutions offering the course, location and study type (first or second cycle). </w:t>
      </w:r>
    </w:p>
    <w:p w:rsidR="008E509A" w:rsidRPr="004D1A29" w:rsidRDefault="008E509A" w:rsidP="008E509A">
      <w:pPr>
        <w:spacing w:after="0" w:line="312" w:lineRule="auto"/>
        <w:jc w:val="both"/>
        <w:rPr>
          <w:rFonts w:ascii="Verdana" w:hAnsi="Verdana"/>
          <w:sz w:val="20"/>
          <w:szCs w:val="20"/>
        </w:rPr>
      </w:pPr>
    </w:p>
    <w:p w:rsidR="00431DB3" w:rsidRDefault="00431DB3" w:rsidP="008E509A">
      <w:pPr>
        <w:spacing w:after="0" w:line="312" w:lineRule="auto"/>
        <w:jc w:val="both"/>
        <w:rPr>
          <w:rFonts w:ascii="Verdana" w:hAnsi="Verdana"/>
          <w:sz w:val="20"/>
          <w:szCs w:val="20"/>
        </w:rPr>
      </w:pPr>
      <w:r w:rsidRPr="004D1A29">
        <w:rPr>
          <w:rFonts w:ascii="Verdana" w:hAnsi="Verdana"/>
          <w:sz w:val="20"/>
          <w:szCs w:val="20"/>
        </w:rPr>
        <w:t xml:space="preserve">Details of the search should include all available information on field of study, degree and other </w:t>
      </w:r>
      <w:proofErr w:type="spellStart"/>
      <w:r w:rsidRPr="004D1A29">
        <w:rPr>
          <w:rFonts w:ascii="Verdana" w:hAnsi="Verdana"/>
          <w:sz w:val="20"/>
          <w:szCs w:val="20"/>
        </w:rPr>
        <w:t>programme</w:t>
      </w:r>
      <w:proofErr w:type="spellEnd"/>
      <w:r w:rsidRPr="004D1A29">
        <w:rPr>
          <w:rFonts w:ascii="Verdana" w:hAnsi="Verdana"/>
          <w:sz w:val="20"/>
          <w:szCs w:val="20"/>
        </w:rPr>
        <w:t xml:space="preserve"> characteristics, admission prerequisites and restrictions, tuition fees, dates and deadlines for enrolment, registration and application, contact for further enquiries and advice service, subject and area of specialization.</w:t>
      </w:r>
    </w:p>
    <w:p w:rsidR="008E509A" w:rsidRPr="004D1A29" w:rsidRDefault="008E509A" w:rsidP="008E509A">
      <w:pPr>
        <w:spacing w:after="0" w:line="312" w:lineRule="auto"/>
        <w:jc w:val="both"/>
        <w:rPr>
          <w:rFonts w:ascii="Verdana" w:hAnsi="Verdana"/>
          <w:sz w:val="20"/>
          <w:szCs w:val="20"/>
        </w:rPr>
      </w:pPr>
    </w:p>
    <w:p w:rsidR="00431DB3" w:rsidRDefault="00431DB3" w:rsidP="008E509A">
      <w:pPr>
        <w:spacing w:after="0" w:line="312" w:lineRule="auto"/>
        <w:jc w:val="both"/>
        <w:rPr>
          <w:rFonts w:ascii="Verdana" w:hAnsi="Verdana"/>
          <w:sz w:val="20"/>
          <w:szCs w:val="20"/>
        </w:rPr>
      </w:pPr>
      <w:r w:rsidRPr="004D1A29">
        <w:rPr>
          <w:rFonts w:ascii="Verdana" w:hAnsi="Verdana"/>
          <w:sz w:val="20"/>
          <w:szCs w:val="20"/>
        </w:rPr>
        <w:t>Relational databases and Graphical User Interfaces for data input entry and updating should be used with HE institutions loading and updating their information on-line at the backend of the database. Concerning the database fields to be filled in by the institutions themselves, some of them could be mandatory while other could remain on a voluntary basis, though institutions should be encouraged to provide all the database fields, i</w:t>
      </w:r>
      <w:r w:rsidR="008E509A">
        <w:rPr>
          <w:rFonts w:ascii="Verdana" w:hAnsi="Verdana"/>
          <w:sz w:val="20"/>
          <w:szCs w:val="20"/>
        </w:rPr>
        <w:t>ncluding at least the following;</w:t>
      </w:r>
    </w:p>
    <w:p w:rsidR="008E509A" w:rsidRPr="004D1A29" w:rsidRDefault="008E509A" w:rsidP="008E509A">
      <w:pPr>
        <w:spacing w:after="0" w:line="312" w:lineRule="auto"/>
        <w:jc w:val="both"/>
        <w:rPr>
          <w:rFonts w:ascii="Verdana" w:hAnsi="Verdana"/>
          <w:sz w:val="20"/>
          <w:szCs w:val="20"/>
        </w:rPr>
      </w:pPr>
    </w:p>
    <w:p w:rsidR="00431DB3" w:rsidRPr="004D1A29" w:rsidRDefault="00431DB3" w:rsidP="00B07A9D">
      <w:pPr>
        <w:numPr>
          <w:ilvl w:val="0"/>
          <w:numId w:val="31"/>
        </w:numPr>
        <w:spacing w:after="0" w:line="312" w:lineRule="auto"/>
        <w:ind w:left="357" w:hanging="357"/>
        <w:jc w:val="both"/>
        <w:rPr>
          <w:rFonts w:ascii="Verdana" w:hAnsi="Verdana"/>
          <w:sz w:val="20"/>
          <w:szCs w:val="20"/>
        </w:rPr>
      </w:pPr>
      <w:r w:rsidRPr="004D1A29">
        <w:rPr>
          <w:rFonts w:ascii="Verdana" w:hAnsi="Verdana"/>
          <w:sz w:val="20"/>
          <w:szCs w:val="20"/>
        </w:rPr>
        <w:t>Field of study</w:t>
      </w:r>
      <w:r w:rsidR="008E509A">
        <w:rPr>
          <w:rFonts w:ascii="Verdana" w:hAnsi="Verdana"/>
          <w:sz w:val="20"/>
          <w:szCs w:val="20"/>
        </w:rPr>
        <w:t>;</w:t>
      </w:r>
    </w:p>
    <w:p w:rsidR="00431DB3" w:rsidRPr="004D1A29" w:rsidRDefault="00431DB3" w:rsidP="00B07A9D">
      <w:pPr>
        <w:numPr>
          <w:ilvl w:val="0"/>
          <w:numId w:val="31"/>
        </w:numPr>
        <w:spacing w:after="0" w:line="312" w:lineRule="auto"/>
        <w:ind w:left="357" w:hanging="357"/>
        <w:jc w:val="both"/>
        <w:rPr>
          <w:rFonts w:ascii="Verdana" w:hAnsi="Verdana"/>
          <w:sz w:val="20"/>
          <w:szCs w:val="20"/>
        </w:rPr>
      </w:pPr>
      <w:r w:rsidRPr="004D1A29">
        <w:rPr>
          <w:rFonts w:ascii="Verdana" w:hAnsi="Verdana"/>
          <w:sz w:val="20"/>
          <w:szCs w:val="20"/>
        </w:rPr>
        <w:t>Degree</w:t>
      </w:r>
      <w:r w:rsidR="008E509A">
        <w:rPr>
          <w:rFonts w:ascii="Verdana" w:hAnsi="Verdana"/>
          <w:sz w:val="20"/>
          <w:szCs w:val="20"/>
        </w:rPr>
        <w:t>;</w:t>
      </w:r>
    </w:p>
    <w:p w:rsidR="00431DB3" w:rsidRPr="004D1A29" w:rsidRDefault="00431DB3" w:rsidP="00B07A9D">
      <w:pPr>
        <w:numPr>
          <w:ilvl w:val="0"/>
          <w:numId w:val="31"/>
        </w:numPr>
        <w:spacing w:after="0" w:line="312" w:lineRule="auto"/>
        <w:ind w:left="357" w:hanging="357"/>
        <w:rPr>
          <w:rFonts w:ascii="Verdana" w:hAnsi="Verdana"/>
          <w:sz w:val="20"/>
          <w:szCs w:val="20"/>
        </w:rPr>
      </w:pPr>
      <w:r w:rsidRPr="004D1A29">
        <w:rPr>
          <w:rFonts w:ascii="Verdana" w:hAnsi="Verdana"/>
          <w:sz w:val="20"/>
          <w:szCs w:val="20"/>
        </w:rPr>
        <w:t>Presence teaching degree y/n</w:t>
      </w:r>
      <w:r w:rsidR="008E509A">
        <w:rPr>
          <w:rFonts w:ascii="Verdana" w:hAnsi="Verdana"/>
          <w:sz w:val="20"/>
          <w:szCs w:val="20"/>
        </w:rPr>
        <w:t>;</w:t>
      </w:r>
    </w:p>
    <w:p w:rsidR="00431DB3" w:rsidRPr="004D1A29" w:rsidRDefault="00431DB3" w:rsidP="00B07A9D">
      <w:pPr>
        <w:numPr>
          <w:ilvl w:val="0"/>
          <w:numId w:val="31"/>
        </w:numPr>
        <w:spacing w:after="0" w:line="312" w:lineRule="auto"/>
        <w:ind w:left="357" w:hanging="357"/>
        <w:jc w:val="both"/>
        <w:rPr>
          <w:rFonts w:ascii="Verdana" w:hAnsi="Verdana"/>
          <w:sz w:val="20"/>
          <w:szCs w:val="20"/>
        </w:rPr>
      </w:pPr>
      <w:r w:rsidRPr="004D1A29">
        <w:rPr>
          <w:rFonts w:ascii="Verdana" w:hAnsi="Verdana"/>
          <w:sz w:val="20"/>
          <w:szCs w:val="20"/>
        </w:rPr>
        <w:t>Standard period of study</w:t>
      </w:r>
      <w:r w:rsidR="008E509A">
        <w:rPr>
          <w:rFonts w:ascii="Verdana" w:hAnsi="Verdana"/>
          <w:sz w:val="20"/>
          <w:szCs w:val="20"/>
        </w:rPr>
        <w:t>;</w:t>
      </w:r>
    </w:p>
    <w:p w:rsidR="00431DB3" w:rsidRPr="004D1A29" w:rsidRDefault="00431DB3" w:rsidP="00B07A9D">
      <w:pPr>
        <w:numPr>
          <w:ilvl w:val="0"/>
          <w:numId w:val="31"/>
        </w:numPr>
        <w:spacing w:after="0" w:line="312" w:lineRule="auto"/>
        <w:ind w:left="357" w:hanging="357"/>
        <w:jc w:val="both"/>
        <w:rPr>
          <w:rFonts w:ascii="Verdana" w:hAnsi="Verdana"/>
          <w:sz w:val="20"/>
          <w:szCs w:val="20"/>
        </w:rPr>
      </w:pPr>
      <w:r w:rsidRPr="004D1A29">
        <w:rPr>
          <w:rFonts w:ascii="Verdana" w:hAnsi="Verdana"/>
          <w:sz w:val="20"/>
          <w:szCs w:val="20"/>
        </w:rPr>
        <w:t>Mode of study</w:t>
      </w:r>
      <w:r w:rsidR="008E509A">
        <w:rPr>
          <w:rFonts w:ascii="Verdana" w:hAnsi="Verdana"/>
          <w:sz w:val="20"/>
          <w:szCs w:val="20"/>
        </w:rPr>
        <w:t>;</w:t>
      </w:r>
    </w:p>
    <w:p w:rsidR="00431DB3" w:rsidRPr="004D1A29" w:rsidRDefault="00431DB3" w:rsidP="00B07A9D">
      <w:pPr>
        <w:numPr>
          <w:ilvl w:val="0"/>
          <w:numId w:val="31"/>
        </w:numPr>
        <w:spacing w:after="0" w:line="312" w:lineRule="auto"/>
        <w:ind w:left="357" w:hanging="357"/>
        <w:jc w:val="both"/>
        <w:rPr>
          <w:rFonts w:ascii="Verdana" w:hAnsi="Verdana"/>
          <w:sz w:val="20"/>
          <w:szCs w:val="20"/>
        </w:rPr>
      </w:pPr>
      <w:r w:rsidRPr="004D1A29">
        <w:rPr>
          <w:rFonts w:ascii="Verdana" w:hAnsi="Verdana"/>
          <w:sz w:val="20"/>
          <w:szCs w:val="20"/>
        </w:rPr>
        <w:lastRenderedPageBreak/>
        <w:t>Primary language of instruction</w:t>
      </w:r>
      <w:r w:rsidR="008E509A">
        <w:rPr>
          <w:rFonts w:ascii="Verdana" w:hAnsi="Verdana"/>
          <w:sz w:val="20"/>
          <w:szCs w:val="20"/>
        </w:rPr>
        <w:t>;</w:t>
      </w:r>
    </w:p>
    <w:p w:rsidR="00431DB3" w:rsidRPr="004D1A29" w:rsidRDefault="00431DB3" w:rsidP="00B07A9D">
      <w:pPr>
        <w:numPr>
          <w:ilvl w:val="0"/>
          <w:numId w:val="31"/>
        </w:numPr>
        <w:spacing w:after="0" w:line="312" w:lineRule="auto"/>
        <w:ind w:left="357" w:hanging="357"/>
        <w:jc w:val="both"/>
        <w:rPr>
          <w:rFonts w:ascii="Verdana" w:hAnsi="Verdana"/>
          <w:sz w:val="20"/>
          <w:szCs w:val="20"/>
        </w:rPr>
      </w:pPr>
      <w:r w:rsidRPr="004D1A29">
        <w:rPr>
          <w:rFonts w:ascii="Verdana" w:hAnsi="Verdana"/>
          <w:sz w:val="20"/>
          <w:szCs w:val="20"/>
        </w:rPr>
        <w:t>Mode of admission</w:t>
      </w:r>
      <w:r w:rsidR="008E509A">
        <w:rPr>
          <w:rFonts w:ascii="Verdana" w:hAnsi="Verdana"/>
          <w:sz w:val="20"/>
          <w:szCs w:val="20"/>
        </w:rPr>
        <w:t>;</w:t>
      </w:r>
    </w:p>
    <w:p w:rsidR="00431DB3" w:rsidRPr="004D1A29" w:rsidRDefault="00431DB3" w:rsidP="00B07A9D">
      <w:pPr>
        <w:numPr>
          <w:ilvl w:val="0"/>
          <w:numId w:val="31"/>
        </w:numPr>
        <w:spacing w:after="0" w:line="312" w:lineRule="auto"/>
        <w:ind w:left="357" w:hanging="357"/>
        <w:jc w:val="both"/>
        <w:rPr>
          <w:rFonts w:ascii="Verdana" w:hAnsi="Verdana"/>
          <w:sz w:val="20"/>
          <w:szCs w:val="20"/>
        </w:rPr>
      </w:pPr>
      <w:r w:rsidRPr="004D1A29">
        <w:rPr>
          <w:rFonts w:ascii="Verdana" w:hAnsi="Verdana"/>
          <w:sz w:val="20"/>
          <w:szCs w:val="20"/>
        </w:rPr>
        <w:t>Admission semester &amp; requirement</w:t>
      </w:r>
      <w:r w:rsidR="008E509A">
        <w:rPr>
          <w:rFonts w:ascii="Verdana" w:hAnsi="Verdana"/>
          <w:sz w:val="20"/>
          <w:szCs w:val="20"/>
        </w:rPr>
        <w:t>;</w:t>
      </w:r>
    </w:p>
    <w:p w:rsidR="00431DB3" w:rsidRPr="004D1A29" w:rsidRDefault="00431DB3" w:rsidP="00B07A9D">
      <w:pPr>
        <w:numPr>
          <w:ilvl w:val="0"/>
          <w:numId w:val="31"/>
        </w:numPr>
        <w:spacing w:after="0" w:line="312" w:lineRule="auto"/>
        <w:ind w:left="357" w:hanging="357"/>
        <w:jc w:val="both"/>
        <w:rPr>
          <w:rFonts w:ascii="Verdana" w:hAnsi="Verdana"/>
          <w:sz w:val="20"/>
          <w:szCs w:val="20"/>
        </w:rPr>
      </w:pPr>
      <w:r w:rsidRPr="004D1A29">
        <w:rPr>
          <w:rFonts w:ascii="Verdana" w:hAnsi="Verdana"/>
          <w:sz w:val="20"/>
          <w:szCs w:val="20"/>
        </w:rPr>
        <w:t>Subjects</w:t>
      </w:r>
      <w:r w:rsidR="008E509A">
        <w:rPr>
          <w:rFonts w:ascii="Verdana" w:hAnsi="Verdana"/>
          <w:sz w:val="20"/>
          <w:szCs w:val="20"/>
        </w:rPr>
        <w:t>;</w:t>
      </w:r>
    </w:p>
    <w:p w:rsidR="00431DB3" w:rsidRPr="004D1A29" w:rsidRDefault="00431DB3" w:rsidP="00B07A9D">
      <w:pPr>
        <w:numPr>
          <w:ilvl w:val="0"/>
          <w:numId w:val="31"/>
        </w:numPr>
        <w:spacing w:after="0" w:line="312" w:lineRule="auto"/>
        <w:ind w:left="357" w:hanging="357"/>
        <w:jc w:val="both"/>
        <w:rPr>
          <w:rFonts w:ascii="Verdana" w:hAnsi="Verdana"/>
          <w:sz w:val="20"/>
          <w:szCs w:val="20"/>
        </w:rPr>
      </w:pPr>
      <w:r w:rsidRPr="004D1A29">
        <w:rPr>
          <w:rFonts w:ascii="Verdana" w:hAnsi="Verdana"/>
          <w:sz w:val="20"/>
          <w:szCs w:val="20"/>
        </w:rPr>
        <w:t>Target group (2</w:t>
      </w:r>
      <w:r w:rsidRPr="004D1A29">
        <w:rPr>
          <w:rFonts w:ascii="Verdana" w:hAnsi="Verdana"/>
          <w:sz w:val="20"/>
          <w:szCs w:val="20"/>
          <w:vertAlign w:val="superscript"/>
        </w:rPr>
        <w:t xml:space="preserve">nd </w:t>
      </w:r>
      <w:r w:rsidRPr="004D1A29">
        <w:rPr>
          <w:rFonts w:ascii="Verdana" w:hAnsi="Verdana"/>
          <w:sz w:val="20"/>
          <w:szCs w:val="20"/>
        </w:rPr>
        <w:t>cycle)</w:t>
      </w:r>
      <w:r w:rsidR="008E509A">
        <w:rPr>
          <w:rFonts w:ascii="Verdana" w:hAnsi="Verdana"/>
          <w:sz w:val="20"/>
          <w:szCs w:val="20"/>
        </w:rPr>
        <w:t>;</w:t>
      </w:r>
    </w:p>
    <w:p w:rsidR="00431DB3" w:rsidRPr="004D1A29" w:rsidRDefault="00431DB3" w:rsidP="00B07A9D">
      <w:pPr>
        <w:numPr>
          <w:ilvl w:val="0"/>
          <w:numId w:val="31"/>
        </w:numPr>
        <w:spacing w:after="0" w:line="312" w:lineRule="auto"/>
        <w:ind w:left="357" w:hanging="357"/>
        <w:jc w:val="both"/>
        <w:rPr>
          <w:rFonts w:ascii="Verdana" w:hAnsi="Verdana"/>
          <w:sz w:val="20"/>
          <w:szCs w:val="20"/>
        </w:rPr>
      </w:pPr>
      <w:r w:rsidRPr="004D1A29">
        <w:rPr>
          <w:rFonts w:ascii="Verdana" w:hAnsi="Verdana"/>
          <w:sz w:val="20"/>
          <w:szCs w:val="20"/>
        </w:rPr>
        <w:t>Accreditation</w:t>
      </w:r>
      <w:r w:rsidR="008E509A">
        <w:rPr>
          <w:rFonts w:ascii="Verdana" w:hAnsi="Verdana"/>
          <w:sz w:val="20"/>
          <w:szCs w:val="20"/>
        </w:rPr>
        <w:t>;</w:t>
      </w:r>
    </w:p>
    <w:p w:rsidR="00431DB3" w:rsidRPr="004D1A29" w:rsidRDefault="00431DB3" w:rsidP="00B07A9D">
      <w:pPr>
        <w:numPr>
          <w:ilvl w:val="0"/>
          <w:numId w:val="31"/>
        </w:numPr>
        <w:spacing w:after="0" w:line="312" w:lineRule="auto"/>
        <w:ind w:left="357" w:hanging="357"/>
        <w:jc w:val="both"/>
        <w:rPr>
          <w:rFonts w:ascii="Verdana" w:hAnsi="Verdana"/>
          <w:sz w:val="20"/>
          <w:szCs w:val="20"/>
        </w:rPr>
      </w:pPr>
      <w:r w:rsidRPr="004D1A29">
        <w:rPr>
          <w:rFonts w:ascii="Verdana" w:hAnsi="Verdana"/>
          <w:sz w:val="20"/>
          <w:szCs w:val="20"/>
        </w:rPr>
        <w:t>Location</w:t>
      </w:r>
      <w:r w:rsidR="008E509A">
        <w:rPr>
          <w:rFonts w:ascii="Verdana" w:hAnsi="Verdana"/>
          <w:sz w:val="20"/>
          <w:szCs w:val="20"/>
        </w:rPr>
        <w:t>;</w:t>
      </w:r>
    </w:p>
    <w:p w:rsidR="00431DB3" w:rsidRPr="004D1A29" w:rsidRDefault="00431DB3" w:rsidP="00B07A9D">
      <w:pPr>
        <w:numPr>
          <w:ilvl w:val="0"/>
          <w:numId w:val="31"/>
        </w:numPr>
        <w:spacing w:after="0" w:line="312" w:lineRule="auto"/>
        <w:ind w:left="357" w:hanging="357"/>
        <w:jc w:val="both"/>
        <w:rPr>
          <w:rFonts w:ascii="Verdana" w:hAnsi="Verdana"/>
          <w:sz w:val="20"/>
          <w:szCs w:val="20"/>
        </w:rPr>
      </w:pPr>
      <w:r w:rsidRPr="004D1A29">
        <w:rPr>
          <w:rFonts w:ascii="Verdana" w:hAnsi="Verdana"/>
          <w:sz w:val="20"/>
          <w:szCs w:val="20"/>
        </w:rPr>
        <w:t>Tuition fee</w:t>
      </w:r>
      <w:r w:rsidR="008E509A">
        <w:rPr>
          <w:rFonts w:ascii="Verdana" w:hAnsi="Verdana"/>
          <w:sz w:val="20"/>
          <w:szCs w:val="20"/>
        </w:rPr>
        <w:t>;</w:t>
      </w:r>
    </w:p>
    <w:p w:rsidR="00431DB3" w:rsidRPr="004D1A29" w:rsidRDefault="00431DB3" w:rsidP="00B07A9D">
      <w:pPr>
        <w:numPr>
          <w:ilvl w:val="0"/>
          <w:numId w:val="31"/>
        </w:numPr>
        <w:spacing w:after="0" w:line="312" w:lineRule="auto"/>
        <w:ind w:left="357" w:hanging="357"/>
        <w:rPr>
          <w:rFonts w:ascii="Verdana" w:hAnsi="Verdana"/>
          <w:sz w:val="20"/>
          <w:szCs w:val="20"/>
        </w:rPr>
      </w:pPr>
      <w:r w:rsidRPr="004D1A29">
        <w:rPr>
          <w:rFonts w:ascii="Verdana" w:hAnsi="Verdana"/>
          <w:sz w:val="20"/>
          <w:szCs w:val="20"/>
        </w:rPr>
        <w:t>Fields / areas of specialization</w:t>
      </w:r>
      <w:r w:rsidR="008E509A">
        <w:rPr>
          <w:rFonts w:ascii="Verdana" w:hAnsi="Verdana"/>
          <w:sz w:val="20"/>
          <w:szCs w:val="20"/>
        </w:rPr>
        <w:t>;</w:t>
      </w:r>
    </w:p>
    <w:p w:rsidR="00431DB3" w:rsidRPr="004D1A29" w:rsidRDefault="00431DB3" w:rsidP="00B07A9D">
      <w:pPr>
        <w:numPr>
          <w:ilvl w:val="0"/>
          <w:numId w:val="31"/>
        </w:numPr>
        <w:spacing w:after="80" w:line="312" w:lineRule="auto"/>
        <w:ind w:left="357" w:hanging="357"/>
        <w:rPr>
          <w:rFonts w:ascii="Verdana" w:hAnsi="Verdana"/>
          <w:sz w:val="20"/>
          <w:szCs w:val="20"/>
        </w:rPr>
      </w:pPr>
      <w:r w:rsidRPr="004D1A29">
        <w:rPr>
          <w:rFonts w:ascii="Verdana" w:hAnsi="Verdana"/>
          <w:sz w:val="20"/>
          <w:szCs w:val="20"/>
        </w:rPr>
        <w:t>Possibility of international joint / double degree</w:t>
      </w:r>
      <w:r w:rsidR="008E509A">
        <w:rPr>
          <w:rFonts w:ascii="Verdana" w:hAnsi="Verdana"/>
          <w:sz w:val="20"/>
          <w:szCs w:val="20"/>
        </w:rPr>
        <w:t>;</w:t>
      </w:r>
    </w:p>
    <w:p w:rsidR="00431DB3" w:rsidRPr="004D1A29" w:rsidRDefault="00431DB3" w:rsidP="008E509A">
      <w:pPr>
        <w:spacing w:after="80" w:line="312" w:lineRule="auto"/>
        <w:jc w:val="both"/>
        <w:rPr>
          <w:rFonts w:ascii="Verdana" w:hAnsi="Verdana"/>
          <w:sz w:val="20"/>
          <w:szCs w:val="20"/>
        </w:rPr>
      </w:pPr>
      <w:r w:rsidRPr="004D1A29">
        <w:rPr>
          <w:rFonts w:ascii="Verdana" w:hAnsi="Verdana"/>
          <w:sz w:val="20"/>
          <w:szCs w:val="20"/>
        </w:rPr>
        <w:t>The adoption of this possible common structure for national databases would facilitate exchange of data using common data fields while allowing for collection of data input and standardized editorial content at national level.</w:t>
      </w:r>
    </w:p>
    <w:p w:rsidR="00BD2329" w:rsidRPr="00431DB3" w:rsidRDefault="00BD2329" w:rsidP="00437948">
      <w:pPr>
        <w:spacing w:after="0" w:line="312" w:lineRule="auto"/>
        <w:rPr>
          <w:rFonts w:ascii="Verdana" w:hAnsi="Verdana"/>
          <w:sz w:val="20"/>
          <w:szCs w:val="20"/>
        </w:rPr>
      </w:pPr>
    </w:p>
    <w:p w:rsidR="009B70E3" w:rsidRDefault="003812A9" w:rsidP="009B70E3">
      <w:pPr>
        <w:pStyle w:val="ListParagraph"/>
        <w:spacing w:after="200" w:line="312" w:lineRule="auto"/>
        <w:ind w:left="0"/>
        <w:jc w:val="both"/>
        <w:rPr>
          <w:rFonts w:ascii="Verdana" w:hAnsi="Verdana" w:cs="Arial"/>
          <w:b/>
          <w:color w:val="000000"/>
          <w:sz w:val="22"/>
          <w:szCs w:val="22"/>
        </w:rPr>
      </w:pPr>
      <w:r>
        <w:rPr>
          <w:rFonts w:ascii="Verdana" w:hAnsi="Verdana"/>
          <w:b/>
          <w:lang w:val="en-GB"/>
        </w:rPr>
        <w:t>ANNEX VI</w:t>
      </w:r>
      <w:r w:rsidR="00703289">
        <w:rPr>
          <w:rFonts w:ascii="Verdana" w:hAnsi="Verdana"/>
          <w:b/>
          <w:lang w:val="en-GB"/>
        </w:rPr>
        <w:t>II</w:t>
      </w:r>
      <w:r>
        <w:rPr>
          <w:rFonts w:ascii="Verdana" w:hAnsi="Verdana"/>
          <w:b/>
          <w:lang w:val="en-GB"/>
        </w:rPr>
        <w:t>:</w:t>
      </w:r>
      <w:r w:rsidR="009B70E3" w:rsidRPr="009B70E3">
        <w:rPr>
          <w:rFonts w:ascii="Verdana" w:hAnsi="Verdana" w:cs="Arial"/>
          <w:b/>
          <w:color w:val="000000"/>
          <w:sz w:val="20"/>
          <w:szCs w:val="20"/>
        </w:rPr>
        <w:t xml:space="preserve"> </w:t>
      </w:r>
      <w:r w:rsidR="009B70E3" w:rsidRPr="009B70E3">
        <w:rPr>
          <w:rFonts w:ascii="Verdana" w:hAnsi="Verdana" w:cs="Arial"/>
          <w:b/>
          <w:color w:val="000000"/>
          <w:sz w:val="22"/>
          <w:szCs w:val="22"/>
        </w:rPr>
        <w:t>Portability of financial student support – Guidelines for further implementation</w:t>
      </w:r>
    </w:p>
    <w:p w:rsidR="009B70E3" w:rsidRDefault="009B70E3" w:rsidP="009B70E3">
      <w:pPr>
        <w:pStyle w:val="ListParagraph"/>
        <w:spacing w:after="200" w:line="312" w:lineRule="auto"/>
        <w:ind w:left="0"/>
        <w:jc w:val="both"/>
        <w:rPr>
          <w:rFonts w:ascii="Verdana" w:hAnsi="Verdana" w:cs="Arial"/>
          <w:b/>
          <w:color w:val="000000"/>
          <w:sz w:val="22"/>
          <w:szCs w:val="22"/>
        </w:rPr>
      </w:pPr>
    </w:p>
    <w:p w:rsidR="009553EE" w:rsidRPr="00533FF5" w:rsidRDefault="009553EE" w:rsidP="009553EE">
      <w:pPr>
        <w:pStyle w:val="ListParagraph"/>
        <w:spacing w:after="200" w:line="312" w:lineRule="auto"/>
        <w:ind w:left="0"/>
        <w:jc w:val="both"/>
        <w:rPr>
          <w:rFonts w:ascii="Verdana" w:hAnsi="Verdana" w:cs="Arial"/>
          <w:color w:val="000000"/>
          <w:sz w:val="20"/>
          <w:szCs w:val="20"/>
        </w:rPr>
      </w:pPr>
      <w:r w:rsidRPr="00533FF5">
        <w:rPr>
          <w:rFonts w:ascii="Verdana" w:hAnsi="Verdana" w:cs="Arial"/>
          <w:color w:val="000000"/>
          <w:sz w:val="20"/>
          <w:szCs w:val="20"/>
        </w:rPr>
        <w:t xml:space="preserve">Portability of financial student support </w:t>
      </w:r>
      <w:r w:rsidRPr="00533FF5">
        <w:rPr>
          <w:rFonts w:ascii="Verdana" w:hAnsi="Verdana" w:cs="Arial"/>
          <w:sz w:val="20"/>
          <w:szCs w:val="20"/>
          <w:lang w:val="en-GB"/>
        </w:rPr>
        <w:t xml:space="preserve">constitutes </w:t>
      </w:r>
      <w:r w:rsidRPr="00533FF5">
        <w:rPr>
          <w:rFonts w:ascii="Verdana" w:hAnsi="Verdana" w:cs="Arial"/>
          <w:color w:val="000000"/>
          <w:sz w:val="20"/>
          <w:szCs w:val="20"/>
        </w:rPr>
        <w:t xml:space="preserve">an important means to promoting student mobility. Bearing in mind that national student support systems contribute to equity of access to higher education for all students, receiving </w:t>
      </w:r>
      <w:proofErr w:type="spellStart"/>
      <w:r w:rsidRPr="00533FF5">
        <w:rPr>
          <w:rFonts w:ascii="Verdana" w:hAnsi="Verdana" w:cs="Arial"/>
          <w:color w:val="000000"/>
          <w:sz w:val="20"/>
          <w:szCs w:val="20"/>
        </w:rPr>
        <w:t>suf</w:t>
      </w:r>
      <w:r w:rsidRPr="00533FF5">
        <w:rPr>
          <w:rFonts w:ascii="Verdana" w:hAnsi="Verdana" w:cs="Arial"/>
          <w:sz w:val="20"/>
          <w:szCs w:val="20"/>
          <w:lang w:val="en-GB"/>
        </w:rPr>
        <w:t>ficient</w:t>
      </w:r>
      <w:proofErr w:type="spellEnd"/>
      <w:r w:rsidRPr="00533FF5">
        <w:rPr>
          <w:rFonts w:ascii="Verdana" w:hAnsi="Verdana" w:cs="Arial"/>
          <w:sz w:val="20"/>
          <w:szCs w:val="20"/>
          <w:lang w:val="en-GB"/>
        </w:rPr>
        <w:t xml:space="preserve"> financial support </w:t>
      </w:r>
      <w:r w:rsidRPr="00533FF5">
        <w:rPr>
          <w:rFonts w:ascii="Verdana" w:hAnsi="Verdana" w:cs="Arial"/>
          <w:color w:val="000000"/>
          <w:sz w:val="20"/>
          <w:szCs w:val="20"/>
        </w:rPr>
        <w:t xml:space="preserve">is also </w:t>
      </w:r>
      <w:r w:rsidRPr="00533FF5">
        <w:rPr>
          <w:rFonts w:ascii="Verdana" w:hAnsi="Verdana" w:cs="Arial"/>
          <w:sz w:val="20"/>
          <w:szCs w:val="20"/>
          <w:lang w:val="en-GB"/>
        </w:rPr>
        <w:t xml:space="preserve">one of the essential prerequisites for mobility. Such mobility should </w:t>
      </w:r>
      <w:r w:rsidRPr="00533FF5">
        <w:rPr>
          <w:rFonts w:ascii="Verdana" w:hAnsi="Verdana" w:cs="Arial"/>
          <w:color w:val="000000"/>
          <w:sz w:val="20"/>
          <w:szCs w:val="20"/>
        </w:rPr>
        <w:t>pursue educational goals such as enhancing the competences, knowledge and skills of the student.</w:t>
      </w:r>
      <w:r w:rsidRPr="00533FF5">
        <w:rPr>
          <w:rFonts w:ascii="Verdana" w:hAnsi="Verdana" w:cs="Arial"/>
          <w:sz w:val="20"/>
          <w:szCs w:val="20"/>
          <w:lang w:val="en-GB"/>
        </w:rPr>
        <w:t xml:space="preserve"> Portability secures financial continuity. It ensures that all groups of the student body are able to participate in mobility and thereby contributes to our joint efforts to take account of the social dimension as well as towards </w:t>
      </w:r>
      <w:r w:rsidRPr="00533FF5">
        <w:rPr>
          <w:rFonts w:ascii="Verdana" w:hAnsi="Verdana" w:cs="Arial"/>
          <w:color w:val="000000"/>
          <w:sz w:val="20"/>
          <w:szCs w:val="20"/>
        </w:rPr>
        <w:t>reaching the mobility targets agreed upon in the European Higher Education Area (EHEA). I</w:t>
      </w:r>
      <w:r w:rsidRPr="00533FF5" w:rsidDel="00BD59E9">
        <w:rPr>
          <w:rFonts w:ascii="Verdana" w:hAnsi="Verdana" w:cs="Arial"/>
          <w:color w:val="000000"/>
          <w:sz w:val="20"/>
          <w:szCs w:val="20"/>
        </w:rPr>
        <w:t xml:space="preserve">t may eventually be desirable to expand portability </w:t>
      </w:r>
      <w:r w:rsidRPr="00533FF5">
        <w:rPr>
          <w:rFonts w:ascii="Verdana" w:hAnsi="Verdana" w:cs="Arial"/>
          <w:color w:val="000000"/>
          <w:sz w:val="20"/>
          <w:szCs w:val="20"/>
        </w:rPr>
        <w:t>to a global scale</w:t>
      </w:r>
      <w:r w:rsidRPr="00533FF5" w:rsidDel="00BD59E9">
        <w:rPr>
          <w:rFonts w:ascii="Verdana" w:hAnsi="Verdana" w:cs="Arial"/>
          <w:color w:val="000000"/>
          <w:sz w:val="20"/>
          <w:szCs w:val="20"/>
        </w:rPr>
        <w:t>.</w:t>
      </w:r>
    </w:p>
    <w:p w:rsidR="009553EE" w:rsidRPr="00533FF5" w:rsidRDefault="009553EE" w:rsidP="009553EE">
      <w:pPr>
        <w:pStyle w:val="ListParagraph"/>
        <w:spacing w:after="200" w:line="312" w:lineRule="auto"/>
        <w:ind w:left="0"/>
        <w:jc w:val="both"/>
        <w:rPr>
          <w:rFonts w:ascii="Verdana" w:hAnsi="Verdana" w:cs="Arial"/>
          <w:color w:val="000000"/>
          <w:sz w:val="20"/>
          <w:szCs w:val="20"/>
        </w:rPr>
      </w:pPr>
    </w:p>
    <w:p w:rsidR="009553EE" w:rsidRPr="00533FF5" w:rsidRDefault="009553EE" w:rsidP="009553EE">
      <w:pPr>
        <w:pStyle w:val="ListParagraph"/>
        <w:spacing w:after="200" w:line="312" w:lineRule="auto"/>
        <w:ind w:left="0"/>
        <w:jc w:val="both"/>
        <w:rPr>
          <w:rFonts w:ascii="Verdana" w:hAnsi="Verdana" w:cs="Arial"/>
          <w:i/>
          <w:color w:val="000000"/>
          <w:sz w:val="20"/>
          <w:szCs w:val="20"/>
        </w:rPr>
      </w:pPr>
      <w:r w:rsidRPr="00533FF5">
        <w:rPr>
          <w:rFonts w:ascii="Verdana" w:hAnsi="Verdana" w:cs="Arial"/>
          <w:b/>
          <w:color w:val="000000"/>
          <w:sz w:val="20"/>
          <w:szCs w:val="20"/>
        </w:rPr>
        <w:t>Portability as a concept</w:t>
      </w:r>
      <w:r w:rsidRPr="00533FF5">
        <w:rPr>
          <w:rFonts w:ascii="Verdana" w:hAnsi="Verdana" w:cs="Arial"/>
          <w:color w:val="000000"/>
          <w:sz w:val="20"/>
          <w:szCs w:val="20"/>
        </w:rPr>
        <w:t xml:space="preserve"> encompasses a number of different aspects. It requires a national financial student support system which allows for the financial support to be taken abroad whereas it is insignificant whether the support carries the same name, whether it is given under exactly the same conditions or even whether the amount is exactly the same. Financial support comes in the form of grants and loans. While </w:t>
      </w:r>
      <w:r w:rsidRPr="00533FF5">
        <w:rPr>
          <w:rFonts w:ascii="Verdana" w:hAnsi="Verdana" w:cs="Arial"/>
          <w:b/>
          <w:color w:val="000000"/>
          <w:sz w:val="20"/>
          <w:szCs w:val="20"/>
        </w:rPr>
        <w:t xml:space="preserve">grants </w:t>
      </w:r>
      <w:r w:rsidRPr="00533FF5">
        <w:rPr>
          <w:rFonts w:ascii="Verdana" w:hAnsi="Verdana" w:cs="Arial"/>
          <w:color w:val="000000"/>
          <w:sz w:val="20"/>
          <w:szCs w:val="20"/>
        </w:rPr>
        <w:t xml:space="preserve">are non-repayable public aid for students, </w:t>
      </w:r>
      <w:r w:rsidRPr="00533FF5">
        <w:rPr>
          <w:rFonts w:ascii="Verdana" w:hAnsi="Verdana" w:cs="Arial"/>
          <w:b/>
          <w:color w:val="000000"/>
          <w:sz w:val="20"/>
          <w:szCs w:val="20"/>
        </w:rPr>
        <w:t>loans</w:t>
      </w:r>
      <w:r w:rsidRPr="00533FF5">
        <w:rPr>
          <w:rFonts w:ascii="Verdana" w:hAnsi="Verdana" w:cs="Arial"/>
          <w:color w:val="000000"/>
          <w:sz w:val="20"/>
          <w:szCs w:val="20"/>
        </w:rPr>
        <w:t xml:space="preserve"> must be repaid. Still, loan schemes may differ in terms of repayment plans and subsidies given for a part of the loan. In general, financial support can be either merit- or need-based</w:t>
      </w:r>
      <w:r w:rsidRPr="00533FF5">
        <w:rPr>
          <w:rFonts w:ascii="Verdana" w:hAnsi="Verdana" w:cs="Arial"/>
          <w:b/>
          <w:color w:val="000000"/>
          <w:sz w:val="20"/>
          <w:szCs w:val="20"/>
        </w:rPr>
        <w:t xml:space="preserve"> </w:t>
      </w:r>
      <w:r w:rsidRPr="00533FF5">
        <w:rPr>
          <w:rFonts w:ascii="Verdana" w:hAnsi="Verdana" w:cs="Arial"/>
          <w:color w:val="000000"/>
          <w:sz w:val="20"/>
          <w:szCs w:val="20"/>
        </w:rPr>
        <w:t xml:space="preserve">or it may even to given to every student in the country. Portability usually includes the costs for </w:t>
      </w:r>
      <w:r w:rsidRPr="00533FF5">
        <w:rPr>
          <w:rFonts w:ascii="Verdana" w:hAnsi="Verdana" w:cs="Arial"/>
          <w:b/>
          <w:color w:val="000000"/>
          <w:sz w:val="20"/>
          <w:szCs w:val="20"/>
        </w:rPr>
        <w:t>living expenses and health insurance</w:t>
      </w:r>
      <w:r w:rsidRPr="00533FF5">
        <w:rPr>
          <w:rFonts w:ascii="Verdana" w:hAnsi="Verdana" w:cs="Arial"/>
          <w:color w:val="000000"/>
          <w:sz w:val="20"/>
          <w:szCs w:val="20"/>
        </w:rPr>
        <w:t xml:space="preserve"> and, in some cases, also covers </w:t>
      </w:r>
      <w:r w:rsidRPr="00533FF5">
        <w:rPr>
          <w:rFonts w:ascii="Verdana" w:hAnsi="Verdana" w:cs="Arial"/>
          <w:b/>
          <w:color w:val="000000"/>
          <w:sz w:val="20"/>
          <w:szCs w:val="20"/>
        </w:rPr>
        <w:t>tuition fees.</w:t>
      </w:r>
      <w:r w:rsidRPr="00533FF5">
        <w:rPr>
          <w:rFonts w:ascii="Verdana" w:hAnsi="Verdana" w:cs="Arial"/>
          <w:color w:val="000000"/>
          <w:sz w:val="20"/>
          <w:szCs w:val="20"/>
        </w:rPr>
        <w:t xml:space="preserve"> Also, additional </w:t>
      </w:r>
      <w:r w:rsidRPr="00533FF5">
        <w:rPr>
          <w:rFonts w:ascii="Verdana" w:hAnsi="Verdana" w:cs="Arial"/>
          <w:b/>
          <w:color w:val="000000"/>
          <w:sz w:val="20"/>
          <w:szCs w:val="20"/>
        </w:rPr>
        <w:t xml:space="preserve">mobility support </w:t>
      </w:r>
      <w:r w:rsidRPr="00533FF5">
        <w:rPr>
          <w:rFonts w:ascii="Verdana" w:hAnsi="Verdana" w:cs="Arial"/>
          <w:color w:val="000000"/>
          <w:sz w:val="20"/>
          <w:szCs w:val="20"/>
        </w:rPr>
        <w:t xml:space="preserve">which is granted exclusively to mobile students to cover the costs incurred in conjunction with their mobility, i.e. travel expenses, language classes, </w:t>
      </w:r>
      <w:proofErr w:type="gramStart"/>
      <w:r w:rsidRPr="00533FF5">
        <w:rPr>
          <w:rFonts w:ascii="Verdana" w:hAnsi="Verdana" w:cs="Arial"/>
          <w:color w:val="000000"/>
          <w:sz w:val="20"/>
          <w:szCs w:val="20"/>
        </w:rPr>
        <w:t>extra</w:t>
      </w:r>
      <w:proofErr w:type="gramEnd"/>
      <w:r w:rsidRPr="00533FF5">
        <w:rPr>
          <w:rFonts w:ascii="Verdana" w:hAnsi="Verdana" w:cs="Arial"/>
          <w:color w:val="000000"/>
          <w:sz w:val="20"/>
          <w:szCs w:val="20"/>
        </w:rPr>
        <w:t xml:space="preserve"> costs for health insurance abroad, forms part </w:t>
      </w:r>
      <w:r w:rsidRPr="00533FF5">
        <w:rPr>
          <w:rFonts w:ascii="Verdana" w:hAnsi="Verdana" w:cs="Arial"/>
          <w:color w:val="000000"/>
          <w:sz w:val="20"/>
          <w:szCs w:val="20"/>
        </w:rPr>
        <w:lastRenderedPageBreak/>
        <w:t>of the overall concept of portability. In addition, some countries grant financial support to parents of students, such as in the form of family allowances or tax relief.</w:t>
      </w:r>
      <w:r w:rsidRPr="00533FF5">
        <w:rPr>
          <w:rFonts w:ascii="Verdana" w:hAnsi="Verdana" w:cs="Arial"/>
          <w:i/>
          <w:color w:val="000000"/>
          <w:sz w:val="20"/>
          <w:szCs w:val="20"/>
        </w:rPr>
        <w:t xml:space="preserve"> </w:t>
      </w:r>
    </w:p>
    <w:p w:rsidR="009553EE" w:rsidRPr="00533FF5" w:rsidRDefault="009553EE" w:rsidP="009553EE">
      <w:pPr>
        <w:pStyle w:val="ListParagraph"/>
        <w:spacing w:after="200" w:line="312" w:lineRule="auto"/>
        <w:ind w:left="0"/>
        <w:jc w:val="both"/>
        <w:rPr>
          <w:rFonts w:ascii="Verdana" w:hAnsi="Verdana" w:cs="Arial"/>
          <w:color w:val="000000"/>
          <w:sz w:val="20"/>
          <w:szCs w:val="20"/>
        </w:rPr>
      </w:pPr>
    </w:p>
    <w:p w:rsidR="009553EE" w:rsidRPr="00533FF5" w:rsidRDefault="009553EE" w:rsidP="009553EE">
      <w:pPr>
        <w:pStyle w:val="ListParagraph"/>
        <w:spacing w:after="200" w:line="312" w:lineRule="auto"/>
        <w:ind w:left="0"/>
        <w:jc w:val="both"/>
        <w:rPr>
          <w:rFonts w:ascii="Verdana" w:hAnsi="Verdana" w:cs="Arial"/>
          <w:color w:val="000000"/>
          <w:sz w:val="20"/>
          <w:szCs w:val="20"/>
        </w:rPr>
      </w:pPr>
      <w:r w:rsidRPr="00533FF5">
        <w:rPr>
          <w:rFonts w:ascii="Verdana" w:hAnsi="Verdana" w:cs="Arial"/>
          <w:color w:val="000000"/>
          <w:sz w:val="20"/>
          <w:szCs w:val="20"/>
        </w:rPr>
        <w:t>Recalling the continued commitment to full portability by the EHEA Ministers as well as the European Agreement on continued payment of scholarships to students studying abroad by the Council of Europe</w:t>
      </w:r>
      <w:r w:rsidRPr="00533FF5">
        <w:rPr>
          <w:rStyle w:val="FootnoteReference"/>
          <w:rFonts w:ascii="Verdana" w:hAnsi="Verdana" w:cs="Arial"/>
          <w:color w:val="000000"/>
          <w:sz w:val="20"/>
          <w:szCs w:val="20"/>
        </w:rPr>
        <w:footnoteReference w:id="19"/>
      </w:r>
      <w:r w:rsidRPr="00533FF5">
        <w:rPr>
          <w:rFonts w:ascii="Verdana" w:hAnsi="Verdana" w:cs="Arial"/>
          <w:color w:val="000000"/>
          <w:sz w:val="20"/>
          <w:szCs w:val="20"/>
        </w:rPr>
        <w:t xml:space="preserve">, the following guidelines are addressed to the governments of the EHEA countries. </w:t>
      </w:r>
      <w:r w:rsidRPr="00533FF5" w:rsidDel="00BD59E9">
        <w:rPr>
          <w:rFonts w:ascii="Verdana" w:hAnsi="Verdana" w:cs="Arial"/>
          <w:color w:val="000000"/>
          <w:sz w:val="20"/>
          <w:szCs w:val="20"/>
        </w:rPr>
        <w:t>The</w:t>
      </w:r>
      <w:r w:rsidRPr="00533FF5">
        <w:rPr>
          <w:rFonts w:ascii="Verdana" w:hAnsi="Verdana" w:cs="Arial"/>
          <w:color w:val="000000"/>
          <w:sz w:val="20"/>
          <w:szCs w:val="20"/>
        </w:rPr>
        <w:t>ir</w:t>
      </w:r>
      <w:r w:rsidRPr="00533FF5" w:rsidDel="00BD59E9">
        <w:rPr>
          <w:rFonts w:ascii="Verdana" w:hAnsi="Verdana" w:cs="Arial"/>
          <w:color w:val="000000"/>
          <w:sz w:val="20"/>
          <w:szCs w:val="20"/>
        </w:rPr>
        <w:t xml:space="preserve"> aim is a fair sharing of financial costs between the home and the host country of a mobile student within the EHEA </w:t>
      </w:r>
      <w:r w:rsidRPr="00533FF5">
        <w:rPr>
          <w:rFonts w:ascii="Verdana" w:hAnsi="Verdana" w:cs="Arial"/>
          <w:color w:val="000000"/>
          <w:sz w:val="20"/>
          <w:szCs w:val="20"/>
        </w:rPr>
        <w:t xml:space="preserve">while bearing in mind that portability of financial student support is closely linked to the overall funding of national higher education systems as well as to the economic situation of a country. Hence, countries may – in order to secure the sustainability and the functioning of their system – see the need to limit financial support and may define requirements for a sufficient link between the student and the country granting the portable support. </w:t>
      </w:r>
    </w:p>
    <w:p w:rsidR="009553EE" w:rsidRPr="00533FF5" w:rsidRDefault="009553EE" w:rsidP="009553EE">
      <w:pPr>
        <w:spacing w:line="312" w:lineRule="auto"/>
        <w:jc w:val="both"/>
        <w:rPr>
          <w:rFonts w:ascii="Verdana" w:hAnsi="Verdana" w:cs="Arial"/>
          <w:sz w:val="20"/>
          <w:szCs w:val="20"/>
          <w:lang w:val="en-GB"/>
        </w:rPr>
      </w:pPr>
      <w:r w:rsidRPr="00533FF5">
        <w:rPr>
          <w:rFonts w:ascii="Verdana" w:hAnsi="Verdana" w:cs="Arial"/>
          <w:b/>
          <w:sz w:val="20"/>
          <w:szCs w:val="20"/>
          <w:lang w:val="en-GB"/>
        </w:rPr>
        <w:t xml:space="preserve">The primary responsibility for financial student support to cover living expenses should in principle remain with the home country of a mobile student. The primary responsibility for securing the funding of study programmes should in principle remain with the host country. </w:t>
      </w:r>
      <w:r w:rsidRPr="00533FF5">
        <w:rPr>
          <w:rFonts w:ascii="Verdana" w:hAnsi="Verdana" w:cs="Arial"/>
          <w:sz w:val="20"/>
          <w:szCs w:val="20"/>
          <w:lang w:val="en-GB"/>
        </w:rPr>
        <w:t>For the purpose of these guidelines we will consider the home country to be the country of which a student is either a national or a permanent resident or to which s/he has a genuine link before becoming mobile. The host country will be considered the country where the mobility period takes place.</w:t>
      </w:r>
    </w:p>
    <w:p w:rsidR="009553EE" w:rsidRDefault="009553EE" w:rsidP="00B07A9D">
      <w:pPr>
        <w:pStyle w:val="ListParagraph"/>
        <w:numPr>
          <w:ilvl w:val="0"/>
          <w:numId w:val="34"/>
        </w:numPr>
        <w:spacing w:line="312" w:lineRule="auto"/>
        <w:jc w:val="both"/>
        <w:rPr>
          <w:rFonts w:ascii="Verdana" w:hAnsi="Verdana" w:cs="Arial"/>
          <w:sz w:val="20"/>
          <w:szCs w:val="20"/>
          <w:lang w:val="en-GB"/>
        </w:rPr>
      </w:pPr>
      <w:r w:rsidRPr="00533FF5">
        <w:rPr>
          <w:rFonts w:ascii="Verdana" w:hAnsi="Verdana" w:cs="Arial"/>
          <w:b/>
          <w:sz w:val="20"/>
          <w:szCs w:val="20"/>
          <w:lang w:val="en-GB"/>
        </w:rPr>
        <w:t>Financial student support granted in a member country of the EHEA to cover living expenses should in principle be portable to other EHEA countries.</w:t>
      </w:r>
      <w:r w:rsidRPr="00533FF5">
        <w:rPr>
          <w:rFonts w:ascii="Verdana" w:hAnsi="Verdana" w:cs="Arial"/>
          <w:sz w:val="20"/>
          <w:szCs w:val="20"/>
          <w:lang w:val="en-GB"/>
        </w:rPr>
        <w:t xml:space="preserve"> </w:t>
      </w:r>
    </w:p>
    <w:p w:rsidR="009553EE" w:rsidRPr="00533FF5" w:rsidRDefault="009553EE" w:rsidP="009553EE">
      <w:pPr>
        <w:pStyle w:val="ListParagraph"/>
        <w:spacing w:line="312" w:lineRule="auto"/>
        <w:jc w:val="both"/>
        <w:rPr>
          <w:rFonts w:ascii="Verdana" w:hAnsi="Verdana" w:cs="Arial"/>
          <w:sz w:val="20"/>
          <w:szCs w:val="20"/>
          <w:lang w:val="en-GB"/>
        </w:rPr>
      </w:pPr>
    </w:p>
    <w:p w:rsidR="009553EE" w:rsidRPr="00533FF5" w:rsidRDefault="009553EE" w:rsidP="00B07A9D">
      <w:pPr>
        <w:pStyle w:val="ListParagraph"/>
        <w:numPr>
          <w:ilvl w:val="0"/>
          <w:numId w:val="33"/>
        </w:numPr>
        <w:spacing w:before="120" w:after="120" w:line="312" w:lineRule="auto"/>
        <w:jc w:val="both"/>
        <w:rPr>
          <w:rFonts w:ascii="Verdana" w:hAnsi="Verdana" w:cs="Arial"/>
          <w:sz w:val="20"/>
          <w:szCs w:val="20"/>
          <w:lang w:val="en-GB"/>
        </w:rPr>
      </w:pPr>
      <w:r w:rsidRPr="00533FF5">
        <w:rPr>
          <w:rFonts w:ascii="Verdana" w:hAnsi="Verdana" w:cs="Arial"/>
          <w:sz w:val="20"/>
          <w:szCs w:val="20"/>
          <w:lang w:val="en-GB"/>
        </w:rPr>
        <w:t xml:space="preserve">It should be portable irrespective of whether it is </w:t>
      </w:r>
      <w:r>
        <w:rPr>
          <w:rFonts w:ascii="Verdana" w:hAnsi="Verdana" w:cs="Arial"/>
          <w:sz w:val="20"/>
          <w:szCs w:val="20"/>
          <w:lang w:val="en-GB"/>
        </w:rPr>
        <w:t xml:space="preserve">need </w:t>
      </w:r>
      <w:r w:rsidRPr="00533FF5">
        <w:rPr>
          <w:rFonts w:ascii="Verdana" w:hAnsi="Verdana" w:cs="Arial"/>
          <w:sz w:val="20"/>
          <w:szCs w:val="20"/>
          <w:lang w:val="en-GB"/>
        </w:rPr>
        <w:t>or merit-based or granted to every student who is eligible.</w:t>
      </w:r>
    </w:p>
    <w:p w:rsidR="009553EE" w:rsidRPr="00533FF5" w:rsidRDefault="009553EE" w:rsidP="00B07A9D">
      <w:pPr>
        <w:pStyle w:val="ListParagraph"/>
        <w:numPr>
          <w:ilvl w:val="0"/>
          <w:numId w:val="33"/>
        </w:numPr>
        <w:spacing w:before="120" w:after="120" w:line="312" w:lineRule="auto"/>
        <w:jc w:val="both"/>
        <w:rPr>
          <w:rFonts w:ascii="Verdana" w:hAnsi="Verdana" w:cs="Arial"/>
          <w:sz w:val="20"/>
          <w:szCs w:val="20"/>
          <w:lang w:val="en-GB"/>
        </w:rPr>
      </w:pPr>
      <w:r w:rsidRPr="00533FF5">
        <w:rPr>
          <w:rFonts w:ascii="Verdana" w:hAnsi="Verdana" w:cs="Arial"/>
          <w:sz w:val="20"/>
          <w:szCs w:val="20"/>
          <w:lang w:val="en-GB"/>
        </w:rPr>
        <w:t>Portability schemes should cover study-related mobility periods abroad – in the best of cases no matter whether these are spent as a part of the student’s study programme (credit mobility) or aim at a full degree abroad (degree mobility).</w:t>
      </w:r>
    </w:p>
    <w:p w:rsidR="009553EE" w:rsidRDefault="009553EE" w:rsidP="00B07A9D">
      <w:pPr>
        <w:pStyle w:val="ListParagraph"/>
        <w:numPr>
          <w:ilvl w:val="0"/>
          <w:numId w:val="33"/>
        </w:numPr>
        <w:spacing w:before="120" w:after="120" w:line="312" w:lineRule="auto"/>
        <w:jc w:val="both"/>
        <w:rPr>
          <w:rFonts w:ascii="Verdana" w:hAnsi="Verdana" w:cs="Arial"/>
          <w:sz w:val="20"/>
          <w:szCs w:val="20"/>
          <w:lang w:val="en-GB"/>
        </w:rPr>
      </w:pPr>
      <w:r w:rsidRPr="00533FF5">
        <w:rPr>
          <w:rFonts w:ascii="Verdana" w:hAnsi="Verdana" w:cs="Arial"/>
          <w:sz w:val="20"/>
          <w:szCs w:val="20"/>
          <w:lang w:val="en-GB"/>
        </w:rPr>
        <w:t>When putting portable support schemes into place, governments may wish to define conditions in order to ensure the quality of the study programme as well as its benefit to the student. Such conditions may even be desirable in the light of the goals and basic principles of the EHEA such as quality assurance and transparency of achieved learning outcomes. They should include criteria such as</w:t>
      </w:r>
      <w:r>
        <w:rPr>
          <w:rFonts w:ascii="Verdana" w:hAnsi="Verdana" w:cs="Arial"/>
          <w:sz w:val="20"/>
          <w:szCs w:val="20"/>
          <w:lang w:val="en-GB"/>
        </w:rPr>
        <w:t>:</w:t>
      </w:r>
    </w:p>
    <w:p w:rsidR="009553EE" w:rsidRPr="00533FF5" w:rsidRDefault="009553EE" w:rsidP="009553EE">
      <w:pPr>
        <w:pStyle w:val="ListParagraph"/>
        <w:spacing w:before="120" w:after="120" w:line="312" w:lineRule="auto"/>
        <w:jc w:val="both"/>
        <w:rPr>
          <w:rFonts w:ascii="Verdana" w:hAnsi="Verdana" w:cs="Arial"/>
          <w:sz w:val="20"/>
          <w:szCs w:val="20"/>
          <w:lang w:val="en-GB"/>
        </w:rPr>
      </w:pPr>
      <w:r w:rsidRPr="00533FF5">
        <w:rPr>
          <w:rFonts w:ascii="Verdana" w:hAnsi="Verdana" w:cs="Arial"/>
          <w:sz w:val="20"/>
          <w:szCs w:val="20"/>
          <w:lang w:val="en-GB"/>
        </w:rPr>
        <w:t xml:space="preserve"> </w:t>
      </w:r>
    </w:p>
    <w:p w:rsidR="009553EE" w:rsidRPr="00533FF5" w:rsidRDefault="009553EE" w:rsidP="00B07A9D">
      <w:pPr>
        <w:pStyle w:val="ListParagraph"/>
        <w:numPr>
          <w:ilvl w:val="1"/>
          <w:numId w:val="33"/>
        </w:numPr>
        <w:spacing w:before="120" w:after="120" w:line="312" w:lineRule="auto"/>
        <w:jc w:val="both"/>
        <w:rPr>
          <w:rFonts w:ascii="Verdana" w:hAnsi="Verdana" w:cs="Arial"/>
          <w:sz w:val="20"/>
          <w:szCs w:val="20"/>
          <w:lang w:val="en-GB"/>
        </w:rPr>
      </w:pPr>
      <w:r>
        <w:rPr>
          <w:rFonts w:ascii="Verdana" w:hAnsi="Verdana" w:cs="Arial"/>
          <w:sz w:val="20"/>
          <w:szCs w:val="20"/>
          <w:lang w:val="en-GB"/>
        </w:rPr>
        <w:t>T</w:t>
      </w:r>
      <w:r w:rsidRPr="00533FF5">
        <w:rPr>
          <w:rFonts w:ascii="Verdana" w:hAnsi="Verdana" w:cs="Arial"/>
          <w:sz w:val="20"/>
          <w:szCs w:val="20"/>
          <w:lang w:val="en-GB"/>
        </w:rPr>
        <w:t>he study programme is offered by a public or officially recognised Higher Education Institution of the host country</w:t>
      </w:r>
      <w:r>
        <w:rPr>
          <w:rFonts w:ascii="Verdana" w:hAnsi="Verdana" w:cs="Arial"/>
          <w:sz w:val="20"/>
          <w:szCs w:val="20"/>
          <w:lang w:val="en-GB"/>
        </w:rPr>
        <w:t>;</w:t>
      </w:r>
    </w:p>
    <w:p w:rsidR="009553EE" w:rsidRPr="00533FF5" w:rsidRDefault="009553EE" w:rsidP="00B07A9D">
      <w:pPr>
        <w:pStyle w:val="ListParagraph"/>
        <w:numPr>
          <w:ilvl w:val="1"/>
          <w:numId w:val="33"/>
        </w:numPr>
        <w:spacing w:before="120" w:after="120" w:line="312" w:lineRule="auto"/>
        <w:jc w:val="both"/>
        <w:rPr>
          <w:rFonts w:ascii="Verdana" w:hAnsi="Verdana" w:cs="Arial"/>
          <w:sz w:val="20"/>
          <w:szCs w:val="20"/>
          <w:lang w:val="en-GB"/>
        </w:rPr>
      </w:pPr>
      <w:r>
        <w:rPr>
          <w:rFonts w:ascii="Verdana" w:hAnsi="Verdana" w:cs="Arial"/>
          <w:sz w:val="20"/>
          <w:szCs w:val="20"/>
          <w:lang w:val="en-GB"/>
        </w:rPr>
        <w:t>T</w:t>
      </w:r>
      <w:r w:rsidRPr="00533FF5">
        <w:rPr>
          <w:rFonts w:ascii="Verdana" w:hAnsi="Verdana" w:cs="Arial"/>
          <w:sz w:val="20"/>
          <w:szCs w:val="20"/>
          <w:lang w:val="en-GB"/>
        </w:rPr>
        <w:t>he study programme attended in the host country is quality assured in accordance with the European Standards and Guidelines</w:t>
      </w:r>
      <w:r>
        <w:rPr>
          <w:rFonts w:ascii="Verdana" w:hAnsi="Verdana" w:cs="Arial"/>
          <w:sz w:val="20"/>
          <w:szCs w:val="20"/>
          <w:lang w:val="en-GB"/>
        </w:rPr>
        <w:t>;</w:t>
      </w:r>
      <w:r w:rsidRPr="00533FF5">
        <w:rPr>
          <w:rFonts w:ascii="Verdana" w:hAnsi="Verdana" w:cs="Arial"/>
          <w:sz w:val="20"/>
          <w:szCs w:val="20"/>
          <w:lang w:val="en-GB"/>
        </w:rPr>
        <w:t xml:space="preserve"> </w:t>
      </w:r>
    </w:p>
    <w:p w:rsidR="009553EE" w:rsidRDefault="009553EE" w:rsidP="00B07A9D">
      <w:pPr>
        <w:pStyle w:val="ListParagraph"/>
        <w:numPr>
          <w:ilvl w:val="1"/>
          <w:numId w:val="33"/>
        </w:numPr>
        <w:spacing w:before="120" w:after="120" w:line="312" w:lineRule="auto"/>
        <w:jc w:val="both"/>
        <w:rPr>
          <w:rFonts w:ascii="Verdana" w:hAnsi="Verdana" w:cs="Arial"/>
          <w:sz w:val="20"/>
          <w:szCs w:val="20"/>
          <w:lang w:val="en-GB"/>
        </w:rPr>
      </w:pPr>
      <w:r>
        <w:rPr>
          <w:rFonts w:ascii="Verdana" w:hAnsi="Verdana" w:cs="Arial"/>
          <w:sz w:val="20"/>
          <w:szCs w:val="20"/>
          <w:lang w:val="en-GB"/>
        </w:rPr>
        <w:lastRenderedPageBreak/>
        <w:t>R</w:t>
      </w:r>
      <w:r w:rsidRPr="00533FF5">
        <w:rPr>
          <w:rFonts w:ascii="Verdana" w:hAnsi="Verdana" w:cs="Arial"/>
          <w:sz w:val="20"/>
          <w:szCs w:val="20"/>
          <w:lang w:val="en-GB"/>
        </w:rPr>
        <w:t>ecognition of the study-related mobility period is guaranteed in line with the Lisbon Recognition Convention</w:t>
      </w:r>
      <w:r w:rsidRPr="00533FF5">
        <w:rPr>
          <w:rStyle w:val="FootnoteReference"/>
          <w:rFonts w:ascii="Verdana" w:hAnsi="Verdana" w:cs="Arial"/>
          <w:sz w:val="20"/>
          <w:szCs w:val="20"/>
          <w:lang w:val="en-GB"/>
        </w:rPr>
        <w:footnoteReference w:id="20"/>
      </w:r>
      <w:r w:rsidRPr="00533FF5">
        <w:rPr>
          <w:rFonts w:ascii="Verdana" w:hAnsi="Verdana" w:cs="Arial"/>
          <w:sz w:val="20"/>
          <w:szCs w:val="20"/>
          <w:lang w:val="en-GB"/>
        </w:rPr>
        <w:t>, where applicable by a learning agreement.</w:t>
      </w:r>
    </w:p>
    <w:p w:rsidR="009553EE" w:rsidRPr="00533FF5" w:rsidRDefault="009553EE" w:rsidP="009553EE">
      <w:pPr>
        <w:pStyle w:val="ListParagraph"/>
        <w:spacing w:before="120" w:after="120" w:line="312" w:lineRule="auto"/>
        <w:ind w:left="1440"/>
        <w:jc w:val="both"/>
        <w:rPr>
          <w:rFonts w:ascii="Verdana" w:hAnsi="Verdana" w:cs="Arial"/>
          <w:sz w:val="20"/>
          <w:szCs w:val="20"/>
          <w:lang w:val="en-GB"/>
        </w:rPr>
      </w:pPr>
    </w:p>
    <w:p w:rsidR="009553EE" w:rsidRPr="00533FF5" w:rsidRDefault="009553EE" w:rsidP="00B07A9D">
      <w:pPr>
        <w:pStyle w:val="ListParagraph"/>
        <w:numPr>
          <w:ilvl w:val="0"/>
          <w:numId w:val="33"/>
        </w:numPr>
        <w:spacing w:before="120" w:after="120" w:line="312" w:lineRule="auto"/>
        <w:jc w:val="both"/>
        <w:rPr>
          <w:rFonts w:ascii="Verdana" w:hAnsi="Verdana" w:cs="Arial"/>
          <w:sz w:val="20"/>
          <w:szCs w:val="20"/>
          <w:lang w:val="en-GB"/>
        </w:rPr>
      </w:pPr>
      <w:r w:rsidRPr="00533FF5">
        <w:rPr>
          <w:rFonts w:ascii="Verdana" w:hAnsi="Verdana" w:cs="Arial"/>
          <w:sz w:val="20"/>
          <w:szCs w:val="20"/>
          <w:lang w:val="en-GB"/>
        </w:rPr>
        <w:t>New portability schemes could initially be established based on bilateral agreements.</w:t>
      </w:r>
    </w:p>
    <w:p w:rsidR="009553EE" w:rsidRPr="00533FF5" w:rsidRDefault="009553EE" w:rsidP="009553EE">
      <w:pPr>
        <w:pStyle w:val="ListParagraph"/>
        <w:spacing w:before="120" w:after="120" w:line="312" w:lineRule="auto"/>
        <w:jc w:val="both"/>
        <w:rPr>
          <w:rFonts w:ascii="Verdana" w:hAnsi="Verdana" w:cs="Arial"/>
          <w:sz w:val="20"/>
          <w:szCs w:val="20"/>
          <w:lang w:val="en-GB"/>
        </w:rPr>
      </w:pPr>
    </w:p>
    <w:p w:rsidR="009553EE" w:rsidRDefault="009553EE" w:rsidP="00B07A9D">
      <w:pPr>
        <w:pStyle w:val="ListParagraph"/>
        <w:numPr>
          <w:ilvl w:val="0"/>
          <w:numId w:val="34"/>
        </w:numPr>
        <w:spacing w:line="312" w:lineRule="auto"/>
        <w:jc w:val="both"/>
        <w:rPr>
          <w:rFonts w:ascii="Verdana" w:hAnsi="Verdana" w:cs="Arial"/>
          <w:b/>
          <w:sz w:val="20"/>
          <w:szCs w:val="20"/>
          <w:lang w:val="en-GB"/>
        </w:rPr>
      </w:pPr>
      <w:r w:rsidRPr="00533FF5">
        <w:rPr>
          <w:rFonts w:ascii="Verdana" w:hAnsi="Verdana" w:cs="Arial"/>
          <w:b/>
          <w:sz w:val="20"/>
          <w:szCs w:val="20"/>
          <w:lang w:val="en-GB"/>
        </w:rPr>
        <w:t xml:space="preserve">If the host country offers financial support to its students for tuition fees it should consider applying the same criteria to incoming students from other EHEA countries. </w:t>
      </w:r>
    </w:p>
    <w:p w:rsidR="009553EE" w:rsidRPr="009553EE" w:rsidRDefault="009553EE" w:rsidP="009553EE">
      <w:pPr>
        <w:spacing w:after="0" w:line="312" w:lineRule="auto"/>
        <w:jc w:val="both"/>
        <w:rPr>
          <w:rFonts w:ascii="Verdana" w:hAnsi="Verdana" w:cs="Arial"/>
          <w:b/>
          <w:sz w:val="20"/>
          <w:szCs w:val="20"/>
          <w:lang w:val="en-GB"/>
        </w:rPr>
      </w:pPr>
      <w:r w:rsidRPr="009553EE">
        <w:rPr>
          <w:rFonts w:ascii="Verdana" w:hAnsi="Verdana" w:cs="Arial"/>
          <w:sz w:val="20"/>
          <w:szCs w:val="20"/>
          <w:lang w:val="en-GB"/>
        </w:rPr>
        <w:t>Granting of financial student support for tuition fees is a means of funding the Higher Education Institutions in the respective country. Hence, tuition fees are closely linked to the national funding system for higher education.</w:t>
      </w:r>
    </w:p>
    <w:p w:rsidR="009553EE" w:rsidRPr="00533FF5" w:rsidRDefault="009553EE" w:rsidP="009553EE">
      <w:pPr>
        <w:spacing w:after="0" w:line="312" w:lineRule="auto"/>
        <w:jc w:val="both"/>
        <w:rPr>
          <w:rFonts w:ascii="Verdana" w:hAnsi="Verdana" w:cs="Arial"/>
          <w:b/>
          <w:sz w:val="20"/>
          <w:szCs w:val="20"/>
          <w:lang w:val="en-GB"/>
        </w:rPr>
      </w:pPr>
    </w:p>
    <w:p w:rsidR="009553EE" w:rsidRDefault="009553EE" w:rsidP="00B07A9D">
      <w:pPr>
        <w:pStyle w:val="ListParagraph"/>
        <w:numPr>
          <w:ilvl w:val="0"/>
          <w:numId w:val="34"/>
        </w:numPr>
        <w:spacing w:line="312" w:lineRule="auto"/>
        <w:jc w:val="both"/>
        <w:rPr>
          <w:rFonts w:ascii="Verdana" w:hAnsi="Verdana" w:cs="Arial"/>
          <w:b/>
          <w:sz w:val="20"/>
          <w:szCs w:val="20"/>
          <w:lang w:val="en-GB"/>
        </w:rPr>
      </w:pPr>
      <w:r w:rsidRPr="00533FF5">
        <w:rPr>
          <w:rFonts w:ascii="Verdana" w:hAnsi="Verdana" w:cs="Arial"/>
          <w:b/>
          <w:sz w:val="20"/>
          <w:szCs w:val="20"/>
          <w:lang w:val="en-GB"/>
        </w:rPr>
        <w:t>Additional mobility support may complement portable financial student support to cover living expenses.</w:t>
      </w:r>
    </w:p>
    <w:p w:rsidR="009553EE" w:rsidRPr="00533FF5" w:rsidRDefault="009553EE" w:rsidP="009553EE">
      <w:pPr>
        <w:spacing w:after="0" w:line="312" w:lineRule="auto"/>
        <w:jc w:val="both"/>
        <w:rPr>
          <w:rFonts w:ascii="Verdana" w:hAnsi="Verdana" w:cs="Arial"/>
          <w:b/>
          <w:sz w:val="20"/>
          <w:szCs w:val="20"/>
          <w:lang w:val="en-GB"/>
        </w:rPr>
      </w:pPr>
    </w:p>
    <w:p w:rsidR="009553EE" w:rsidRPr="00533FF5" w:rsidRDefault="009553EE" w:rsidP="009553EE">
      <w:pPr>
        <w:spacing w:after="0" w:line="312" w:lineRule="auto"/>
        <w:ind w:left="708"/>
        <w:jc w:val="both"/>
        <w:rPr>
          <w:rFonts w:ascii="Verdana" w:hAnsi="Verdana" w:cs="Arial"/>
          <w:sz w:val="20"/>
          <w:szCs w:val="20"/>
          <w:lang w:val="en-GB"/>
        </w:rPr>
      </w:pPr>
      <w:r w:rsidRPr="00533FF5">
        <w:rPr>
          <w:rFonts w:ascii="Verdana" w:hAnsi="Verdana" w:cs="Arial"/>
          <w:sz w:val="20"/>
          <w:szCs w:val="20"/>
          <w:lang w:val="en-GB"/>
        </w:rPr>
        <w:t xml:space="preserve">Mobility often causes additional costs, such as travel expenses, support for higher living costs in the host country, additional health insurance costs and costs for language classes, which would not otherwise be incurred by the student. Consequently, they are usually not included in the financial support given to students staying in the country. However, support given for additional costs is of great importance as it truly enables mobility and a participation in mobility for those who depend on financial support. Their mobility is rendered possible through the coverage of additional costs and is therefore desirable. </w:t>
      </w:r>
    </w:p>
    <w:p w:rsidR="009553EE" w:rsidRPr="00533FF5" w:rsidRDefault="009553EE" w:rsidP="009553EE">
      <w:pPr>
        <w:spacing w:after="0" w:line="312" w:lineRule="auto"/>
        <w:jc w:val="both"/>
        <w:rPr>
          <w:rFonts w:ascii="Verdana" w:hAnsi="Verdana" w:cs="Arial"/>
          <w:sz w:val="20"/>
          <w:szCs w:val="20"/>
          <w:lang w:val="en-GB"/>
        </w:rPr>
      </w:pPr>
    </w:p>
    <w:p w:rsidR="009553EE" w:rsidRDefault="009553EE" w:rsidP="00B07A9D">
      <w:pPr>
        <w:pStyle w:val="ListParagraph"/>
        <w:numPr>
          <w:ilvl w:val="0"/>
          <w:numId w:val="34"/>
        </w:numPr>
        <w:spacing w:line="312" w:lineRule="auto"/>
        <w:jc w:val="both"/>
        <w:rPr>
          <w:rFonts w:ascii="Verdana" w:hAnsi="Verdana" w:cs="Arial"/>
          <w:b/>
          <w:sz w:val="20"/>
          <w:szCs w:val="20"/>
          <w:lang w:val="en-GB"/>
        </w:rPr>
      </w:pPr>
      <w:r w:rsidRPr="00533FF5">
        <w:rPr>
          <w:rFonts w:ascii="Verdana" w:hAnsi="Verdana" w:cs="Arial"/>
          <w:b/>
          <w:sz w:val="20"/>
          <w:szCs w:val="20"/>
          <w:lang w:val="en-GB"/>
        </w:rPr>
        <w:t xml:space="preserve">Double funding should be avoided within the EHEA </w:t>
      </w:r>
    </w:p>
    <w:p w:rsidR="009553EE" w:rsidRPr="00533FF5" w:rsidRDefault="009553EE" w:rsidP="009553EE">
      <w:pPr>
        <w:pStyle w:val="ListParagraph"/>
        <w:spacing w:line="312" w:lineRule="auto"/>
        <w:jc w:val="both"/>
        <w:rPr>
          <w:rFonts w:ascii="Verdana" w:hAnsi="Verdana" w:cs="Arial"/>
          <w:b/>
          <w:sz w:val="20"/>
          <w:szCs w:val="20"/>
          <w:lang w:val="en-GB"/>
        </w:rPr>
      </w:pPr>
    </w:p>
    <w:p w:rsidR="009553EE" w:rsidRPr="00533FF5" w:rsidRDefault="009553EE" w:rsidP="00B07A9D">
      <w:pPr>
        <w:pStyle w:val="ListParagraph"/>
        <w:numPr>
          <w:ilvl w:val="0"/>
          <w:numId w:val="35"/>
        </w:numPr>
        <w:spacing w:line="312" w:lineRule="auto"/>
        <w:jc w:val="both"/>
        <w:rPr>
          <w:rFonts w:ascii="Verdana" w:hAnsi="Verdana" w:cs="Arial"/>
          <w:sz w:val="20"/>
          <w:szCs w:val="20"/>
          <w:lang w:val="en-GB"/>
        </w:rPr>
      </w:pPr>
      <w:r w:rsidRPr="00533FF5">
        <w:rPr>
          <w:rFonts w:ascii="Verdana" w:hAnsi="Verdana" w:cs="Arial"/>
          <w:sz w:val="20"/>
          <w:szCs w:val="20"/>
          <w:lang w:val="en-GB"/>
        </w:rPr>
        <w:t xml:space="preserve">Double funding refers to a situation where a student who is studying in a country other than his or her home country receives financial support from the host country and the home country for the same costs of a study-related mobility period. </w:t>
      </w:r>
      <w:r w:rsidRPr="00533FF5">
        <w:rPr>
          <w:rFonts w:ascii="Verdana" w:hAnsi="Verdana" w:cs="Arial"/>
          <w:sz w:val="20"/>
          <w:szCs w:val="20"/>
          <w:lang w:val="en-GB"/>
        </w:rPr>
        <w:tab/>
        <w:t>While the financial continuity secured by portability serves as an important vehicle to promote mobility, double funding should be avoided. Bilateral solutions could be sought by the home and the host country if problems of double funding persist between them.</w:t>
      </w:r>
    </w:p>
    <w:p w:rsidR="009553EE" w:rsidRPr="00533FF5" w:rsidRDefault="009553EE" w:rsidP="00B07A9D">
      <w:pPr>
        <w:pStyle w:val="ListParagraph"/>
        <w:numPr>
          <w:ilvl w:val="0"/>
          <w:numId w:val="35"/>
        </w:numPr>
        <w:spacing w:line="312" w:lineRule="auto"/>
        <w:jc w:val="both"/>
        <w:rPr>
          <w:rFonts w:ascii="Verdana" w:hAnsi="Verdana" w:cs="Arial"/>
          <w:sz w:val="20"/>
          <w:szCs w:val="20"/>
          <w:lang w:val="en-GB"/>
        </w:rPr>
      </w:pPr>
      <w:r w:rsidRPr="00533FF5">
        <w:rPr>
          <w:rFonts w:ascii="Verdana" w:hAnsi="Verdana" w:cs="Arial"/>
          <w:sz w:val="20"/>
          <w:szCs w:val="20"/>
          <w:lang w:val="en-GB"/>
        </w:rPr>
        <w:t xml:space="preserve">If a mobile student is eligible for financial student support in the host country, this eligibility must not be used as an argument by the home country to withdraw portable financial support. If the support from the home country is not enough to cover a student’s living expenses, the host country could provide supplemental funding earmarked for this purpose. </w:t>
      </w:r>
    </w:p>
    <w:p w:rsidR="009553EE" w:rsidRPr="00533FF5" w:rsidRDefault="009553EE" w:rsidP="009553EE">
      <w:pPr>
        <w:spacing w:after="0" w:line="312" w:lineRule="auto"/>
        <w:jc w:val="both"/>
        <w:rPr>
          <w:rFonts w:ascii="Verdana" w:hAnsi="Verdana" w:cs="Arial"/>
          <w:sz w:val="20"/>
          <w:szCs w:val="20"/>
          <w:lang w:val="en-GB"/>
        </w:rPr>
      </w:pPr>
    </w:p>
    <w:p w:rsidR="009553EE" w:rsidRPr="00533FF5" w:rsidRDefault="009553EE" w:rsidP="00B07A9D">
      <w:pPr>
        <w:pStyle w:val="ListParagraph"/>
        <w:numPr>
          <w:ilvl w:val="0"/>
          <w:numId w:val="34"/>
        </w:numPr>
        <w:spacing w:line="312" w:lineRule="auto"/>
        <w:jc w:val="both"/>
        <w:rPr>
          <w:rFonts w:ascii="Verdana" w:hAnsi="Verdana" w:cs="Arial"/>
          <w:b/>
          <w:sz w:val="20"/>
          <w:szCs w:val="20"/>
          <w:lang w:val="en-GB"/>
        </w:rPr>
      </w:pPr>
      <w:r w:rsidRPr="00533FF5">
        <w:rPr>
          <w:rFonts w:ascii="Verdana" w:hAnsi="Verdana" w:cs="Arial"/>
          <w:b/>
          <w:sz w:val="20"/>
          <w:szCs w:val="20"/>
          <w:lang w:val="en-GB"/>
        </w:rPr>
        <w:lastRenderedPageBreak/>
        <w:t>Financial student support to parents of students, such as in the form of family allowances or tax relief, should in principle be granted irrespective of whether the student undertakes studies in the home country or abroad.</w:t>
      </w:r>
    </w:p>
    <w:p w:rsidR="009553EE" w:rsidRPr="00533FF5" w:rsidRDefault="009553EE" w:rsidP="009553EE">
      <w:pPr>
        <w:spacing w:before="120" w:after="120" w:line="312" w:lineRule="auto"/>
        <w:ind w:left="720"/>
        <w:jc w:val="both"/>
        <w:rPr>
          <w:rFonts w:ascii="Verdana" w:hAnsi="Verdana" w:cs="Arial"/>
          <w:sz w:val="20"/>
          <w:szCs w:val="20"/>
          <w:lang w:val="en-GB"/>
        </w:rPr>
      </w:pPr>
      <w:r w:rsidRPr="00533FF5">
        <w:rPr>
          <w:rFonts w:ascii="Verdana" w:hAnsi="Verdana" w:cs="Arial"/>
          <w:sz w:val="20"/>
          <w:szCs w:val="20"/>
          <w:lang w:val="en-GB"/>
        </w:rPr>
        <w:t>If an EHEA country offers financial support to parents of students in the home country, there should be no disadvantage if the student undertakes his or her studies abroad. This does not prevent the home country from defining other requirements which would apply also to purely domestic cases, such as a requirement to reside in the parents’ household.</w:t>
      </w:r>
    </w:p>
    <w:p w:rsidR="009553EE" w:rsidRPr="00533FF5" w:rsidRDefault="009553EE" w:rsidP="00B07A9D">
      <w:pPr>
        <w:pStyle w:val="ListParagraph"/>
        <w:numPr>
          <w:ilvl w:val="0"/>
          <w:numId w:val="34"/>
        </w:numPr>
        <w:spacing w:before="120" w:after="120" w:line="312" w:lineRule="auto"/>
        <w:jc w:val="both"/>
        <w:rPr>
          <w:rFonts w:ascii="Verdana" w:hAnsi="Verdana" w:cs="Arial"/>
          <w:b/>
          <w:sz w:val="20"/>
          <w:szCs w:val="20"/>
          <w:lang w:val="en-GB"/>
        </w:rPr>
      </w:pPr>
      <w:r w:rsidRPr="00533FF5">
        <w:rPr>
          <w:rFonts w:ascii="Verdana" w:hAnsi="Verdana" w:cs="Arial"/>
          <w:b/>
          <w:color w:val="000000"/>
          <w:sz w:val="20"/>
          <w:szCs w:val="20"/>
          <w:lang w:val="en-GB"/>
        </w:rPr>
        <w:t xml:space="preserve">EHEA countries as well as their Higher Education Institutions shall provide adequate </w:t>
      </w:r>
      <w:r w:rsidRPr="00533FF5">
        <w:rPr>
          <w:rFonts w:ascii="Verdana" w:hAnsi="Verdana" w:cs="Arial"/>
          <w:b/>
          <w:color w:val="000000"/>
          <w:sz w:val="20"/>
          <w:szCs w:val="20"/>
        </w:rPr>
        <w:t>information on the portability of financial student support as well as on the conditions to be fulfilled.</w:t>
      </w:r>
    </w:p>
    <w:p w:rsidR="009553EE" w:rsidRPr="00533FF5" w:rsidRDefault="009553EE" w:rsidP="009553EE">
      <w:pPr>
        <w:pStyle w:val="ListParagraph"/>
        <w:spacing w:before="120" w:after="120" w:line="312" w:lineRule="auto"/>
        <w:jc w:val="both"/>
        <w:rPr>
          <w:rFonts w:ascii="Verdana" w:hAnsi="Verdana" w:cs="Arial"/>
          <w:b/>
          <w:sz w:val="20"/>
          <w:szCs w:val="20"/>
          <w:lang w:val="en-GB"/>
        </w:rPr>
      </w:pPr>
      <w:r w:rsidRPr="00533FF5">
        <w:rPr>
          <w:rFonts w:ascii="Verdana" w:hAnsi="Verdana" w:cs="Arial"/>
          <w:b/>
          <w:color w:val="000000"/>
          <w:sz w:val="20"/>
          <w:szCs w:val="20"/>
        </w:rPr>
        <w:t xml:space="preserve"> </w:t>
      </w:r>
    </w:p>
    <w:p w:rsidR="009B70E3" w:rsidRDefault="009553EE" w:rsidP="009553EE">
      <w:pPr>
        <w:pStyle w:val="ListParagraph"/>
        <w:spacing w:after="200" w:line="312" w:lineRule="auto"/>
        <w:ind w:left="0"/>
        <w:jc w:val="both"/>
        <w:rPr>
          <w:rFonts w:ascii="Verdana" w:hAnsi="Verdana" w:cs="Arial"/>
          <w:b/>
          <w:sz w:val="20"/>
          <w:szCs w:val="20"/>
          <w:lang w:val="en-GB"/>
        </w:rPr>
      </w:pPr>
      <w:r w:rsidRPr="00533FF5">
        <w:rPr>
          <w:rFonts w:ascii="Verdana" w:hAnsi="Verdana" w:cs="Arial"/>
          <w:b/>
          <w:sz w:val="20"/>
          <w:szCs w:val="20"/>
          <w:lang w:val="en-GB"/>
        </w:rPr>
        <w:t>The realisation of these guidelines should be covered in the next Bologna Process Implementation Report. EHEA countries are encouraged to participate in the Network of Experts on Student Support in Europe (NESSIE) in order to exchange information and benefit from each other's experience in this field.</w:t>
      </w:r>
    </w:p>
    <w:p w:rsidR="00A75E62" w:rsidRDefault="00A75E62" w:rsidP="009553EE">
      <w:pPr>
        <w:pStyle w:val="ListParagraph"/>
        <w:spacing w:after="200" w:line="312" w:lineRule="auto"/>
        <w:ind w:left="0"/>
        <w:jc w:val="both"/>
        <w:rPr>
          <w:rFonts w:ascii="Verdana" w:hAnsi="Verdana" w:cs="Arial"/>
          <w:b/>
          <w:sz w:val="20"/>
          <w:szCs w:val="20"/>
          <w:lang w:val="en-GB"/>
        </w:rPr>
      </w:pPr>
    </w:p>
    <w:p w:rsidR="00A75E62" w:rsidRDefault="00A75E62" w:rsidP="009553EE">
      <w:pPr>
        <w:pStyle w:val="ListParagraph"/>
        <w:spacing w:after="200" w:line="312" w:lineRule="auto"/>
        <w:ind w:left="0"/>
        <w:jc w:val="both"/>
        <w:rPr>
          <w:rFonts w:ascii="Verdana" w:hAnsi="Verdana" w:cs="Arial"/>
          <w:b/>
          <w:sz w:val="20"/>
          <w:szCs w:val="20"/>
          <w:lang w:val="en-GB"/>
        </w:rPr>
      </w:pPr>
    </w:p>
    <w:p w:rsidR="00A75E62" w:rsidRPr="00DF496D" w:rsidRDefault="00A75E62" w:rsidP="00A75E62">
      <w:pPr>
        <w:pStyle w:val="ListParagraph"/>
        <w:spacing w:after="200" w:line="312" w:lineRule="auto"/>
        <w:ind w:left="0"/>
        <w:jc w:val="both"/>
        <w:rPr>
          <w:rFonts w:ascii="Verdana" w:hAnsi="Verdana" w:cs="Calibri"/>
          <w:b/>
          <w:i/>
          <w:sz w:val="22"/>
          <w:szCs w:val="22"/>
        </w:rPr>
      </w:pPr>
      <w:r w:rsidRPr="00A75E62">
        <w:rPr>
          <w:rFonts w:ascii="Verdana" w:hAnsi="Verdana" w:cs="Arial"/>
          <w:b/>
          <w:sz w:val="22"/>
          <w:szCs w:val="22"/>
          <w:lang w:val="en-GB"/>
        </w:rPr>
        <w:t xml:space="preserve">ANNEX IX: </w:t>
      </w:r>
      <w:r w:rsidRPr="00A75E62">
        <w:rPr>
          <w:rFonts w:ascii="Verdana" w:hAnsi="Verdana" w:cs="Calibri"/>
          <w:b/>
          <w:sz w:val="22"/>
          <w:szCs w:val="22"/>
        </w:rPr>
        <w:t>The EHEA in a Global Setting: 2014 Strategy Review</w:t>
      </w:r>
      <w:r w:rsidR="00DF496D">
        <w:rPr>
          <w:rStyle w:val="FootnoteReference"/>
          <w:rFonts w:ascii="Verdana" w:hAnsi="Verdana"/>
          <w:b/>
          <w:sz w:val="22"/>
          <w:szCs w:val="22"/>
        </w:rPr>
        <w:footnoteReference w:id="21"/>
      </w:r>
    </w:p>
    <w:p w:rsidR="00A75E62" w:rsidRPr="00107CC9" w:rsidRDefault="00A75E62" w:rsidP="00A75E62">
      <w:pPr>
        <w:autoSpaceDE w:val="0"/>
        <w:autoSpaceDN w:val="0"/>
        <w:adjustRightInd w:val="0"/>
        <w:spacing w:after="0" w:line="240" w:lineRule="auto"/>
        <w:jc w:val="center"/>
        <w:rPr>
          <w:rFonts w:ascii="Verdana" w:hAnsi="Verdana" w:cs="Calibri"/>
          <w:i/>
          <w:sz w:val="20"/>
          <w:szCs w:val="20"/>
        </w:rPr>
      </w:pPr>
      <w:r w:rsidRPr="00107CC9">
        <w:rPr>
          <w:rFonts w:ascii="Verdana" w:hAnsi="Verdana" w:cs="Calibri"/>
          <w:i/>
          <w:sz w:val="20"/>
          <w:szCs w:val="20"/>
        </w:rPr>
        <w:t xml:space="preserve">Draft 5 November, 2014 - Contributions: EC, France, Austria, Denmark, Germany, ENQA, EUA, Ireland, Spain, Lithuania, </w:t>
      </w:r>
      <w:proofErr w:type="gramStart"/>
      <w:r w:rsidRPr="00107CC9">
        <w:rPr>
          <w:rFonts w:ascii="Verdana" w:hAnsi="Verdana" w:cs="Calibri"/>
          <w:i/>
          <w:sz w:val="20"/>
          <w:szCs w:val="20"/>
        </w:rPr>
        <w:t>The</w:t>
      </w:r>
      <w:proofErr w:type="gramEnd"/>
      <w:r w:rsidRPr="00107CC9">
        <w:rPr>
          <w:rFonts w:ascii="Verdana" w:hAnsi="Verdana" w:cs="Calibri"/>
          <w:i/>
          <w:sz w:val="20"/>
          <w:szCs w:val="20"/>
        </w:rPr>
        <w:t xml:space="preserve"> Netherlands, Bologna Secretariat</w:t>
      </w:r>
    </w:p>
    <w:p w:rsidR="00A75E62" w:rsidRPr="00107CC9" w:rsidRDefault="00A75E62" w:rsidP="00A75E62">
      <w:pPr>
        <w:autoSpaceDE w:val="0"/>
        <w:autoSpaceDN w:val="0"/>
        <w:adjustRightInd w:val="0"/>
        <w:spacing w:after="0" w:line="240" w:lineRule="auto"/>
        <w:jc w:val="center"/>
        <w:rPr>
          <w:rFonts w:ascii="Verdana" w:hAnsi="Verdana" w:cs="Calibri"/>
          <w:i/>
          <w:sz w:val="20"/>
          <w:szCs w:val="20"/>
        </w:rPr>
      </w:pPr>
    </w:p>
    <w:p w:rsidR="00A75E62" w:rsidRPr="00107CC9" w:rsidRDefault="00A75E62" w:rsidP="00A75E62">
      <w:pPr>
        <w:autoSpaceDE w:val="0"/>
        <w:autoSpaceDN w:val="0"/>
        <w:adjustRightInd w:val="0"/>
        <w:spacing w:after="0" w:line="240" w:lineRule="auto"/>
        <w:jc w:val="center"/>
        <w:rPr>
          <w:rFonts w:ascii="Verdana" w:hAnsi="Verdana" w:cs="Calibri"/>
          <w:sz w:val="20"/>
          <w:szCs w:val="20"/>
        </w:rPr>
      </w:pPr>
      <w:r w:rsidRPr="00107CC9">
        <w:rPr>
          <w:rFonts w:ascii="Verdana" w:hAnsi="Verdana" w:cs="Calibri"/>
          <w:sz w:val="20"/>
          <w:szCs w:val="20"/>
        </w:rPr>
        <w:t xml:space="preserve">By Elizabeth </w:t>
      </w:r>
      <w:proofErr w:type="spellStart"/>
      <w:r w:rsidRPr="00107CC9">
        <w:rPr>
          <w:rFonts w:ascii="Verdana" w:hAnsi="Verdana" w:cs="Calibri"/>
          <w:sz w:val="20"/>
          <w:szCs w:val="20"/>
        </w:rPr>
        <w:t>Colucci</w:t>
      </w:r>
      <w:proofErr w:type="spellEnd"/>
      <w:r w:rsidRPr="00107CC9">
        <w:rPr>
          <w:rFonts w:ascii="Verdana" w:hAnsi="Verdana" w:cs="Calibri"/>
          <w:sz w:val="20"/>
          <w:szCs w:val="20"/>
        </w:rPr>
        <w:t xml:space="preserve">, </w:t>
      </w:r>
      <w:proofErr w:type="spellStart"/>
      <w:r w:rsidRPr="00107CC9">
        <w:rPr>
          <w:rFonts w:ascii="Verdana" w:hAnsi="Verdana" w:cs="Calibri"/>
          <w:sz w:val="20"/>
          <w:szCs w:val="20"/>
        </w:rPr>
        <w:t>Programme</w:t>
      </w:r>
      <w:proofErr w:type="spellEnd"/>
      <w:r w:rsidRPr="00107CC9">
        <w:rPr>
          <w:rFonts w:ascii="Verdana" w:hAnsi="Verdana" w:cs="Calibri"/>
          <w:sz w:val="20"/>
          <w:szCs w:val="20"/>
        </w:rPr>
        <w:t xml:space="preserve"> Manager, EUA</w:t>
      </w:r>
    </w:p>
    <w:p w:rsidR="00A75E62" w:rsidRPr="00107CC9" w:rsidRDefault="00A75E62" w:rsidP="00A75E62">
      <w:pPr>
        <w:pStyle w:val="TOCHeading"/>
        <w:rPr>
          <w:rFonts w:ascii="Verdana" w:hAnsi="Verdana"/>
          <w:sz w:val="20"/>
          <w:szCs w:val="20"/>
        </w:rPr>
      </w:pPr>
      <w:r w:rsidRPr="00107CC9">
        <w:rPr>
          <w:rFonts w:ascii="Verdana" w:hAnsi="Verdana"/>
          <w:sz w:val="20"/>
          <w:szCs w:val="20"/>
        </w:rPr>
        <w:t>Contents</w:t>
      </w:r>
    </w:p>
    <w:p w:rsidR="00A75E62" w:rsidRPr="00107CC9" w:rsidRDefault="00A75E62" w:rsidP="00A75E62">
      <w:pPr>
        <w:pStyle w:val="TOC1"/>
        <w:tabs>
          <w:tab w:val="right" w:leader="dot" w:pos="9062"/>
        </w:tabs>
        <w:rPr>
          <w:rFonts w:ascii="Verdana" w:hAnsi="Verdana"/>
          <w:noProof/>
          <w:sz w:val="20"/>
          <w:szCs w:val="20"/>
        </w:rPr>
      </w:pPr>
      <w:r w:rsidRPr="00107CC9">
        <w:rPr>
          <w:rFonts w:ascii="Verdana" w:hAnsi="Verdana"/>
          <w:sz w:val="20"/>
          <w:szCs w:val="20"/>
        </w:rPr>
        <w:fldChar w:fldCharType="begin"/>
      </w:r>
      <w:r w:rsidRPr="00107CC9">
        <w:rPr>
          <w:rFonts w:ascii="Verdana" w:hAnsi="Verdana"/>
          <w:sz w:val="20"/>
          <w:szCs w:val="20"/>
        </w:rPr>
        <w:instrText xml:space="preserve"> TOC \o "1-3" \h \z \u </w:instrText>
      </w:r>
      <w:r w:rsidRPr="00107CC9">
        <w:rPr>
          <w:rFonts w:ascii="Verdana" w:hAnsi="Verdana"/>
          <w:sz w:val="20"/>
          <w:szCs w:val="20"/>
        </w:rPr>
        <w:fldChar w:fldCharType="separate"/>
      </w:r>
      <w:hyperlink w:anchor="_Toc397091164" w:history="1">
        <w:r w:rsidRPr="00107CC9">
          <w:rPr>
            <w:rStyle w:val="Hyperlink"/>
            <w:rFonts w:ascii="Verdana" w:hAnsi="Verdana"/>
            <w:noProof/>
            <w:sz w:val="20"/>
            <w:szCs w:val="20"/>
            <w:lang w:val="en-US"/>
          </w:rPr>
          <w:t>Introduction</w:t>
        </w:r>
        <w:r w:rsidRPr="00107CC9">
          <w:rPr>
            <w:rFonts w:ascii="Verdana" w:hAnsi="Verdana"/>
            <w:noProof/>
            <w:webHidden/>
            <w:sz w:val="20"/>
            <w:szCs w:val="20"/>
          </w:rPr>
          <w:tab/>
        </w:r>
        <w:r w:rsidRPr="00107CC9">
          <w:rPr>
            <w:rFonts w:ascii="Verdana" w:hAnsi="Verdana"/>
            <w:noProof/>
            <w:webHidden/>
            <w:sz w:val="20"/>
            <w:szCs w:val="20"/>
          </w:rPr>
          <w:fldChar w:fldCharType="begin"/>
        </w:r>
        <w:r w:rsidRPr="00107CC9">
          <w:rPr>
            <w:rFonts w:ascii="Verdana" w:hAnsi="Verdana"/>
            <w:noProof/>
            <w:webHidden/>
            <w:sz w:val="20"/>
            <w:szCs w:val="20"/>
          </w:rPr>
          <w:instrText xml:space="preserve"> PAGEREF _Toc397091164 \h </w:instrText>
        </w:r>
        <w:r w:rsidRPr="00107CC9">
          <w:rPr>
            <w:rFonts w:ascii="Verdana" w:hAnsi="Verdana"/>
            <w:noProof/>
            <w:webHidden/>
            <w:sz w:val="20"/>
            <w:szCs w:val="20"/>
          </w:rPr>
        </w:r>
        <w:r w:rsidRPr="00107CC9">
          <w:rPr>
            <w:rFonts w:ascii="Verdana" w:hAnsi="Verdana"/>
            <w:noProof/>
            <w:webHidden/>
            <w:sz w:val="20"/>
            <w:szCs w:val="20"/>
          </w:rPr>
          <w:fldChar w:fldCharType="separate"/>
        </w:r>
        <w:r w:rsidRPr="00107CC9">
          <w:rPr>
            <w:rFonts w:ascii="Verdana" w:hAnsi="Verdana"/>
            <w:noProof/>
            <w:webHidden/>
            <w:sz w:val="20"/>
            <w:szCs w:val="20"/>
          </w:rPr>
          <w:t>1</w:t>
        </w:r>
        <w:r w:rsidRPr="00107CC9">
          <w:rPr>
            <w:rFonts w:ascii="Verdana" w:hAnsi="Verdana"/>
            <w:noProof/>
            <w:webHidden/>
            <w:sz w:val="20"/>
            <w:szCs w:val="20"/>
          </w:rPr>
          <w:fldChar w:fldCharType="end"/>
        </w:r>
      </w:hyperlink>
    </w:p>
    <w:p w:rsidR="00A75E62" w:rsidRPr="00107CC9" w:rsidRDefault="007C5FAC" w:rsidP="00A75E62">
      <w:pPr>
        <w:pStyle w:val="TOC1"/>
        <w:tabs>
          <w:tab w:val="right" w:leader="dot" w:pos="9062"/>
        </w:tabs>
        <w:rPr>
          <w:rFonts w:ascii="Verdana" w:hAnsi="Verdana"/>
          <w:noProof/>
          <w:sz w:val="20"/>
          <w:szCs w:val="20"/>
        </w:rPr>
      </w:pPr>
      <w:hyperlink w:anchor="_Toc397091165" w:history="1">
        <w:r w:rsidR="00A75E62" w:rsidRPr="00107CC9">
          <w:rPr>
            <w:rStyle w:val="Hyperlink"/>
            <w:rFonts w:ascii="Verdana" w:hAnsi="Verdana"/>
            <w:noProof/>
            <w:sz w:val="20"/>
            <w:szCs w:val="20"/>
            <w:lang w:val="en-US"/>
          </w:rPr>
          <w:t>Improving information on the EHEA</w:t>
        </w:r>
        <w:r w:rsidR="00A75E62" w:rsidRPr="00107CC9">
          <w:rPr>
            <w:rFonts w:ascii="Verdana" w:hAnsi="Verdana"/>
            <w:noProof/>
            <w:webHidden/>
            <w:sz w:val="20"/>
            <w:szCs w:val="20"/>
          </w:rPr>
          <w:tab/>
        </w:r>
        <w:r w:rsidR="00A75E62" w:rsidRPr="00107CC9">
          <w:rPr>
            <w:rFonts w:ascii="Verdana" w:hAnsi="Verdana"/>
            <w:noProof/>
            <w:webHidden/>
            <w:sz w:val="20"/>
            <w:szCs w:val="20"/>
          </w:rPr>
          <w:fldChar w:fldCharType="begin"/>
        </w:r>
        <w:r w:rsidR="00A75E62" w:rsidRPr="00107CC9">
          <w:rPr>
            <w:rFonts w:ascii="Verdana" w:hAnsi="Verdana"/>
            <w:noProof/>
            <w:webHidden/>
            <w:sz w:val="20"/>
            <w:szCs w:val="20"/>
          </w:rPr>
          <w:instrText xml:space="preserve"> PAGEREF _Toc397091165 \h </w:instrText>
        </w:r>
        <w:r w:rsidR="00A75E62" w:rsidRPr="00107CC9">
          <w:rPr>
            <w:rFonts w:ascii="Verdana" w:hAnsi="Verdana"/>
            <w:noProof/>
            <w:webHidden/>
            <w:sz w:val="20"/>
            <w:szCs w:val="20"/>
          </w:rPr>
        </w:r>
        <w:r w:rsidR="00A75E62" w:rsidRPr="00107CC9">
          <w:rPr>
            <w:rFonts w:ascii="Verdana" w:hAnsi="Verdana"/>
            <w:noProof/>
            <w:webHidden/>
            <w:sz w:val="20"/>
            <w:szCs w:val="20"/>
          </w:rPr>
          <w:fldChar w:fldCharType="separate"/>
        </w:r>
        <w:r w:rsidR="00A75E62" w:rsidRPr="00107CC9">
          <w:rPr>
            <w:rFonts w:ascii="Verdana" w:hAnsi="Verdana"/>
            <w:noProof/>
            <w:webHidden/>
            <w:sz w:val="20"/>
            <w:szCs w:val="20"/>
          </w:rPr>
          <w:t>3</w:t>
        </w:r>
        <w:r w:rsidR="00A75E62" w:rsidRPr="00107CC9">
          <w:rPr>
            <w:rFonts w:ascii="Verdana" w:hAnsi="Verdana"/>
            <w:noProof/>
            <w:webHidden/>
            <w:sz w:val="20"/>
            <w:szCs w:val="20"/>
          </w:rPr>
          <w:fldChar w:fldCharType="end"/>
        </w:r>
      </w:hyperlink>
    </w:p>
    <w:p w:rsidR="00A75E62" w:rsidRPr="00107CC9" w:rsidRDefault="007C5FAC" w:rsidP="00A75E62">
      <w:pPr>
        <w:pStyle w:val="TOC1"/>
        <w:tabs>
          <w:tab w:val="right" w:leader="dot" w:pos="9062"/>
        </w:tabs>
        <w:rPr>
          <w:rFonts w:ascii="Verdana" w:hAnsi="Verdana"/>
          <w:noProof/>
          <w:sz w:val="20"/>
          <w:szCs w:val="20"/>
        </w:rPr>
      </w:pPr>
      <w:hyperlink w:anchor="_Toc397091166" w:history="1">
        <w:r w:rsidR="00A75E62" w:rsidRPr="00107CC9">
          <w:rPr>
            <w:rStyle w:val="Hyperlink"/>
            <w:rFonts w:ascii="Verdana" w:hAnsi="Verdana"/>
            <w:noProof/>
            <w:sz w:val="20"/>
            <w:szCs w:val="20"/>
            <w:lang w:val="en-US"/>
          </w:rPr>
          <w:t>P</w:t>
        </w:r>
        <w:r w:rsidR="00A75E62" w:rsidRPr="00107CC9">
          <w:rPr>
            <w:rStyle w:val="Hyperlink"/>
            <w:rFonts w:ascii="Verdana" w:hAnsi="Verdana"/>
            <w:noProof/>
            <w:sz w:val="20"/>
            <w:szCs w:val="20"/>
          </w:rPr>
          <w:t>romoting European Higher Education to enhance its worldwide attractiveness and competitiveness</w:t>
        </w:r>
        <w:r w:rsidR="00A75E62" w:rsidRPr="00107CC9">
          <w:rPr>
            <w:rFonts w:ascii="Verdana" w:hAnsi="Verdana"/>
            <w:noProof/>
            <w:webHidden/>
            <w:sz w:val="20"/>
            <w:szCs w:val="20"/>
          </w:rPr>
          <w:tab/>
        </w:r>
        <w:r w:rsidR="00A75E62" w:rsidRPr="00107CC9">
          <w:rPr>
            <w:rFonts w:ascii="Verdana" w:hAnsi="Verdana"/>
            <w:noProof/>
            <w:webHidden/>
            <w:sz w:val="20"/>
            <w:szCs w:val="20"/>
          </w:rPr>
          <w:fldChar w:fldCharType="begin"/>
        </w:r>
        <w:r w:rsidR="00A75E62" w:rsidRPr="00107CC9">
          <w:rPr>
            <w:rFonts w:ascii="Verdana" w:hAnsi="Verdana"/>
            <w:noProof/>
            <w:webHidden/>
            <w:sz w:val="20"/>
            <w:szCs w:val="20"/>
          </w:rPr>
          <w:instrText xml:space="preserve"> PAGEREF _Toc397091166 \h </w:instrText>
        </w:r>
        <w:r w:rsidR="00A75E62" w:rsidRPr="00107CC9">
          <w:rPr>
            <w:rFonts w:ascii="Verdana" w:hAnsi="Verdana"/>
            <w:noProof/>
            <w:webHidden/>
            <w:sz w:val="20"/>
            <w:szCs w:val="20"/>
          </w:rPr>
        </w:r>
        <w:r w:rsidR="00A75E62" w:rsidRPr="00107CC9">
          <w:rPr>
            <w:rFonts w:ascii="Verdana" w:hAnsi="Verdana"/>
            <w:noProof/>
            <w:webHidden/>
            <w:sz w:val="20"/>
            <w:szCs w:val="20"/>
          </w:rPr>
          <w:fldChar w:fldCharType="separate"/>
        </w:r>
        <w:r w:rsidR="00A75E62" w:rsidRPr="00107CC9">
          <w:rPr>
            <w:rFonts w:ascii="Verdana" w:hAnsi="Verdana"/>
            <w:noProof/>
            <w:webHidden/>
            <w:sz w:val="20"/>
            <w:szCs w:val="20"/>
          </w:rPr>
          <w:t>6</w:t>
        </w:r>
        <w:r w:rsidR="00A75E62" w:rsidRPr="00107CC9">
          <w:rPr>
            <w:rFonts w:ascii="Verdana" w:hAnsi="Verdana"/>
            <w:noProof/>
            <w:webHidden/>
            <w:sz w:val="20"/>
            <w:szCs w:val="20"/>
          </w:rPr>
          <w:fldChar w:fldCharType="end"/>
        </w:r>
      </w:hyperlink>
    </w:p>
    <w:p w:rsidR="00A75E62" w:rsidRPr="00107CC9" w:rsidRDefault="007C5FAC" w:rsidP="00A75E62">
      <w:pPr>
        <w:pStyle w:val="TOC1"/>
        <w:tabs>
          <w:tab w:val="right" w:leader="dot" w:pos="9062"/>
        </w:tabs>
        <w:rPr>
          <w:rFonts w:ascii="Verdana" w:hAnsi="Verdana"/>
          <w:noProof/>
          <w:sz w:val="20"/>
          <w:szCs w:val="20"/>
        </w:rPr>
      </w:pPr>
      <w:hyperlink w:anchor="_Toc397091167" w:history="1">
        <w:r w:rsidR="00A75E62" w:rsidRPr="00107CC9">
          <w:rPr>
            <w:rStyle w:val="Hyperlink"/>
            <w:rFonts w:ascii="Verdana" w:hAnsi="Verdana"/>
            <w:noProof/>
            <w:sz w:val="20"/>
            <w:szCs w:val="20"/>
          </w:rPr>
          <w:t>Strengthening Cooperation based on Partnership</w:t>
        </w:r>
        <w:r w:rsidR="00A75E62" w:rsidRPr="00107CC9">
          <w:rPr>
            <w:rFonts w:ascii="Verdana" w:hAnsi="Verdana"/>
            <w:noProof/>
            <w:webHidden/>
            <w:sz w:val="20"/>
            <w:szCs w:val="20"/>
          </w:rPr>
          <w:tab/>
        </w:r>
        <w:r w:rsidR="00A75E62" w:rsidRPr="00107CC9">
          <w:rPr>
            <w:rFonts w:ascii="Verdana" w:hAnsi="Verdana"/>
            <w:noProof/>
            <w:webHidden/>
            <w:sz w:val="20"/>
            <w:szCs w:val="20"/>
          </w:rPr>
          <w:fldChar w:fldCharType="begin"/>
        </w:r>
        <w:r w:rsidR="00A75E62" w:rsidRPr="00107CC9">
          <w:rPr>
            <w:rFonts w:ascii="Verdana" w:hAnsi="Verdana"/>
            <w:noProof/>
            <w:webHidden/>
            <w:sz w:val="20"/>
            <w:szCs w:val="20"/>
          </w:rPr>
          <w:instrText xml:space="preserve"> PAGEREF _Toc397091167 \h </w:instrText>
        </w:r>
        <w:r w:rsidR="00A75E62" w:rsidRPr="00107CC9">
          <w:rPr>
            <w:rFonts w:ascii="Verdana" w:hAnsi="Verdana"/>
            <w:noProof/>
            <w:webHidden/>
            <w:sz w:val="20"/>
            <w:szCs w:val="20"/>
          </w:rPr>
        </w:r>
        <w:r w:rsidR="00A75E62" w:rsidRPr="00107CC9">
          <w:rPr>
            <w:rFonts w:ascii="Verdana" w:hAnsi="Verdana"/>
            <w:noProof/>
            <w:webHidden/>
            <w:sz w:val="20"/>
            <w:szCs w:val="20"/>
          </w:rPr>
          <w:fldChar w:fldCharType="separate"/>
        </w:r>
        <w:r w:rsidR="00A75E62" w:rsidRPr="00107CC9">
          <w:rPr>
            <w:rFonts w:ascii="Verdana" w:hAnsi="Verdana"/>
            <w:noProof/>
            <w:webHidden/>
            <w:sz w:val="20"/>
            <w:szCs w:val="20"/>
          </w:rPr>
          <w:t>13</w:t>
        </w:r>
        <w:r w:rsidR="00A75E62" w:rsidRPr="00107CC9">
          <w:rPr>
            <w:rFonts w:ascii="Verdana" w:hAnsi="Verdana"/>
            <w:noProof/>
            <w:webHidden/>
            <w:sz w:val="20"/>
            <w:szCs w:val="20"/>
          </w:rPr>
          <w:fldChar w:fldCharType="end"/>
        </w:r>
      </w:hyperlink>
    </w:p>
    <w:p w:rsidR="00A75E62" w:rsidRPr="00107CC9" w:rsidRDefault="007C5FAC" w:rsidP="00A75E62">
      <w:pPr>
        <w:pStyle w:val="TOC1"/>
        <w:tabs>
          <w:tab w:val="right" w:leader="dot" w:pos="9062"/>
        </w:tabs>
        <w:rPr>
          <w:rFonts w:ascii="Verdana" w:hAnsi="Verdana"/>
          <w:noProof/>
          <w:sz w:val="20"/>
          <w:szCs w:val="20"/>
        </w:rPr>
      </w:pPr>
      <w:hyperlink w:anchor="_Toc397091168" w:history="1">
        <w:r w:rsidR="00A75E62" w:rsidRPr="00107CC9">
          <w:rPr>
            <w:rStyle w:val="Hyperlink"/>
            <w:rFonts w:ascii="Verdana" w:hAnsi="Verdana"/>
            <w:noProof/>
            <w:sz w:val="20"/>
            <w:szCs w:val="20"/>
            <w:lang w:val="en-US"/>
          </w:rPr>
          <w:t xml:space="preserve">Intensifying </w:t>
        </w:r>
        <w:r w:rsidR="00A75E62" w:rsidRPr="00107CC9">
          <w:rPr>
            <w:rStyle w:val="Hyperlink"/>
            <w:rFonts w:ascii="Verdana" w:hAnsi="Verdana"/>
            <w:noProof/>
            <w:sz w:val="20"/>
            <w:szCs w:val="20"/>
          </w:rPr>
          <w:t>Policy Dialogue</w:t>
        </w:r>
        <w:r w:rsidR="00A75E62" w:rsidRPr="00107CC9">
          <w:rPr>
            <w:rFonts w:ascii="Verdana" w:hAnsi="Verdana"/>
            <w:noProof/>
            <w:webHidden/>
            <w:sz w:val="20"/>
            <w:szCs w:val="20"/>
          </w:rPr>
          <w:tab/>
        </w:r>
        <w:r w:rsidR="00A75E62" w:rsidRPr="00107CC9">
          <w:rPr>
            <w:rFonts w:ascii="Verdana" w:hAnsi="Verdana"/>
            <w:noProof/>
            <w:webHidden/>
            <w:sz w:val="20"/>
            <w:szCs w:val="20"/>
          </w:rPr>
          <w:fldChar w:fldCharType="begin"/>
        </w:r>
        <w:r w:rsidR="00A75E62" w:rsidRPr="00107CC9">
          <w:rPr>
            <w:rFonts w:ascii="Verdana" w:hAnsi="Verdana"/>
            <w:noProof/>
            <w:webHidden/>
            <w:sz w:val="20"/>
            <w:szCs w:val="20"/>
          </w:rPr>
          <w:instrText xml:space="preserve"> PAGEREF _Toc397091168 \h </w:instrText>
        </w:r>
        <w:r w:rsidR="00A75E62" w:rsidRPr="00107CC9">
          <w:rPr>
            <w:rFonts w:ascii="Verdana" w:hAnsi="Verdana"/>
            <w:noProof/>
            <w:webHidden/>
            <w:sz w:val="20"/>
            <w:szCs w:val="20"/>
          </w:rPr>
        </w:r>
        <w:r w:rsidR="00A75E62" w:rsidRPr="00107CC9">
          <w:rPr>
            <w:rFonts w:ascii="Verdana" w:hAnsi="Verdana"/>
            <w:noProof/>
            <w:webHidden/>
            <w:sz w:val="20"/>
            <w:szCs w:val="20"/>
          </w:rPr>
          <w:fldChar w:fldCharType="separate"/>
        </w:r>
        <w:r w:rsidR="00A75E62" w:rsidRPr="00107CC9">
          <w:rPr>
            <w:rFonts w:ascii="Verdana" w:hAnsi="Verdana"/>
            <w:noProof/>
            <w:webHidden/>
            <w:sz w:val="20"/>
            <w:szCs w:val="20"/>
          </w:rPr>
          <w:t>20</w:t>
        </w:r>
        <w:r w:rsidR="00A75E62" w:rsidRPr="00107CC9">
          <w:rPr>
            <w:rFonts w:ascii="Verdana" w:hAnsi="Verdana"/>
            <w:noProof/>
            <w:webHidden/>
            <w:sz w:val="20"/>
            <w:szCs w:val="20"/>
          </w:rPr>
          <w:fldChar w:fldCharType="end"/>
        </w:r>
      </w:hyperlink>
    </w:p>
    <w:p w:rsidR="00A75E62" w:rsidRPr="00107CC9" w:rsidRDefault="007C5FAC" w:rsidP="00A75E62">
      <w:pPr>
        <w:pStyle w:val="TOC1"/>
        <w:tabs>
          <w:tab w:val="right" w:leader="dot" w:pos="9062"/>
        </w:tabs>
        <w:rPr>
          <w:rFonts w:ascii="Verdana" w:hAnsi="Verdana"/>
          <w:noProof/>
          <w:sz w:val="20"/>
          <w:szCs w:val="20"/>
        </w:rPr>
      </w:pPr>
      <w:hyperlink w:anchor="_Toc397091169" w:history="1">
        <w:r w:rsidR="00A75E62" w:rsidRPr="00107CC9">
          <w:rPr>
            <w:rStyle w:val="Hyperlink"/>
            <w:rFonts w:ascii="Verdana" w:hAnsi="Verdana"/>
            <w:noProof/>
            <w:sz w:val="20"/>
            <w:szCs w:val="20"/>
          </w:rPr>
          <w:t>Recognition of Qualifications</w:t>
        </w:r>
        <w:r w:rsidR="00A75E62" w:rsidRPr="00107CC9">
          <w:rPr>
            <w:rFonts w:ascii="Verdana" w:hAnsi="Verdana"/>
            <w:noProof/>
            <w:webHidden/>
            <w:sz w:val="20"/>
            <w:szCs w:val="20"/>
          </w:rPr>
          <w:tab/>
        </w:r>
        <w:r w:rsidR="00A75E62" w:rsidRPr="00107CC9">
          <w:rPr>
            <w:rFonts w:ascii="Verdana" w:hAnsi="Verdana"/>
            <w:noProof/>
            <w:webHidden/>
            <w:sz w:val="20"/>
            <w:szCs w:val="20"/>
          </w:rPr>
          <w:fldChar w:fldCharType="begin"/>
        </w:r>
        <w:r w:rsidR="00A75E62" w:rsidRPr="00107CC9">
          <w:rPr>
            <w:rFonts w:ascii="Verdana" w:hAnsi="Verdana"/>
            <w:noProof/>
            <w:webHidden/>
            <w:sz w:val="20"/>
            <w:szCs w:val="20"/>
          </w:rPr>
          <w:instrText xml:space="preserve"> PAGEREF _Toc397091169 \h </w:instrText>
        </w:r>
        <w:r w:rsidR="00A75E62" w:rsidRPr="00107CC9">
          <w:rPr>
            <w:rFonts w:ascii="Verdana" w:hAnsi="Verdana"/>
            <w:noProof/>
            <w:webHidden/>
            <w:sz w:val="20"/>
            <w:szCs w:val="20"/>
          </w:rPr>
        </w:r>
        <w:r w:rsidR="00A75E62" w:rsidRPr="00107CC9">
          <w:rPr>
            <w:rFonts w:ascii="Verdana" w:hAnsi="Verdana"/>
            <w:noProof/>
            <w:webHidden/>
            <w:sz w:val="20"/>
            <w:szCs w:val="20"/>
          </w:rPr>
          <w:fldChar w:fldCharType="separate"/>
        </w:r>
        <w:r w:rsidR="00A75E62" w:rsidRPr="00107CC9">
          <w:rPr>
            <w:rFonts w:ascii="Verdana" w:hAnsi="Verdana"/>
            <w:noProof/>
            <w:webHidden/>
            <w:sz w:val="20"/>
            <w:szCs w:val="20"/>
          </w:rPr>
          <w:t>24</w:t>
        </w:r>
        <w:r w:rsidR="00A75E62" w:rsidRPr="00107CC9">
          <w:rPr>
            <w:rFonts w:ascii="Verdana" w:hAnsi="Verdana"/>
            <w:noProof/>
            <w:webHidden/>
            <w:sz w:val="20"/>
            <w:szCs w:val="20"/>
          </w:rPr>
          <w:fldChar w:fldCharType="end"/>
        </w:r>
      </w:hyperlink>
    </w:p>
    <w:p w:rsidR="00A75E62" w:rsidRPr="00107CC9" w:rsidRDefault="007C5FAC" w:rsidP="00A75E62">
      <w:pPr>
        <w:pStyle w:val="TOC1"/>
        <w:tabs>
          <w:tab w:val="right" w:leader="dot" w:pos="9062"/>
        </w:tabs>
        <w:rPr>
          <w:rFonts w:ascii="Verdana" w:hAnsi="Verdana"/>
          <w:noProof/>
          <w:sz w:val="20"/>
          <w:szCs w:val="20"/>
        </w:rPr>
      </w:pPr>
      <w:hyperlink w:anchor="_Toc397091170" w:history="1">
        <w:r w:rsidR="00A75E62" w:rsidRPr="00107CC9">
          <w:rPr>
            <w:rStyle w:val="Hyperlink"/>
            <w:rFonts w:ascii="Verdana" w:hAnsi="Verdana"/>
            <w:noProof/>
            <w:sz w:val="20"/>
            <w:szCs w:val="20"/>
          </w:rPr>
          <w:t>Conclusions</w:t>
        </w:r>
        <w:r w:rsidR="00A75E62" w:rsidRPr="00107CC9">
          <w:rPr>
            <w:rFonts w:ascii="Verdana" w:hAnsi="Verdana"/>
            <w:noProof/>
            <w:webHidden/>
            <w:sz w:val="20"/>
            <w:szCs w:val="20"/>
          </w:rPr>
          <w:tab/>
        </w:r>
        <w:r w:rsidR="00A75E62" w:rsidRPr="00107CC9">
          <w:rPr>
            <w:rFonts w:ascii="Verdana" w:hAnsi="Verdana"/>
            <w:noProof/>
            <w:webHidden/>
            <w:sz w:val="20"/>
            <w:szCs w:val="20"/>
          </w:rPr>
          <w:fldChar w:fldCharType="begin"/>
        </w:r>
        <w:r w:rsidR="00A75E62" w:rsidRPr="00107CC9">
          <w:rPr>
            <w:rFonts w:ascii="Verdana" w:hAnsi="Verdana"/>
            <w:noProof/>
            <w:webHidden/>
            <w:sz w:val="20"/>
            <w:szCs w:val="20"/>
          </w:rPr>
          <w:instrText xml:space="preserve"> PAGEREF _Toc397091170 \h </w:instrText>
        </w:r>
        <w:r w:rsidR="00A75E62" w:rsidRPr="00107CC9">
          <w:rPr>
            <w:rFonts w:ascii="Verdana" w:hAnsi="Verdana"/>
            <w:noProof/>
            <w:webHidden/>
            <w:sz w:val="20"/>
            <w:szCs w:val="20"/>
          </w:rPr>
        </w:r>
        <w:r w:rsidR="00A75E62" w:rsidRPr="00107CC9">
          <w:rPr>
            <w:rFonts w:ascii="Verdana" w:hAnsi="Verdana"/>
            <w:noProof/>
            <w:webHidden/>
            <w:sz w:val="20"/>
            <w:szCs w:val="20"/>
          </w:rPr>
          <w:fldChar w:fldCharType="separate"/>
        </w:r>
        <w:r w:rsidR="00A75E62" w:rsidRPr="00107CC9">
          <w:rPr>
            <w:rFonts w:ascii="Verdana" w:hAnsi="Verdana"/>
            <w:noProof/>
            <w:webHidden/>
            <w:sz w:val="20"/>
            <w:szCs w:val="20"/>
          </w:rPr>
          <w:t>27</w:t>
        </w:r>
        <w:r w:rsidR="00A75E62" w:rsidRPr="00107CC9">
          <w:rPr>
            <w:rFonts w:ascii="Verdana" w:hAnsi="Verdana"/>
            <w:noProof/>
            <w:webHidden/>
            <w:sz w:val="20"/>
            <w:szCs w:val="20"/>
          </w:rPr>
          <w:fldChar w:fldCharType="end"/>
        </w:r>
      </w:hyperlink>
    </w:p>
    <w:p w:rsidR="00A75E62" w:rsidRPr="00107CC9" w:rsidRDefault="00A75E62" w:rsidP="00A75E62">
      <w:pPr>
        <w:spacing w:after="0" w:line="240" w:lineRule="auto"/>
        <w:jc w:val="center"/>
        <w:rPr>
          <w:rFonts w:ascii="Verdana" w:hAnsi="Verdana" w:cs="Calibri"/>
          <w:i/>
          <w:sz w:val="20"/>
          <w:szCs w:val="20"/>
        </w:rPr>
      </w:pPr>
      <w:r w:rsidRPr="00107CC9">
        <w:rPr>
          <w:rFonts w:ascii="Verdana" w:hAnsi="Verdana"/>
          <w:b/>
          <w:bCs/>
          <w:noProof/>
          <w:sz w:val="20"/>
          <w:szCs w:val="20"/>
        </w:rPr>
        <w:fldChar w:fldCharType="end"/>
      </w:r>
    </w:p>
    <w:p w:rsidR="00A75E62" w:rsidRPr="00107CC9" w:rsidRDefault="00A75E62" w:rsidP="00A75E62">
      <w:pPr>
        <w:pStyle w:val="Heading1"/>
        <w:jc w:val="both"/>
        <w:rPr>
          <w:rFonts w:ascii="Verdana" w:hAnsi="Verdana"/>
          <w:sz w:val="20"/>
          <w:szCs w:val="20"/>
          <w:lang w:val="en-US"/>
        </w:rPr>
      </w:pPr>
      <w:bookmarkStart w:id="2" w:name="_Toc397091164"/>
      <w:r w:rsidRPr="00107CC9">
        <w:rPr>
          <w:rFonts w:ascii="Verdana" w:hAnsi="Verdana"/>
          <w:sz w:val="20"/>
          <w:szCs w:val="20"/>
          <w:lang w:val="en-US"/>
        </w:rPr>
        <w:lastRenderedPageBreak/>
        <w:t>Introduction</w:t>
      </w:r>
      <w:bookmarkEnd w:id="2"/>
    </w:p>
    <w:p w:rsidR="00A75E62" w:rsidRPr="00107CC9" w:rsidRDefault="00A75E62" w:rsidP="00A75E62">
      <w:pPr>
        <w:autoSpaceDE w:val="0"/>
        <w:autoSpaceDN w:val="0"/>
        <w:adjustRightInd w:val="0"/>
        <w:spacing w:after="0" w:line="240" w:lineRule="auto"/>
        <w:jc w:val="both"/>
        <w:rPr>
          <w:rFonts w:ascii="Verdana" w:hAnsi="Verdana" w:cs="Calibri"/>
          <w:i/>
          <w:sz w:val="20"/>
          <w:szCs w:val="20"/>
        </w:rPr>
      </w:pPr>
    </w:p>
    <w:p w:rsidR="00A75E62" w:rsidRPr="00107CC9" w:rsidRDefault="00A75E62" w:rsidP="00A75E62">
      <w:pPr>
        <w:autoSpaceDE w:val="0"/>
        <w:autoSpaceDN w:val="0"/>
        <w:adjustRightInd w:val="0"/>
        <w:spacing w:after="0" w:line="240" w:lineRule="auto"/>
        <w:jc w:val="both"/>
        <w:rPr>
          <w:rFonts w:ascii="Verdana" w:hAnsi="Verdana" w:cs="Calibri"/>
          <w:sz w:val="20"/>
          <w:szCs w:val="20"/>
        </w:rPr>
      </w:pPr>
      <w:r w:rsidRPr="00107CC9">
        <w:rPr>
          <w:rFonts w:ascii="Verdana" w:hAnsi="Verdana" w:cs="Calibri"/>
          <w:sz w:val="20"/>
          <w:szCs w:val="20"/>
        </w:rPr>
        <w:t xml:space="preserve">The global impact and implications of the Bologna Process is a subject that has received considerable attention over the past decade. This has ranged from intrigue about the promise of harmonized higher education (HE) systems across Europe, to skepticism about the compatibility of the European degrees with those of other countries and regions. Some countries applauded Bologna, and emulated it through like-reforms in their own systems, while others were more interested in the tools that it was developing for recognition and exchange and how these could enhance collaboration. To address these interests and concerns in a more concerted manner, the </w:t>
      </w:r>
      <w:r w:rsidRPr="00107CC9">
        <w:rPr>
          <w:rFonts w:ascii="Verdana" w:hAnsi="Verdana" w:cs="Calibri"/>
          <w:i/>
          <w:sz w:val="20"/>
          <w:szCs w:val="20"/>
        </w:rPr>
        <w:t>Strategy for the European Higher Education Area in a Global Setting</w:t>
      </w:r>
      <w:r w:rsidRPr="00107CC9">
        <w:rPr>
          <w:rFonts w:ascii="Verdana" w:hAnsi="Verdana" w:cs="Calibri"/>
          <w:sz w:val="20"/>
          <w:szCs w:val="20"/>
        </w:rPr>
        <w:t xml:space="preserve"> was agreed by ministers in 2007. It </w:t>
      </w:r>
      <w:r w:rsidRPr="00107CC9">
        <w:rPr>
          <w:rFonts w:ascii="Verdana" w:hAnsi="Verdana" w:cs="Calibri"/>
          <w:bCs/>
          <w:sz w:val="20"/>
          <w:szCs w:val="20"/>
        </w:rPr>
        <w:t>concentrates on five core policy areas</w:t>
      </w:r>
      <w:r w:rsidRPr="00107CC9">
        <w:rPr>
          <w:rFonts w:ascii="Verdana" w:hAnsi="Verdana" w:cs="Calibri"/>
          <w:sz w:val="20"/>
          <w:szCs w:val="20"/>
        </w:rPr>
        <w:t xml:space="preserve">: </w:t>
      </w:r>
    </w:p>
    <w:p w:rsidR="00A75E62" w:rsidRPr="00107CC9" w:rsidRDefault="00A75E62" w:rsidP="00A75E62">
      <w:pPr>
        <w:autoSpaceDE w:val="0"/>
        <w:autoSpaceDN w:val="0"/>
        <w:adjustRightInd w:val="0"/>
        <w:spacing w:after="0" w:line="240" w:lineRule="auto"/>
        <w:jc w:val="both"/>
        <w:rPr>
          <w:rFonts w:ascii="Verdana" w:hAnsi="Verdana" w:cs="Calibri"/>
          <w:sz w:val="20"/>
          <w:szCs w:val="20"/>
        </w:rPr>
      </w:pPr>
    </w:p>
    <w:p w:rsidR="00A75E62" w:rsidRPr="00107CC9" w:rsidRDefault="00A75E62" w:rsidP="00B07A9D">
      <w:pPr>
        <w:pStyle w:val="ListParagraph"/>
        <w:numPr>
          <w:ilvl w:val="0"/>
          <w:numId w:val="37"/>
        </w:numPr>
        <w:autoSpaceDE w:val="0"/>
        <w:autoSpaceDN w:val="0"/>
        <w:adjustRightInd w:val="0"/>
        <w:jc w:val="both"/>
        <w:rPr>
          <w:rFonts w:ascii="Verdana" w:hAnsi="Verdana" w:cs="Calibri"/>
          <w:sz w:val="20"/>
          <w:szCs w:val="20"/>
        </w:rPr>
      </w:pPr>
      <w:r w:rsidRPr="00107CC9">
        <w:rPr>
          <w:rFonts w:ascii="Verdana" w:hAnsi="Verdana" w:cs="Calibri"/>
          <w:sz w:val="20"/>
          <w:szCs w:val="20"/>
        </w:rPr>
        <w:t xml:space="preserve">Improving Information on the EHEA; </w:t>
      </w:r>
    </w:p>
    <w:p w:rsidR="00A75E62" w:rsidRPr="00107CC9" w:rsidRDefault="00A75E62" w:rsidP="00B07A9D">
      <w:pPr>
        <w:pStyle w:val="ListParagraph"/>
        <w:numPr>
          <w:ilvl w:val="0"/>
          <w:numId w:val="37"/>
        </w:numPr>
        <w:autoSpaceDE w:val="0"/>
        <w:autoSpaceDN w:val="0"/>
        <w:adjustRightInd w:val="0"/>
        <w:jc w:val="both"/>
        <w:rPr>
          <w:rFonts w:ascii="Verdana" w:hAnsi="Verdana" w:cs="Calibri"/>
          <w:sz w:val="20"/>
          <w:szCs w:val="20"/>
        </w:rPr>
      </w:pPr>
      <w:r w:rsidRPr="00107CC9">
        <w:rPr>
          <w:rFonts w:ascii="Verdana" w:hAnsi="Verdana" w:cs="Calibri"/>
          <w:sz w:val="20"/>
          <w:szCs w:val="20"/>
        </w:rPr>
        <w:t>Promoting European Higher Education to enhance its world-wide attractiveness and competitiveness;</w:t>
      </w:r>
    </w:p>
    <w:p w:rsidR="00A75E62" w:rsidRPr="00107CC9" w:rsidRDefault="00A75E62" w:rsidP="00B07A9D">
      <w:pPr>
        <w:pStyle w:val="ListParagraph"/>
        <w:numPr>
          <w:ilvl w:val="0"/>
          <w:numId w:val="37"/>
        </w:numPr>
        <w:autoSpaceDE w:val="0"/>
        <w:autoSpaceDN w:val="0"/>
        <w:adjustRightInd w:val="0"/>
        <w:jc w:val="both"/>
        <w:rPr>
          <w:rFonts w:ascii="Verdana" w:hAnsi="Verdana" w:cs="Calibri"/>
          <w:sz w:val="20"/>
          <w:szCs w:val="20"/>
        </w:rPr>
      </w:pPr>
      <w:r w:rsidRPr="00107CC9">
        <w:rPr>
          <w:rFonts w:ascii="Verdana" w:hAnsi="Verdana" w:cs="Calibri"/>
          <w:sz w:val="20"/>
          <w:szCs w:val="20"/>
        </w:rPr>
        <w:t xml:space="preserve">Strengthening Cooperation based on Partnership; </w:t>
      </w:r>
    </w:p>
    <w:p w:rsidR="00A75E62" w:rsidRPr="00107CC9" w:rsidRDefault="00A75E62" w:rsidP="00B07A9D">
      <w:pPr>
        <w:pStyle w:val="ListParagraph"/>
        <w:numPr>
          <w:ilvl w:val="0"/>
          <w:numId w:val="37"/>
        </w:numPr>
        <w:autoSpaceDE w:val="0"/>
        <w:autoSpaceDN w:val="0"/>
        <w:adjustRightInd w:val="0"/>
        <w:jc w:val="both"/>
        <w:rPr>
          <w:rFonts w:ascii="Verdana" w:hAnsi="Verdana" w:cs="Calibri"/>
          <w:sz w:val="20"/>
          <w:szCs w:val="20"/>
        </w:rPr>
      </w:pPr>
      <w:r w:rsidRPr="00107CC9">
        <w:rPr>
          <w:rFonts w:ascii="Verdana" w:hAnsi="Verdana" w:cs="Calibri"/>
          <w:sz w:val="20"/>
          <w:szCs w:val="20"/>
        </w:rPr>
        <w:t>Intensifying Policy Dialogue; and</w:t>
      </w:r>
    </w:p>
    <w:p w:rsidR="00A75E62" w:rsidRPr="00107CC9" w:rsidRDefault="00A75E62" w:rsidP="00B07A9D">
      <w:pPr>
        <w:pStyle w:val="ListParagraph"/>
        <w:numPr>
          <w:ilvl w:val="0"/>
          <w:numId w:val="37"/>
        </w:numPr>
        <w:autoSpaceDE w:val="0"/>
        <w:autoSpaceDN w:val="0"/>
        <w:adjustRightInd w:val="0"/>
        <w:jc w:val="both"/>
        <w:rPr>
          <w:rFonts w:ascii="Verdana" w:hAnsi="Verdana" w:cs="Calibri"/>
          <w:sz w:val="20"/>
          <w:szCs w:val="20"/>
        </w:rPr>
      </w:pPr>
      <w:r w:rsidRPr="00107CC9">
        <w:rPr>
          <w:rFonts w:ascii="Verdana" w:hAnsi="Verdana" w:cs="Calibri"/>
          <w:sz w:val="20"/>
          <w:szCs w:val="20"/>
        </w:rPr>
        <w:t>Furthering Recognition of Qualifications in a global context</w:t>
      </w:r>
    </w:p>
    <w:p w:rsidR="00A75E62" w:rsidRPr="00107CC9" w:rsidRDefault="00A75E62" w:rsidP="00A75E62">
      <w:pPr>
        <w:autoSpaceDE w:val="0"/>
        <w:autoSpaceDN w:val="0"/>
        <w:adjustRightInd w:val="0"/>
        <w:spacing w:after="0" w:line="240" w:lineRule="auto"/>
        <w:jc w:val="both"/>
        <w:rPr>
          <w:rFonts w:ascii="Verdana" w:hAnsi="Verdana" w:cs="Calibri"/>
          <w:sz w:val="20"/>
          <w:szCs w:val="20"/>
        </w:rPr>
      </w:pPr>
    </w:p>
    <w:p w:rsidR="00A75E62" w:rsidRPr="00107CC9" w:rsidRDefault="00A75E62" w:rsidP="00A75E62">
      <w:pPr>
        <w:spacing w:line="240" w:lineRule="auto"/>
        <w:jc w:val="both"/>
        <w:rPr>
          <w:rFonts w:ascii="Verdana" w:hAnsi="Verdana" w:cs="Calibri"/>
          <w:sz w:val="20"/>
          <w:szCs w:val="20"/>
        </w:rPr>
      </w:pPr>
      <w:r w:rsidRPr="00107CC9">
        <w:rPr>
          <w:rFonts w:ascii="Verdana" w:hAnsi="Verdana" w:cs="Calibri"/>
          <w:sz w:val="20"/>
          <w:szCs w:val="20"/>
        </w:rPr>
        <w:t xml:space="preserve">Since the development of this strategy, Communiqués of subsequent Bologna ministerial summits have reinforced commitment to global engagement and to better understanding the impact </w:t>
      </w:r>
      <w:proofErr w:type="spellStart"/>
      <w:proofErr w:type="gramStart"/>
      <w:r w:rsidRPr="00107CC9">
        <w:rPr>
          <w:rFonts w:ascii="Verdana" w:hAnsi="Verdana" w:cs="Calibri"/>
          <w:sz w:val="20"/>
          <w:szCs w:val="20"/>
        </w:rPr>
        <w:t>og</w:t>
      </w:r>
      <w:proofErr w:type="spellEnd"/>
      <w:proofErr w:type="gramEnd"/>
      <w:r w:rsidRPr="00107CC9">
        <w:rPr>
          <w:rFonts w:ascii="Verdana" w:hAnsi="Verdana" w:cs="Calibri"/>
          <w:sz w:val="20"/>
          <w:szCs w:val="20"/>
        </w:rPr>
        <w:t xml:space="preserve"> European higher education reform on partner countries and regions. The ‘global dimension’ has also been addressed in a specific strategy EHEA strategy for mobility – </w:t>
      </w:r>
      <w:r w:rsidRPr="00107CC9">
        <w:rPr>
          <w:rFonts w:ascii="Verdana" w:hAnsi="Verdana" w:cs="Calibri"/>
          <w:i/>
          <w:sz w:val="20"/>
          <w:szCs w:val="20"/>
        </w:rPr>
        <w:t>Mobility for better learning</w:t>
      </w:r>
      <w:r w:rsidRPr="00107CC9">
        <w:rPr>
          <w:rFonts w:ascii="Verdana" w:hAnsi="Verdana" w:cs="Calibri"/>
          <w:sz w:val="20"/>
          <w:szCs w:val="20"/>
        </w:rPr>
        <w:t xml:space="preserve"> (2012)</w:t>
      </w:r>
      <w:r w:rsidRPr="00107CC9">
        <w:rPr>
          <w:rStyle w:val="FootnoteReference"/>
          <w:rFonts w:ascii="Verdana" w:hAnsi="Verdana" w:cs="Calibri"/>
          <w:sz w:val="20"/>
          <w:szCs w:val="20"/>
        </w:rPr>
        <w:footnoteReference w:id="22"/>
      </w:r>
      <w:r w:rsidRPr="00107CC9">
        <w:rPr>
          <w:rFonts w:ascii="Verdana" w:hAnsi="Verdana" w:cs="Calibri"/>
          <w:sz w:val="20"/>
          <w:szCs w:val="20"/>
        </w:rPr>
        <w:t xml:space="preserve"> – that emphasizes the need to enhance mobility into and out of the EHEA and to improve targets and data accordingly. </w:t>
      </w:r>
    </w:p>
    <w:p w:rsidR="00A75E62" w:rsidRPr="00107CC9" w:rsidRDefault="00A75E62" w:rsidP="00A75E62">
      <w:pPr>
        <w:spacing w:line="240" w:lineRule="auto"/>
        <w:jc w:val="both"/>
        <w:rPr>
          <w:rFonts w:ascii="Verdana" w:hAnsi="Verdana"/>
          <w:sz w:val="20"/>
          <w:szCs w:val="20"/>
        </w:rPr>
      </w:pPr>
      <w:r w:rsidRPr="00107CC9">
        <w:rPr>
          <w:rFonts w:ascii="Verdana" w:hAnsi="Verdana" w:cs="Calibri"/>
          <w:color w:val="000000"/>
          <w:sz w:val="20"/>
          <w:szCs w:val="20"/>
        </w:rPr>
        <w:t xml:space="preserve">With regards to European Union policy, there are many important overlays; EU </w:t>
      </w:r>
      <w:proofErr w:type="spellStart"/>
      <w:r w:rsidRPr="00107CC9">
        <w:rPr>
          <w:rFonts w:ascii="Verdana" w:hAnsi="Verdana" w:cs="Calibri"/>
          <w:color w:val="000000"/>
          <w:sz w:val="20"/>
          <w:szCs w:val="20"/>
        </w:rPr>
        <w:t>programmes</w:t>
      </w:r>
      <w:proofErr w:type="spellEnd"/>
      <w:r w:rsidRPr="00107CC9">
        <w:rPr>
          <w:rFonts w:ascii="Verdana" w:hAnsi="Verdana" w:cs="Calibri"/>
          <w:color w:val="000000"/>
          <w:sz w:val="20"/>
          <w:szCs w:val="20"/>
        </w:rPr>
        <w:t xml:space="preserve"> for higher education have played a significant role in both shaping and implementing Bologna within Europe and in promoting its main features and tools globally. </w:t>
      </w:r>
      <w:r w:rsidRPr="00107CC9">
        <w:rPr>
          <w:rFonts w:ascii="Verdana" w:hAnsi="Verdana"/>
          <w:sz w:val="20"/>
          <w:szCs w:val="20"/>
        </w:rPr>
        <w:t xml:space="preserve">The current EU policy lines for higher education (EU2020, </w:t>
      </w:r>
      <w:r w:rsidRPr="00107CC9">
        <w:rPr>
          <w:rFonts w:ascii="Verdana" w:hAnsi="Verdana"/>
          <w:i/>
          <w:sz w:val="20"/>
          <w:szCs w:val="20"/>
        </w:rPr>
        <w:t>the Modernization Agenda for Higher Education, Rethinking Education</w:t>
      </w:r>
      <w:r w:rsidRPr="00107CC9">
        <w:rPr>
          <w:rStyle w:val="FootnoteReference"/>
          <w:rFonts w:ascii="Verdana" w:hAnsi="Verdana"/>
          <w:i/>
          <w:sz w:val="20"/>
          <w:szCs w:val="20"/>
        </w:rPr>
        <w:footnoteReference w:id="23"/>
      </w:r>
      <w:r w:rsidRPr="00107CC9">
        <w:rPr>
          <w:rFonts w:ascii="Verdana" w:hAnsi="Verdana"/>
          <w:sz w:val="20"/>
          <w:szCs w:val="20"/>
        </w:rPr>
        <w:t xml:space="preserve">) stress international mobility in particular as the key to developing the skills relevant for today’s fast changing </w:t>
      </w:r>
      <w:proofErr w:type="spellStart"/>
      <w:r w:rsidRPr="00107CC9">
        <w:rPr>
          <w:rFonts w:ascii="Verdana" w:hAnsi="Verdana"/>
          <w:sz w:val="20"/>
          <w:szCs w:val="20"/>
        </w:rPr>
        <w:t>labour</w:t>
      </w:r>
      <w:proofErr w:type="spellEnd"/>
      <w:r w:rsidRPr="00107CC9">
        <w:rPr>
          <w:rFonts w:ascii="Verdana" w:hAnsi="Verdana"/>
          <w:sz w:val="20"/>
          <w:szCs w:val="20"/>
        </w:rPr>
        <w:t xml:space="preserve"> market and to cultivating global citizens. Funding has increased for mobility of various types and in all directions (into and out of Europe) under </w:t>
      </w:r>
      <w:r w:rsidRPr="00107CC9">
        <w:rPr>
          <w:rFonts w:ascii="Verdana" w:hAnsi="Verdana"/>
          <w:b/>
          <w:sz w:val="20"/>
          <w:szCs w:val="20"/>
        </w:rPr>
        <w:t>Erasmus+</w:t>
      </w:r>
      <w:r w:rsidRPr="00107CC9">
        <w:rPr>
          <w:rFonts w:ascii="Verdana" w:hAnsi="Verdana"/>
          <w:sz w:val="20"/>
          <w:szCs w:val="20"/>
        </w:rPr>
        <w:t xml:space="preserve">, the new umbrella </w:t>
      </w:r>
      <w:proofErr w:type="spellStart"/>
      <w:r w:rsidRPr="00107CC9">
        <w:rPr>
          <w:rFonts w:ascii="Verdana" w:hAnsi="Verdana"/>
          <w:sz w:val="20"/>
          <w:szCs w:val="20"/>
        </w:rPr>
        <w:t>programme</w:t>
      </w:r>
      <w:proofErr w:type="spellEnd"/>
      <w:r w:rsidRPr="00107CC9">
        <w:rPr>
          <w:rFonts w:ascii="Verdana" w:hAnsi="Verdana"/>
          <w:sz w:val="20"/>
          <w:szCs w:val="20"/>
        </w:rPr>
        <w:t xml:space="preserve"> for Education, Training, Youth and Sport 2014-2020 and the </w:t>
      </w:r>
      <w:proofErr w:type="spellStart"/>
      <w:r w:rsidRPr="00107CC9">
        <w:rPr>
          <w:rFonts w:ascii="Verdana" w:hAnsi="Verdana"/>
          <w:sz w:val="20"/>
          <w:szCs w:val="20"/>
        </w:rPr>
        <w:t>programme</w:t>
      </w:r>
      <w:proofErr w:type="spellEnd"/>
      <w:r w:rsidRPr="00107CC9">
        <w:rPr>
          <w:rFonts w:ascii="Verdana" w:hAnsi="Verdana"/>
          <w:sz w:val="20"/>
          <w:szCs w:val="20"/>
        </w:rPr>
        <w:t xml:space="preserve"> has generally opened up its actions to participation of ‘Partner countries’ around the globe. </w:t>
      </w:r>
      <w:proofErr w:type="spellStart"/>
      <w:r w:rsidRPr="00107CC9">
        <w:rPr>
          <w:rFonts w:ascii="Verdana" w:hAnsi="Verdana"/>
          <w:sz w:val="20"/>
          <w:szCs w:val="20"/>
        </w:rPr>
        <w:t>Internationalisation</w:t>
      </w:r>
      <w:proofErr w:type="spellEnd"/>
      <w:r w:rsidRPr="00107CC9">
        <w:rPr>
          <w:rFonts w:ascii="Verdana" w:hAnsi="Verdana"/>
          <w:sz w:val="20"/>
          <w:szCs w:val="20"/>
        </w:rPr>
        <w:t xml:space="preserve"> of European higher education is a key focus, as is partnership and capacity development. This is underpinned by the </w:t>
      </w:r>
      <w:r w:rsidRPr="00107CC9">
        <w:rPr>
          <w:rFonts w:ascii="Verdana" w:hAnsi="Verdana" w:cs="Calibri"/>
          <w:color w:val="000000"/>
          <w:sz w:val="20"/>
          <w:szCs w:val="20"/>
        </w:rPr>
        <w:t xml:space="preserve">2013 EU Communication entitled </w:t>
      </w:r>
      <w:r w:rsidRPr="00107CC9">
        <w:rPr>
          <w:rFonts w:ascii="Verdana" w:hAnsi="Verdana" w:cs="Calibri"/>
          <w:b/>
          <w:i/>
          <w:color w:val="000000"/>
          <w:sz w:val="20"/>
          <w:szCs w:val="20"/>
        </w:rPr>
        <w:t>European higher education in the world</w:t>
      </w:r>
      <w:r w:rsidRPr="00107CC9">
        <w:rPr>
          <w:rStyle w:val="FootnoteReference"/>
          <w:rFonts w:ascii="Verdana" w:hAnsi="Verdana" w:cs="Calibri"/>
          <w:b/>
          <w:i/>
          <w:color w:val="000000"/>
          <w:sz w:val="20"/>
          <w:szCs w:val="20"/>
        </w:rPr>
        <w:footnoteReference w:id="24"/>
      </w:r>
      <w:r w:rsidRPr="00107CC9">
        <w:rPr>
          <w:rFonts w:ascii="Verdana" w:hAnsi="Verdana" w:cs="Calibri"/>
          <w:color w:val="000000"/>
          <w:sz w:val="20"/>
          <w:szCs w:val="20"/>
        </w:rPr>
        <w:t xml:space="preserve">, which underlines the need "promote global awareness of the high quality and the rich cultural and linguistic diversity of European higher education." It recommends that member states and HEIs develop </w:t>
      </w:r>
      <w:proofErr w:type="spellStart"/>
      <w:r w:rsidRPr="00107CC9">
        <w:rPr>
          <w:rFonts w:ascii="Verdana" w:hAnsi="Verdana" w:cs="Calibri"/>
          <w:color w:val="000000"/>
          <w:sz w:val="20"/>
          <w:szCs w:val="20"/>
        </w:rPr>
        <w:t>internationalisation</w:t>
      </w:r>
      <w:proofErr w:type="spellEnd"/>
      <w:r w:rsidRPr="00107CC9">
        <w:rPr>
          <w:rFonts w:ascii="Verdana" w:hAnsi="Verdana" w:cs="Calibri"/>
          <w:color w:val="000000"/>
          <w:sz w:val="20"/>
          <w:szCs w:val="20"/>
        </w:rPr>
        <w:t xml:space="preserve"> to sharpen their global presence; engage in strategic global partnerships and </w:t>
      </w:r>
      <w:proofErr w:type="spellStart"/>
      <w:r w:rsidRPr="00107CC9">
        <w:rPr>
          <w:rFonts w:ascii="Verdana" w:hAnsi="Verdana" w:cs="Calibri"/>
          <w:color w:val="000000"/>
          <w:sz w:val="20"/>
          <w:szCs w:val="20"/>
        </w:rPr>
        <w:t>utilise</w:t>
      </w:r>
      <w:proofErr w:type="spellEnd"/>
      <w:r w:rsidRPr="00107CC9">
        <w:rPr>
          <w:rFonts w:ascii="Verdana" w:hAnsi="Verdana" w:cs="Calibri"/>
          <w:color w:val="000000"/>
          <w:sz w:val="20"/>
          <w:szCs w:val="20"/>
        </w:rPr>
        <w:t xml:space="preserve"> ICT to this effect. </w:t>
      </w:r>
    </w:p>
    <w:p w:rsidR="00A75E62" w:rsidRPr="00107CC9" w:rsidRDefault="00A75E62" w:rsidP="00A75E62">
      <w:pPr>
        <w:autoSpaceDE w:val="0"/>
        <w:autoSpaceDN w:val="0"/>
        <w:adjustRightInd w:val="0"/>
        <w:spacing w:after="0" w:line="240" w:lineRule="auto"/>
        <w:jc w:val="both"/>
        <w:rPr>
          <w:rFonts w:ascii="Verdana" w:hAnsi="Verdana" w:cs="Calibri"/>
          <w:sz w:val="20"/>
          <w:szCs w:val="20"/>
        </w:rPr>
      </w:pPr>
      <w:r w:rsidRPr="00107CC9">
        <w:rPr>
          <w:rFonts w:ascii="Verdana" w:hAnsi="Verdana" w:cs="Calibri"/>
          <w:sz w:val="20"/>
          <w:szCs w:val="20"/>
        </w:rPr>
        <w:t xml:space="preserve">Beyond the European context, a variety of national policies and initiatives and have also followed suit. This has occurred in the backdrop of the accelerating </w:t>
      </w:r>
      <w:proofErr w:type="spellStart"/>
      <w:r w:rsidRPr="00107CC9">
        <w:rPr>
          <w:rFonts w:ascii="Verdana" w:hAnsi="Verdana" w:cs="Calibri"/>
          <w:sz w:val="20"/>
          <w:szCs w:val="20"/>
        </w:rPr>
        <w:t>internationalisation</w:t>
      </w:r>
      <w:proofErr w:type="spellEnd"/>
      <w:r w:rsidRPr="00107CC9">
        <w:rPr>
          <w:rFonts w:ascii="Verdana" w:hAnsi="Verdana" w:cs="Calibri"/>
          <w:sz w:val="20"/>
          <w:szCs w:val="20"/>
        </w:rPr>
        <w:t xml:space="preserve"> of the HE sector and a number of technological, economic and trade considerations that have underpinned Europe’s global connectivity. For example, European countries are increasingly </w:t>
      </w:r>
      <w:r w:rsidRPr="00107CC9">
        <w:rPr>
          <w:rFonts w:ascii="Verdana" w:hAnsi="Verdana" w:cs="Calibri"/>
          <w:sz w:val="20"/>
          <w:szCs w:val="20"/>
        </w:rPr>
        <w:lastRenderedPageBreak/>
        <w:t xml:space="preserve">developing strategies for higher education and research </w:t>
      </w:r>
      <w:proofErr w:type="spellStart"/>
      <w:r w:rsidRPr="00107CC9">
        <w:rPr>
          <w:rFonts w:ascii="Verdana" w:hAnsi="Verdana" w:cs="Calibri"/>
          <w:sz w:val="20"/>
          <w:szCs w:val="20"/>
        </w:rPr>
        <w:t>internationalisation</w:t>
      </w:r>
      <w:proofErr w:type="spellEnd"/>
      <w:r w:rsidRPr="00107CC9">
        <w:rPr>
          <w:rFonts w:ascii="Verdana" w:hAnsi="Verdana" w:cs="Calibri"/>
          <w:sz w:val="20"/>
          <w:szCs w:val="20"/>
        </w:rPr>
        <w:t xml:space="preserve"> and investing, to a certain degree, in student and researcher recruitment, international talent retention, and strengthening the presence of research and training </w:t>
      </w:r>
      <w:proofErr w:type="spellStart"/>
      <w:r w:rsidRPr="00107CC9">
        <w:rPr>
          <w:rFonts w:ascii="Verdana" w:hAnsi="Verdana" w:cs="Calibri"/>
          <w:sz w:val="20"/>
          <w:szCs w:val="20"/>
        </w:rPr>
        <w:t>centres</w:t>
      </w:r>
      <w:proofErr w:type="spellEnd"/>
      <w:r w:rsidRPr="00107CC9">
        <w:rPr>
          <w:rFonts w:ascii="Verdana" w:hAnsi="Verdana" w:cs="Calibri"/>
          <w:sz w:val="20"/>
          <w:szCs w:val="20"/>
        </w:rPr>
        <w:t xml:space="preserve"> abroad. This is often seen as critical component in creating knowledge societies, redressing economic stagnation and countering demographic decline. Emerging global economies have been a clear focus in this regard, for higher education institutions as they pursue global partnerships and for governments. </w:t>
      </w:r>
    </w:p>
    <w:p w:rsidR="00A75E62" w:rsidRPr="00107CC9" w:rsidRDefault="00A75E62" w:rsidP="00A75E62">
      <w:pPr>
        <w:autoSpaceDE w:val="0"/>
        <w:autoSpaceDN w:val="0"/>
        <w:adjustRightInd w:val="0"/>
        <w:spacing w:after="0" w:line="240" w:lineRule="auto"/>
        <w:jc w:val="both"/>
        <w:rPr>
          <w:rFonts w:ascii="Verdana" w:hAnsi="Verdana" w:cs="Calibri"/>
          <w:sz w:val="20"/>
          <w:szCs w:val="20"/>
        </w:rPr>
      </w:pPr>
    </w:p>
    <w:p w:rsidR="00A75E62" w:rsidRPr="00107CC9" w:rsidRDefault="00A75E62" w:rsidP="00A75E62">
      <w:pPr>
        <w:autoSpaceDE w:val="0"/>
        <w:autoSpaceDN w:val="0"/>
        <w:adjustRightInd w:val="0"/>
        <w:spacing w:after="0" w:line="240" w:lineRule="auto"/>
        <w:jc w:val="both"/>
        <w:rPr>
          <w:rFonts w:ascii="Verdana" w:hAnsi="Verdana" w:cs="Calibri"/>
          <w:sz w:val="20"/>
          <w:szCs w:val="20"/>
        </w:rPr>
      </w:pPr>
      <w:r w:rsidRPr="00107CC9">
        <w:rPr>
          <w:rFonts w:ascii="Verdana" w:hAnsi="Verdana" w:cs="Calibri"/>
          <w:sz w:val="20"/>
          <w:szCs w:val="20"/>
        </w:rPr>
        <w:t xml:space="preserve">In </w:t>
      </w:r>
      <w:smartTag w:uri="urn:schemas-microsoft-com:office:smarttags" w:element="metricconverter">
        <w:smartTagPr>
          <w:attr w:name="ProductID" w:val="2009, a"/>
        </w:smartTagPr>
        <w:r w:rsidRPr="00107CC9">
          <w:rPr>
            <w:rFonts w:ascii="Verdana" w:hAnsi="Verdana" w:cs="Calibri"/>
            <w:sz w:val="20"/>
            <w:szCs w:val="20"/>
          </w:rPr>
          <w:t>2009, a</w:t>
        </w:r>
      </w:smartTag>
      <w:r w:rsidRPr="00107CC9">
        <w:rPr>
          <w:rFonts w:ascii="Verdana" w:hAnsi="Verdana" w:cs="Calibri"/>
          <w:sz w:val="20"/>
          <w:szCs w:val="20"/>
        </w:rPr>
        <w:t xml:space="preserve"> report</w:t>
      </w:r>
      <w:r w:rsidRPr="00107CC9">
        <w:rPr>
          <w:rStyle w:val="FootnoteReference"/>
          <w:rFonts w:ascii="Verdana" w:hAnsi="Verdana" w:cs="Calibri"/>
          <w:sz w:val="20"/>
          <w:szCs w:val="20"/>
        </w:rPr>
        <w:footnoteReference w:id="25"/>
      </w:r>
      <w:r w:rsidRPr="00107CC9">
        <w:rPr>
          <w:rFonts w:ascii="Verdana" w:hAnsi="Verdana" w:cs="Calibri"/>
          <w:sz w:val="20"/>
          <w:szCs w:val="20"/>
        </w:rPr>
        <w:t xml:space="preserve"> was delivered to the BFUG that summarized some of the developments in the five policy areas of the Global Setting strategy and cited accomplishments. It also provided recommendations for further action targeted at the Bologna Secretariat, EHEA national governments and stakeholder </w:t>
      </w:r>
      <w:proofErr w:type="spellStart"/>
      <w:r w:rsidRPr="00107CC9">
        <w:rPr>
          <w:rFonts w:ascii="Verdana" w:hAnsi="Verdana" w:cs="Calibri"/>
          <w:sz w:val="20"/>
          <w:szCs w:val="20"/>
        </w:rPr>
        <w:t>organisations</w:t>
      </w:r>
      <w:proofErr w:type="spellEnd"/>
      <w:r w:rsidRPr="00107CC9">
        <w:rPr>
          <w:rFonts w:ascii="Verdana" w:hAnsi="Verdana" w:cs="Calibri"/>
          <w:sz w:val="20"/>
          <w:szCs w:val="20"/>
        </w:rPr>
        <w:t xml:space="preserve">. Since this twenty page report, no further attempt has been made to trace the impact of the Global Setting Strategy and assess its current relevance. </w:t>
      </w:r>
    </w:p>
    <w:p w:rsidR="00A75E62" w:rsidRPr="00107CC9" w:rsidRDefault="00A75E62" w:rsidP="00A75E62">
      <w:pPr>
        <w:autoSpaceDE w:val="0"/>
        <w:autoSpaceDN w:val="0"/>
        <w:adjustRightInd w:val="0"/>
        <w:spacing w:after="0" w:line="240" w:lineRule="auto"/>
        <w:jc w:val="both"/>
        <w:rPr>
          <w:rFonts w:ascii="Verdana" w:hAnsi="Verdana" w:cs="Calibri"/>
          <w:sz w:val="20"/>
          <w:szCs w:val="20"/>
        </w:rPr>
      </w:pPr>
    </w:p>
    <w:p w:rsidR="00A75E62" w:rsidRPr="00107CC9" w:rsidRDefault="00A75E62" w:rsidP="00A75E62">
      <w:pPr>
        <w:autoSpaceDE w:val="0"/>
        <w:autoSpaceDN w:val="0"/>
        <w:adjustRightInd w:val="0"/>
        <w:spacing w:after="0" w:line="240" w:lineRule="auto"/>
        <w:jc w:val="both"/>
        <w:rPr>
          <w:rFonts w:ascii="Verdana" w:hAnsi="Verdana" w:cs="Calibri"/>
          <w:sz w:val="20"/>
          <w:szCs w:val="20"/>
        </w:rPr>
      </w:pPr>
      <w:r w:rsidRPr="00107CC9">
        <w:rPr>
          <w:rFonts w:ascii="Verdana" w:hAnsi="Verdana" w:cs="Calibri"/>
          <w:sz w:val="20"/>
          <w:szCs w:val="20"/>
        </w:rPr>
        <w:t xml:space="preserve">Between the period 2012 and 2015, the </w:t>
      </w:r>
      <w:proofErr w:type="spellStart"/>
      <w:r w:rsidRPr="00107CC9">
        <w:rPr>
          <w:rFonts w:ascii="Verdana" w:hAnsi="Verdana" w:cs="Calibri"/>
          <w:sz w:val="20"/>
          <w:szCs w:val="20"/>
        </w:rPr>
        <w:t>Internationaliation</w:t>
      </w:r>
      <w:proofErr w:type="spellEnd"/>
      <w:r w:rsidRPr="00107CC9">
        <w:rPr>
          <w:rFonts w:ascii="Verdana" w:hAnsi="Verdana" w:cs="Calibri"/>
          <w:sz w:val="20"/>
          <w:szCs w:val="20"/>
        </w:rPr>
        <w:t xml:space="preserve"> and Mobility Working Group (I&amp;M WG) – the successor of the ‘Global Setting’ working group (2010-2012) of the BFUG - established as one of its tasks “to contribute to the evaluation of the strategy ‘EHEA in a Global Setting’ and to the ‘further </w:t>
      </w:r>
      <w:proofErr w:type="spellStart"/>
      <w:r w:rsidRPr="00107CC9">
        <w:rPr>
          <w:rFonts w:ascii="Verdana" w:hAnsi="Verdana" w:cs="Calibri"/>
          <w:sz w:val="20"/>
          <w:szCs w:val="20"/>
        </w:rPr>
        <w:t>internationalisation</w:t>
      </w:r>
      <w:proofErr w:type="spellEnd"/>
      <w:r w:rsidRPr="00107CC9">
        <w:rPr>
          <w:rFonts w:ascii="Verdana" w:hAnsi="Verdana" w:cs="Calibri"/>
          <w:sz w:val="20"/>
          <w:szCs w:val="20"/>
        </w:rPr>
        <w:t xml:space="preserve"> of the EHEA’. It was agreed that the review of the Global Setting Strategy would be a modest endeavor that would attempt to </w:t>
      </w:r>
      <w:r w:rsidRPr="00107CC9">
        <w:rPr>
          <w:rFonts w:ascii="Verdana" w:hAnsi="Verdana" w:cs="Calibri"/>
          <w:b/>
          <w:sz w:val="20"/>
          <w:szCs w:val="20"/>
        </w:rPr>
        <w:t>capture some general trends at European and national level with regards to the five core policy areas.</w:t>
      </w:r>
      <w:r w:rsidRPr="00107CC9">
        <w:rPr>
          <w:rFonts w:ascii="Verdana" w:hAnsi="Verdana" w:cs="Calibri"/>
          <w:sz w:val="20"/>
          <w:szCs w:val="20"/>
        </w:rPr>
        <w:t xml:space="preserve"> It would not be a comprehensive mapping, but rather select specific initiatives and cases and cite certain relevant reports and studies that give a picture of the achievements of the strategy and also of its potential pitfalls. It would also make suggestions for a potential update of the strategy in order to guide the Bologna Process going forward, particularly regarding the </w:t>
      </w:r>
      <w:proofErr w:type="spellStart"/>
      <w:r w:rsidRPr="00107CC9">
        <w:rPr>
          <w:rFonts w:ascii="Verdana" w:hAnsi="Verdana" w:cs="Calibri"/>
          <w:sz w:val="20"/>
          <w:szCs w:val="20"/>
        </w:rPr>
        <w:t>internationalisation</w:t>
      </w:r>
      <w:proofErr w:type="spellEnd"/>
      <w:r w:rsidRPr="00107CC9">
        <w:rPr>
          <w:rFonts w:ascii="Verdana" w:hAnsi="Verdana" w:cs="Calibri"/>
          <w:sz w:val="20"/>
          <w:szCs w:val="20"/>
        </w:rPr>
        <w:t xml:space="preserve"> and global engagement of the EHEA countries. </w:t>
      </w:r>
    </w:p>
    <w:p w:rsidR="00A75E62" w:rsidRPr="00107CC9" w:rsidRDefault="00A75E62" w:rsidP="00A75E62">
      <w:pPr>
        <w:autoSpaceDE w:val="0"/>
        <w:autoSpaceDN w:val="0"/>
        <w:adjustRightInd w:val="0"/>
        <w:spacing w:after="0" w:line="240" w:lineRule="auto"/>
        <w:jc w:val="both"/>
        <w:rPr>
          <w:rFonts w:ascii="Verdana" w:hAnsi="Verdana" w:cs="Calibri"/>
          <w:sz w:val="20"/>
          <w:szCs w:val="20"/>
        </w:rPr>
      </w:pPr>
    </w:p>
    <w:p w:rsidR="00A75E62" w:rsidRPr="00107CC9" w:rsidRDefault="00A75E62" w:rsidP="00A75E62">
      <w:pPr>
        <w:autoSpaceDE w:val="0"/>
        <w:autoSpaceDN w:val="0"/>
        <w:adjustRightInd w:val="0"/>
        <w:spacing w:after="0" w:line="240" w:lineRule="auto"/>
        <w:jc w:val="both"/>
        <w:rPr>
          <w:rFonts w:ascii="Verdana" w:hAnsi="Verdana" w:cs="Calibri"/>
          <w:sz w:val="20"/>
          <w:szCs w:val="20"/>
        </w:rPr>
      </w:pPr>
      <w:r w:rsidRPr="00107CC9">
        <w:rPr>
          <w:rFonts w:ascii="Verdana" w:hAnsi="Verdana" w:cs="Calibri"/>
          <w:sz w:val="20"/>
          <w:szCs w:val="20"/>
        </w:rPr>
        <w:t xml:space="preserve">The following report is based on contributions provided by members of I&amp;M WG that substantiate progress made under each of the five core policy areas. It has been compiled by the European University Association (EUA), consultative member of the BFUG, with the support of the Spanish Ministry for Education, the co-chair of the I&amp;M WG. To further elaborate and take stock of some of the policy areas, the author has solicited additional information from select countries, higher education institutions and stakeholder </w:t>
      </w:r>
      <w:proofErr w:type="spellStart"/>
      <w:r w:rsidRPr="00107CC9">
        <w:rPr>
          <w:rFonts w:ascii="Verdana" w:hAnsi="Verdana" w:cs="Calibri"/>
          <w:sz w:val="20"/>
          <w:szCs w:val="20"/>
        </w:rPr>
        <w:t>organisations</w:t>
      </w:r>
      <w:proofErr w:type="spellEnd"/>
      <w:r w:rsidRPr="00107CC9">
        <w:rPr>
          <w:rFonts w:ascii="Verdana" w:hAnsi="Verdana" w:cs="Calibri"/>
          <w:sz w:val="20"/>
          <w:szCs w:val="20"/>
        </w:rPr>
        <w:t>. The Bologna Secretariat, hosted by Armenia, has also provided considerable input.</w:t>
      </w:r>
    </w:p>
    <w:p w:rsidR="00A75E62" w:rsidRPr="00107CC9" w:rsidRDefault="00A75E62" w:rsidP="00A75E62">
      <w:pPr>
        <w:autoSpaceDE w:val="0"/>
        <w:autoSpaceDN w:val="0"/>
        <w:adjustRightInd w:val="0"/>
        <w:spacing w:after="0" w:line="240" w:lineRule="auto"/>
        <w:jc w:val="both"/>
        <w:rPr>
          <w:rFonts w:ascii="Verdana" w:hAnsi="Verdana" w:cs="Calibri"/>
          <w:sz w:val="20"/>
          <w:szCs w:val="20"/>
        </w:rPr>
      </w:pPr>
    </w:p>
    <w:p w:rsidR="00A75E62" w:rsidRPr="00107CC9" w:rsidRDefault="00A75E62" w:rsidP="00A75E62">
      <w:pPr>
        <w:autoSpaceDE w:val="0"/>
        <w:autoSpaceDN w:val="0"/>
        <w:adjustRightInd w:val="0"/>
        <w:spacing w:after="0" w:line="240" w:lineRule="auto"/>
        <w:jc w:val="both"/>
        <w:rPr>
          <w:rFonts w:ascii="Verdana" w:hAnsi="Verdana" w:cs="Calibri"/>
          <w:sz w:val="20"/>
          <w:szCs w:val="20"/>
        </w:rPr>
      </w:pPr>
      <w:r w:rsidRPr="00107CC9">
        <w:rPr>
          <w:rFonts w:ascii="Verdana" w:hAnsi="Verdana" w:cs="Calibri"/>
          <w:sz w:val="20"/>
          <w:szCs w:val="20"/>
        </w:rPr>
        <w:t xml:space="preserve">The report is structured in five sections, each corresponding to a policy area of the Global Setting Strategy. A direct reference to the Global Setting Strategy and the actions it foresaw is provided at the beginning of each section followed by a snap-shot assessment of developments and progress made in the policy area at hand. This is followed by a selection of specific cases and examples from EHEA countries, the European Commission and stakeholder </w:t>
      </w:r>
      <w:proofErr w:type="spellStart"/>
      <w:r w:rsidRPr="00107CC9">
        <w:rPr>
          <w:rFonts w:ascii="Verdana" w:hAnsi="Verdana" w:cs="Calibri"/>
          <w:sz w:val="20"/>
          <w:szCs w:val="20"/>
        </w:rPr>
        <w:t>organisations</w:t>
      </w:r>
      <w:proofErr w:type="spellEnd"/>
      <w:r w:rsidRPr="00107CC9">
        <w:rPr>
          <w:rFonts w:ascii="Verdana" w:hAnsi="Verdana" w:cs="Calibri"/>
          <w:sz w:val="20"/>
          <w:szCs w:val="20"/>
        </w:rPr>
        <w:t xml:space="preserve">, as provided by the I&amp;M WG members. At the end of each section, conclusions are made on the policy area and the extent to which certain objectives have been </w:t>
      </w:r>
      <w:proofErr w:type="spellStart"/>
      <w:r w:rsidRPr="00107CC9">
        <w:rPr>
          <w:rFonts w:ascii="Verdana" w:hAnsi="Verdana" w:cs="Calibri"/>
          <w:sz w:val="20"/>
          <w:szCs w:val="20"/>
        </w:rPr>
        <w:t>realised</w:t>
      </w:r>
      <w:proofErr w:type="spellEnd"/>
      <w:r w:rsidRPr="00107CC9">
        <w:rPr>
          <w:rFonts w:ascii="Verdana" w:hAnsi="Verdana" w:cs="Calibri"/>
          <w:sz w:val="20"/>
          <w:szCs w:val="20"/>
        </w:rPr>
        <w:t xml:space="preserve">. In addition, an annex to this report is included that provides an ‘outside view’ on the EHEA; the author has invited international (primarily non-EHEA) higher education experts from ministries, higher education institutions and relevant </w:t>
      </w:r>
      <w:proofErr w:type="spellStart"/>
      <w:r w:rsidRPr="00107CC9">
        <w:rPr>
          <w:rFonts w:ascii="Verdana" w:hAnsi="Verdana" w:cs="Calibri"/>
          <w:sz w:val="20"/>
          <w:szCs w:val="20"/>
        </w:rPr>
        <w:t>organisations</w:t>
      </w:r>
      <w:proofErr w:type="spellEnd"/>
      <w:r w:rsidRPr="00107CC9">
        <w:rPr>
          <w:rFonts w:ascii="Verdana" w:hAnsi="Verdana" w:cs="Calibri"/>
          <w:sz w:val="20"/>
          <w:szCs w:val="20"/>
        </w:rPr>
        <w:t xml:space="preserve"> to reflect on the EHEA 15 years on, and to provide brief comments on how it is perceived and what impacts it has had globally. The feedback is provided in the form of quotations. Finally, in the concluding section, reflections are offered on the overall progress of the Global Setting Strategy and whether this strategy should be revised for the future of the Bologna Process. </w:t>
      </w:r>
    </w:p>
    <w:p w:rsidR="00A75E62" w:rsidRPr="00107CC9" w:rsidRDefault="00A75E62" w:rsidP="00A75E62">
      <w:pPr>
        <w:autoSpaceDE w:val="0"/>
        <w:autoSpaceDN w:val="0"/>
        <w:adjustRightInd w:val="0"/>
        <w:spacing w:after="0" w:line="240" w:lineRule="auto"/>
        <w:jc w:val="both"/>
        <w:rPr>
          <w:rFonts w:ascii="Verdana" w:hAnsi="Verdana" w:cs="Calibri"/>
          <w:sz w:val="20"/>
          <w:szCs w:val="20"/>
        </w:rPr>
      </w:pPr>
      <w:r w:rsidRPr="00107CC9">
        <w:rPr>
          <w:rFonts w:ascii="Verdana" w:hAnsi="Verdana" w:cs="Calibri"/>
          <w:sz w:val="20"/>
          <w:szCs w:val="20"/>
        </w:rPr>
        <w:lastRenderedPageBreak/>
        <w:t xml:space="preserve"> </w:t>
      </w:r>
    </w:p>
    <w:p w:rsidR="00A75E62" w:rsidRPr="00107CC9" w:rsidRDefault="00A75E62" w:rsidP="00A75E62">
      <w:pPr>
        <w:pStyle w:val="Heading1"/>
        <w:jc w:val="both"/>
        <w:rPr>
          <w:rFonts w:ascii="Verdana" w:hAnsi="Verdana"/>
          <w:sz w:val="20"/>
          <w:szCs w:val="20"/>
          <w:lang w:val="en-US"/>
        </w:rPr>
      </w:pPr>
      <w:bookmarkStart w:id="3" w:name="_Toc397091165"/>
      <w:r w:rsidRPr="00107CC9">
        <w:rPr>
          <w:rFonts w:ascii="Verdana" w:hAnsi="Verdana"/>
          <w:sz w:val="20"/>
          <w:szCs w:val="20"/>
          <w:lang w:val="en-US"/>
        </w:rPr>
        <w:t>Improving information on the EHEA</w:t>
      </w:r>
      <w:bookmarkEnd w:id="3"/>
    </w:p>
    <w:p w:rsidR="00A75E62" w:rsidRPr="00107CC9" w:rsidRDefault="00A75E62" w:rsidP="00A75E62">
      <w:pPr>
        <w:autoSpaceDE w:val="0"/>
        <w:autoSpaceDN w:val="0"/>
        <w:adjustRightInd w:val="0"/>
        <w:spacing w:after="0" w:line="240" w:lineRule="auto"/>
        <w:jc w:val="both"/>
        <w:rPr>
          <w:rFonts w:ascii="Verdana" w:hAnsi="Verdana" w:cs="Calibri"/>
          <w:b/>
          <w:sz w:val="20"/>
          <w:szCs w:val="20"/>
        </w:rPr>
      </w:pPr>
    </w:p>
    <w:p w:rsidR="00A75E62" w:rsidRPr="00107CC9" w:rsidRDefault="00A75E62" w:rsidP="00A75E62">
      <w:pPr>
        <w:autoSpaceDE w:val="0"/>
        <w:autoSpaceDN w:val="0"/>
        <w:adjustRightInd w:val="0"/>
        <w:spacing w:after="0" w:line="240" w:lineRule="auto"/>
        <w:jc w:val="both"/>
        <w:rPr>
          <w:rFonts w:ascii="Verdana" w:hAnsi="Verdana" w:cs="Calibri"/>
          <w:i/>
          <w:sz w:val="20"/>
          <w:szCs w:val="20"/>
        </w:rPr>
      </w:pPr>
      <w:r w:rsidRPr="00107CC9">
        <w:rPr>
          <w:rFonts w:ascii="Verdana" w:hAnsi="Verdana" w:cs="Calibri"/>
          <w:i/>
          <w:sz w:val="20"/>
          <w:szCs w:val="20"/>
        </w:rPr>
        <w:t>“The Bologna Process has a higher degree of visibility outside the EHEA. However, this does not mean that all relevant stakeholders outside of Europe know enough about the key elements of the Bologna Process….It is therefore necessary to monitor the global perceptions and assessment of the Bologna Process and provide correct information about the EHEA.”</w:t>
      </w:r>
    </w:p>
    <w:p w:rsidR="00A75E62" w:rsidRPr="00107CC9" w:rsidRDefault="00A75E62" w:rsidP="00A75E62">
      <w:pPr>
        <w:autoSpaceDE w:val="0"/>
        <w:autoSpaceDN w:val="0"/>
        <w:adjustRightInd w:val="0"/>
        <w:spacing w:after="0" w:line="240" w:lineRule="auto"/>
        <w:jc w:val="both"/>
        <w:rPr>
          <w:rFonts w:ascii="Verdana" w:hAnsi="Verdana" w:cs="Calibri"/>
          <w:i/>
          <w:sz w:val="20"/>
          <w:szCs w:val="20"/>
        </w:rPr>
      </w:pPr>
    </w:p>
    <w:p w:rsidR="00A75E62" w:rsidRPr="00107CC9" w:rsidRDefault="00A75E62" w:rsidP="00A75E62">
      <w:pPr>
        <w:autoSpaceDE w:val="0"/>
        <w:autoSpaceDN w:val="0"/>
        <w:adjustRightInd w:val="0"/>
        <w:spacing w:after="0" w:line="240" w:lineRule="auto"/>
        <w:jc w:val="both"/>
        <w:rPr>
          <w:rFonts w:ascii="Verdana" w:hAnsi="Verdana" w:cs="Calibri"/>
          <w:i/>
          <w:sz w:val="20"/>
          <w:szCs w:val="20"/>
        </w:rPr>
      </w:pPr>
      <w:r w:rsidRPr="00107CC9">
        <w:rPr>
          <w:rFonts w:ascii="Verdana" w:hAnsi="Verdana" w:cs="Calibri"/>
          <w:i/>
          <w:sz w:val="20"/>
          <w:szCs w:val="20"/>
          <w:u w:val="single"/>
        </w:rPr>
        <w:t>Actions:</w:t>
      </w:r>
      <w:r w:rsidRPr="00107CC9">
        <w:rPr>
          <w:rFonts w:ascii="Verdana" w:hAnsi="Verdana" w:cs="Calibri"/>
          <w:i/>
          <w:sz w:val="20"/>
          <w:szCs w:val="20"/>
        </w:rPr>
        <w:t xml:space="preserve"> Official Information leaflet on the Bologna Process, Web-based information on Bologna for an International Audience, Bologna Information Points</w:t>
      </w:r>
    </w:p>
    <w:p w:rsidR="00A75E62" w:rsidRPr="00107CC9" w:rsidRDefault="00A75E62" w:rsidP="00A75E62">
      <w:pPr>
        <w:autoSpaceDE w:val="0"/>
        <w:autoSpaceDN w:val="0"/>
        <w:adjustRightInd w:val="0"/>
        <w:spacing w:after="0" w:line="240" w:lineRule="auto"/>
        <w:jc w:val="both"/>
        <w:rPr>
          <w:rFonts w:ascii="Verdana" w:hAnsi="Verdana" w:cs="Calibri"/>
          <w:sz w:val="20"/>
          <w:szCs w:val="20"/>
        </w:rPr>
      </w:pPr>
    </w:p>
    <w:p w:rsidR="00A75E62" w:rsidRPr="00107CC9" w:rsidRDefault="00A75E62" w:rsidP="00A75E62">
      <w:pPr>
        <w:autoSpaceDE w:val="0"/>
        <w:autoSpaceDN w:val="0"/>
        <w:adjustRightInd w:val="0"/>
        <w:spacing w:after="0" w:line="240" w:lineRule="auto"/>
        <w:jc w:val="both"/>
        <w:rPr>
          <w:rFonts w:ascii="Verdana" w:hAnsi="Verdana" w:cs="Calibri"/>
          <w:sz w:val="20"/>
          <w:szCs w:val="20"/>
        </w:rPr>
      </w:pPr>
      <w:r w:rsidRPr="00107CC9">
        <w:rPr>
          <w:rFonts w:ascii="Verdana" w:hAnsi="Verdana" w:cs="Calibri"/>
          <w:sz w:val="20"/>
          <w:szCs w:val="20"/>
        </w:rPr>
        <w:t xml:space="preserve">Almost 8 years into the process, Bologna still did not have an </w:t>
      </w:r>
      <w:r w:rsidRPr="00107CC9">
        <w:rPr>
          <w:rFonts w:ascii="Verdana" w:hAnsi="Verdana" w:cs="Calibri"/>
          <w:b/>
          <w:sz w:val="20"/>
          <w:szCs w:val="20"/>
        </w:rPr>
        <w:t>official website</w:t>
      </w:r>
      <w:r w:rsidRPr="00107CC9">
        <w:rPr>
          <w:rFonts w:ascii="Verdana" w:hAnsi="Verdana" w:cs="Calibri"/>
          <w:sz w:val="20"/>
          <w:szCs w:val="20"/>
        </w:rPr>
        <w:t xml:space="preserve">. No promotional materials had been developed to describe the Process in a commonly agreed and consistent way, and most documentation of the Process was drafted for the eyes of senior officials in ministries and was hardly palatable for the wider public. This was somewhat odd, given the vast amount of attention that Bologna had received from the global higher education community, and the fact that it had become the subject of extensive academic research. In past six years, this has changed radically. The current website for the Bologna Process – </w:t>
      </w:r>
      <w:hyperlink r:id="rId20" w:history="1">
        <w:r w:rsidRPr="00107CC9">
          <w:rPr>
            <w:rStyle w:val="Hyperlink"/>
            <w:rFonts w:ascii="Verdana" w:hAnsi="Verdana" w:cs="Calibri"/>
            <w:sz w:val="20"/>
            <w:szCs w:val="20"/>
          </w:rPr>
          <w:t>www.ehea.info</w:t>
        </w:r>
      </w:hyperlink>
      <w:r w:rsidRPr="00107CC9">
        <w:rPr>
          <w:rFonts w:ascii="Verdana" w:hAnsi="Verdana" w:cs="Calibri"/>
          <w:sz w:val="20"/>
          <w:szCs w:val="20"/>
        </w:rPr>
        <w:t xml:space="preserve"> – now has a permanent domain and has been increasingly professionalized by the Bologna secretariat. Contrary to in the past, when every secretariat created its own website, ehea.info is now sustained, its maintenance shifting from one secretariat to the next; the first website ‘handover’ has taken place successfully between the Romanian and Armenian secretariats in 2012. The extensive internal documentation of the Process has been distilled down and presented on this website in a way that is digestible for an external user. A calendar function tracks the various meetings of the process and milestones, outputs, related events and relevant links are also advertised. To increase visibility, the official website has also been registered in major search engines. In the period of October 2013 to July 2014, it received 250,000 page views, 78% of which were new users. The majority of the visits still come from within EHEA countries (with the exception of the USA, which interestingly ranks 4</w:t>
      </w:r>
      <w:r w:rsidRPr="00107CC9">
        <w:rPr>
          <w:rFonts w:ascii="Verdana" w:hAnsi="Verdana" w:cs="Calibri"/>
          <w:sz w:val="20"/>
          <w:szCs w:val="20"/>
          <w:vertAlign w:val="superscript"/>
        </w:rPr>
        <w:t>th</w:t>
      </w:r>
      <w:r w:rsidRPr="00107CC9">
        <w:rPr>
          <w:rFonts w:ascii="Verdana" w:hAnsi="Verdana" w:cs="Calibri"/>
          <w:sz w:val="20"/>
          <w:szCs w:val="20"/>
        </w:rPr>
        <w:t xml:space="preserve"> in terms of number of hits), though there has been in an increase in the number of visits coming from outside the EHEA and the countries represented (China, Brazil, Australia, Japan, Pakistan and Mexico all registered over 100 hits in this time period).    </w:t>
      </w:r>
    </w:p>
    <w:p w:rsidR="00A75E62" w:rsidRPr="00107CC9" w:rsidRDefault="00A75E62" w:rsidP="00A75E62">
      <w:pPr>
        <w:autoSpaceDE w:val="0"/>
        <w:autoSpaceDN w:val="0"/>
        <w:adjustRightInd w:val="0"/>
        <w:spacing w:after="0" w:line="240" w:lineRule="auto"/>
        <w:jc w:val="both"/>
        <w:rPr>
          <w:rFonts w:ascii="Verdana" w:hAnsi="Verdana" w:cs="Calibri"/>
          <w:sz w:val="20"/>
          <w:szCs w:val="20"/>
        </w:rPr>
      </w:pPr>
    </w:p>
    <w:p w:rsidR="00A75E62" w:rsidRPr="00107CC9" w:rsidRDefault="00A75E62" w:rsidP="00A75E62">
      <w:pPr>
        <w:autoSpaceDE w:val="0"/>
        <w:autoSpaceDN w:val="0"/>
        <w:adjustRightInd w:val="0"/>
        <w:spacing w:after="0" w:line="240" w:lineRule="auto"/>
        <w:jc w:val="both"/>
        <w:rPr>
          <w:rFonts w:ascii="Verdana" w:hAnsi="Verdana" w:cs="Calibri"/>
          <w:i/>
          <w:sz w:val="20"/>
          <w:szCs w:val="20"/>
        </w:rPr>
      </w:pPr>
      <w:r w:rsidRPr="00107CC9">
        <w:rPr>
          <w:rFonts w:ascii="Verdana" w:hAnsi="Verdana" w:cs="Calibri"/>
          <w:i/>
          <w:sz w:val="20"/>
          <w:szCs w:val="20"/>
        </w:rPr>
        <w:t>Figure 1. Density of ehea.org web traffic between July 2012 and November 2014</w:t>
      </w:r>
    </w:p>
    <w:p w:rsidR="00A75E62" w:rsidRPr="00107CC9" w:rsidRDefault="00A75E62" w:rsidP="00A75E62">
      <w:pPr>
        <w:autoSpaceDE w:val="0"/>
        <w:autoSpaceDN w:val="0"/>
        <w:adjustRightInd w:val="0"/>
        <w:spacing w:after="0" w:line="240" w:lineRule="auto"/>
        <w:jc w:val="both"/>
        <w:rPr>
          <w:rFonts w:ascii="Verdana" w:hAnsi="Verdana" w:cs="Calibri"/>
          <w:i/>
          <w:sz w:val="20"/>
          <w:szCs w:val="20"/>
        </w:rPr>
      </w:pPr>
    </w:p>
    <w:p w:rsidR="00A75E62" w:rsidRPr="00107CC9" w:rsidRDefault="00A75E62" w:rsidP="00A75E62">
      <w:pPr>
        <w:autoSpaceDE w:val="0"/>
        <w:autoSpaceDN w:val="0"/>
        <w:adjustRightInd w:val="0"/>
        <w:spacing w:after="0" w:line="240" w:lineRule="auto"/>
        <w:jc w:val="both"/>
        <w:rPr>
          <w:rFonts w:ascii="Verdana" w:hAnsi="Verdana" w:cs="Calibri"/>
          <w:sz w:val="20"/>
          <w:szCs w:val="20"/>
        </w:rPr>
      </w:pPr>
      <w:r>
        <w:rPr>
          <w:rFonts w:ascii="Verdana" w:hAnsi="Verdana" w:cs="Calibri"/>
          <w:noProof/>
          <w:sz w:val="20"/>
          <w:szCs w:val="20"/>
          <w:lang w:val="ru-RU" w:eastAsia="ru-RU"/>
        </w:rPr>
        <w:lastRenderedPageBreak/>
        <w:drawing>
          <wp:inline distT="0" distB="0" distL="0" distR="0">
            <wp:extent cx="5753100" cy="27717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53100" cy="2771775"/>
                    </a:xfrm>
                    <a:prstGeom prst="rect">
                      <a:avLst/>
                    </a:prstGeom>
                    <a:noFill/>
                    <a:ln>
                      <a:noFill/>
                    </a:ln>
                  </pic:spPr>
                </pic:pic>
              </a:graphicData>
            </a:graphic>
          </wp:inline>
        </w:drawing>
      </w:r>
    </w:p>
    <w:p w:rsidR="00A75E62" w:rsidRPr="00107CC9" w:rsidRDefault="00A75E62" w:rsidP="00A75E62">
      <w:pPr>
        <w:autoSpaceDE w:val="0"/>
        <w:autoSpaceDN w:val="0"/>
        <w:adjustRightInd w:val="0"/>
        <w:spacing w:after="0" w:line="240" w:lineRule="auto"/>
        <w:jc w:val="both"/>
        <w:rPr>
          <w:rFonts w:ascii="Verdana" w:hAnsi="Verdana" w:cs="Calibri"/>
          <w:sz w:val="20"/>
          <w:szCs w:val="20"/>
        </w:rPr>
      </w:pPr>
    </w:p>
    <w:p w:rsidR="00A75E62" w:rsidRPr="00107CC9" w:rsidRDefault="00A75E62" w:rsidP="00A75E62">
      <w:pPr>
        <w:autoSpaceDE w:val="0"/>
        <w:autoSpaceDN w:val="0"/>
        <w:adjustRightInd w:val="0"/>
        <w:spacing w:after="0" w:line="240" w:lineRule="auto"/>
        <w:jc w:val="both"/>
        <w:rPr>
          <w:rFonts w:ascii="Verdana" w:hAnsi="Verdana" w:cs="Calibri"/>
          <w:sz w:val="20"/>
          <w:szCs w:val="20"/>
        </w:rPr>
      </w:pPr>
      <w:r w:rsidRPr="00107CC9">
        <w:rPr>
          <w:rFonts w:ascii="Verdana" w:hAnsi="Verdana" w:cs="Calibri"/>
          <w:sz w:val="20"/>
          <w:szCs w:val="20"/>
        </w:rPr>
        <w:t xml:space="preserve">With regards to the development of promotion material on the EHEA, the results have been mixed. The report of 2009 cites the launch of an official </w:t>
      </w:r>
      <w:r w:rsidRPr="00107CC9">
        <w:rPr>
          <w:rFonts w:ascii="Verdana" w:hAnsi="Verdana" w:cs="Calibri"/>
          <w:b/>
          <w:sz w:val="20"/>
          <w:szCs w:val="20"/>
        </w:rPr>
        <w:t>information brochure</w:t>
      </w:r>
      <w:r w:rsidRPr="00107CC9">
        <w:rPr>
          <w:rFonts w:ascii="Verdana" w:hAnsi="Verdana" w:cs="Calibri"/>
          <w:sz w:val="20"/>
          <w:szCs w:val="20"/>
        </w:rPr>
        <w:t xml:space="preserve">, however this has not been updated nor reprinted In the last four years. It is also not clear to what extent such a brochure is needed currently or whether previous brochures were in fact used (and if so, for what purpose). EUA, which developed a brochure in 2006 (the first of its kind, summarizing the Process in a concise way) has not revised or reprinted it, mostly due to the fact that the information publically available on the EHEA website has improved considerably and the perception that the information needs of the wider public regarding the Process may have evolved. </w:t>
      </w:r>
    </w:p>
    <w:p w:rsidR="00A75E62" w:rsidRPr="00107CC9" w:rsidRDefault="00A75E62" w:rsidP="00A75E62">
      <w:pPr>
        <w:autoSpaceDE w:val="0"/>
        <w:autoSpaceDN w:val="0"/>
        <w:adjustRightInd w:val="0"/>
        <w:spacing w:after="0" w:line="240" w:lineRule="auto"/>
        <w:jc w:val="both"/>
        <w:rPr>
          <w:rFonts w:ascii="Verdana" w:hAnsi="Verdana" w:cs="Calibri"/>
          <w:sz w:val="20"/>
          <w:szCs w:val="20"/>
        </w:rPr>
      </w:pPr>
    </w:p>
    <w:p w:rsidR="00A75E62" w:rsidRPr="00107CC9" w:rsidRDefault="00A75E62" w:rsidP="00A75E62">
      <w:pPr>
        <w:autoSpaceDE w:val="0"/>
        <w:autoSpaceDN w:val="0"/>
        <w:adjustRightInd w:val="0"/>
        <w:spacing w:after="0" w:line="240" w:lineRule="auto"/>
        <w:jc w:val="both"/>
        <w:rPr>
          <w:rFonts w:ascii="Verdana" w:hAnsi="Verdana" w:cs="Calibri"/>
          <w:sz w:val="20"/>
          <w:szCs w:val="20"/>
        </w:rPr>
      </w:pPr>
      <w:r w:rsidRPr="00107CC9">
        <w:rPr>
          <w:rFonts w:ascii="Verdana" w:hAnsi="Verdana" w:cs="Calibri"/>
          <w:sz w:val="20"/>
          <w:szCs w:val="20"/>
        </w:rPr>
        <w:t xml:space="preserve">Regarding the specific promotion of the EHEA to a non-EHEA audience (namely students and other international HEI), in </w:t>
      </w:r>
      <w:smartTag w:uri="urn:schemas-microsoft-com:office:smarttags" w:element="metricconverter">
        <w:smartTagPr>
          <w:attr w:name="ProductID" w:val="2011, a"/>
        </w:smartTagPr>
        <w:r w:rsidRPr="00107CC9">
          <w:rPr>
            <w:rFonts w:ascii="Verdana" w:hAnsi="Verdana" w:cs="Calibri"/>
            <w:sz w:val="20"/>
            <w:szCs w:val="20"/>
          </w:rPr>
          <w:t>2011, a</w:t>
        </w:r>
      </w:smartTag>
      <w:r w:rsidRPr="00107CC9">
        <w:rPr>
          <w:rFonts w:ascii="Verdana" w:hAnsi="Verdana" w:cs="Calibri"/>
          <w:sz w:val="20"/>
          <w:szCs w:val="20"/>
        </w:rPr>
        <w:t xml:space="preserve"> pilot promotion network of national agencies was established as a sub-initiative of the Global Setting working group of the BFUG. Heterogeneous in nature, the </w:t>
      </w:r>
      <w:r w:rsidRPr="00107CC9">
        <w:rPr>
          <w:rFonts w:ascii="Verdana" w:hAnsi="Verdana" w:cs="Calibri"/>
          <w:i/>
          <w:sz w:val="20"/>
          <w:szCs w:val="20"/>
        </w:rPr>
        <w:t>‘</w:t>
      </w:r>
      <w:r w:rsidRPr="00107CC9">
        <w:rPr>
          <w:rFonts w:ascii="Verdana" w:hAnsi="Verdana" w:cs="Calibri"/>
          <w:b/>
          <w:i/>
          <w:sz w:val="20"/>
          <w:szCs w:val="20"/>
        </w:rPr>
        <w:t>Information and Promotion Network (IPN)’</w:t>
      </w:r>
      <w:r w:rsidRPr="00107CC9">
        <w:rPr>
          <w:rFonts w:ascii="Verdana" w:hAnsi="Verdana" w:cs="Calibri"/>
          <w:sz w:val="20"/>
          <w:szCs w:val="20"/>
        </w:rPr>
        <w:t xml:space="preserve"> consisted of agencies and </w:t>
      </w:r>
      <w:proofErr w:type="spellStart"/>
      <w:r w:rsidRPr="00107CC9">
        <w:rPr>
          <w:rFonts w:ascii="Verdana" w:hAnsi="Verdana" w:cs="Calibri"/>
          <w:sz w:val="20"/>
          <w:szCs w:val="20"/>
        </w:rPr>
        <w:t>organisations</w:t>
      </w:r>
      <w:proofErr w:type="spellEnd"/>
      <w:r w:rsidRPr="00107CC9">
        <w:rPr>
          <w:rFonts w:ascii="Verdana" w:hAnsi="Verdana" w:cs="Calibri"/>
          <w:sz w:val="20"/>
          <w:szCs w:val="20"/>
        </w:rPr>
        <w:t xml:space="preserve"> that market their national HE systems. They were gathered on several occasions to discuss potential common messages regarding the EHEA and to develop promotion material that could be utilized in their national campaigns. This followed a previous effort of the European Commission to brand ‘Study in Europe’</w:t>
      </w:r>
      <w:r w:rsidRPr="00107CC9">
        <w:rPr>
          <w:rStyle w:val="FootnoteReference"/>
          <w:rFonts w:ascii="Verdana" w:hAnsi="Verdana" w:cs="Calibri"/>
          <w:sz w:val="20"/>
          <w:szCs w:val="20"/>
        </w:rPr>
        <w:footnoteReference w:id="26"/>
      </w:r>
      <w:r w:rsidRPr="00107CC9">
        <w:rPr>
          <w:rFonts w:ascii="Verdana" w:hAnsi="Verdana" w:cs="Calibri"/>
          <w:sz w:val="20"/>
          <w:szCs w:val="20"/>
        </w:rPr>
        <w:t xml:space="preserve"> and create a common marketing platform for European higher education. The core  messages developed by both initiatives were never extensively taken up by national promotion agencies, however, nor disseminated systematically to European HEIs. Regarding the BFUG experiment of the IPN, it was concluded that while it was indeed fruitful to bring national promotion agencies together and to discuss the extent to which the concept of the EHEA factored into their national promotion activities, the network was too heterogeneous to be consolidated and sustained. Furthermore, resources were too limited to develop and disseminate common EHEA promotion materials with unifying messages. </w:t>
      </w:r>
    </w:p>
    <w:p w:rsidR="00A75E62" w:rsidRPr="00107CC9" w:rsidRDefault="00A75E62" w:rsidP="00A75E62">
      <w:pPr>
        <w:autoSpaceDE w:val="0"/>
        <w:autoSpaceDN w:val="0"/>
        <w:adjustRightInd w:val="0"/>
        <w:spacing w:after="0" w:line="240" w:lineRule="auto"/>
        <w:jc w:val="both"/>
        <w:rPr>
          <w:rFonts w:ascii="Verdana" w:hAnsi="Verdana" w:cs="Calibri"/>
          <w:sz w:val="20"/>
          <w:szCs w:val="20"/>
        </w:rPr>
      </w:pPr>
    </w:p>
    <w:p w:rsidR="00A75E62" w:rsidRPr="00107CC9" w:rsidRDefault="00A75E62" w:rsidP="00A75E62">
      <w:pPr>
        <w:autoSpaceDE w:val="0"/>
        <w:autoSpaceDN w:val="0"/>
        <w:adjustRightInd w:val="0"/>
        <w:spacing w:after="0" w:line="240" w:lineRule="auto"/>
        <w:jc w:val="both"/>
        <w:rPr>
          <w:rFonts w:ascii="Verdana" w:hAnsi="Verdana" w:cs="Calibri"/>
          <w:sz w:val="20"/>
          <w:szCs w:val="20"/>
        </w:rPr>
      </w:pPr>
      <w:r w:rsidRPr="00107CC9">
        <w:rPr>
          <w:rFonts w:ascii="Verdana" w:hAnsi="Verdana" w:cs="Calibri"/>
          <w:sz w:val="20"/>
          <w:szCs w:val="20"/>
        </w:rPr>
        <w:t xml:space="preserve">That said, evidence suggests that several country-level promotion campaigns and individual HEIs organically reference either the EU, the EHEA or both when promoting their institution </w:t>
      </w:r>
      <w:r w:rsidRPr="00107CC9">
        <w:rPr>
          <w:rFonts w:ascii="Verdana" w:hAnsi="Verdana" w:cs="Calibri"/>
          <w:sz w:val="20"/>
          <w:szCs w:val="20"/>
        </w:rPr>
        <w:lastRenderedPageBreak/>
        <w:t xml:space="preserve">or system. This may or may not be linked to the above mentioned initiatives, and has never been comprehensively mapped. It could thus be an area of future study. </w:t>
      </w:r>
    </w:p>
    <w:p w:rsidR="00A75E62" w:rsidRPr="00107CC9" w:rsidRDefault="00A75E62" w:rsidP="00A75E62">
      <w:pPr>
        <w:autoSpaceDE w:val="0"/>
        <w:autoSpaceDN w:val="0"/>
        <w:adjustRightInd w:val="0"/>
        <w:spacing w:after="0" w:line="240" w:lineRule="auto"/>
        <w:jc w:val="both"/>
        <w:rPr>
          <w:rFonts w:ascii="Verdana" w:hAnsi="Verdana" w:cs="Calibri"/>
          <w:sz w:val="20"/>
          <w:szCs w:val="20"/>
        </w:rPr>
      </w:pPr>
    </w:p>
    <w:p w:rsidR="00A75E62" w:rsidRPr="00107CC9" w:rsidRDefault="00A75E62" w:rsidP="00A75E62">
      <w:pPr>
        <w:autoSpaceDE w:val="0"/>
        <w:autoSpaceDN w:val="0"/>
        <w:adjustRightInd w:val="0"/>
        <w:spacing w:after="0" w:line="240" w:lineRule="auto"/>
        <w:jc w:val="both"/>
        <w:rPr>
          <w:rFonts w:ascii="Verdana" w:hAnsi="Verdana" w:cs="Calibri"/>
          <w:sz w:val="20"/>
          <w:szCs w:val="20"/>
        </w:rPr>
      </w:pPr>
      <w:r w:rsidRPr="00107CC9">
        <w:rPr>
          <w:rFonts w:ascii="Verdana" w:hAnsi="Verdana" w:cs="Calibri"/>
          <w:sz w:val="20"/>
          <w:szCs w:val="20"/>
        </w:rPr>
        <w:t xml:space="preserve">Relatedly, another recommendation from the 2009 report is the need to provide </w:t>
      </w:r>
      <w:r w:rsidRPr="00107CC9">
        <w:rPr>
          <w:rFonts w:ascii="Verdana" w:hAnsi="Verdana" w:cs="Calibri"/>
          <w:b/>
          <w:sz w:val="20"/>
          <w:szCs w:val="20"/>
        </w:rPr>
        <w:t>better and more structured information on study and research opportunities in EHEA countries</w:t>
      </w:r>
      <w:r w:rsidRPr="00107CC9">
        <w:rPr>
          <w:rFonts w:ascii="Verdana" w:hAnsi="Verdana" w:cs="Calibri"/>
          <w:sz w:val="20"/>
          <w:szCs w:val="20"/>
        </w:rPr>
        <w:t xml:space="preserve">. This point will be specifically addressed below under ‘Attractiveness/Promotion’. It was also recommended to set up ‘national databases with a view to creating an EHEA-wide online information system on scholarships’. This, and the notion of developing a </w:t>
      </w:r>
      <w:r w:rsidRPr="00107CC9">
        <w:rPr>
          <w:rFonts w:ascii="Verdana" w:hAnsi="Verdana" w:cs="Calibri"/>
          <w:b/>
          <w:sz w:val="20"/>
          <w:szCs w:val="20"/>
        </w:rPr>
        <w:t>common admission system for study in the EHEA</w:t>
      </w:r>
      <w:r w:rsidRPr="00107CC9">
        <w:rPr>
          <w:rFonts w:ascii="Verdana" w:hAnsi="Verdana" w:cs="Calibri"/>
          <w:sz w:val="20"/>
          <w:szCs w:val="20"/>
        </w:rPr>
        <w:t xml:space="preserve">, has been discussed the Mobility working group of the BFUG (2010-12). The German Federal Ministry hosted a seminar on the very topic in 2012 to look at different national and other collective admissions systems and to assess the feasibility for the EHEA. The event concluded that while some countries have developed centralized means of processing foreign student applicants, an EHEA-wide system would be far from feasible. However, other measures could be taken, e.g. information on admissions procedures could be streamlined and centralized. </w:t>
      </w:r>
    </w:p>
    <w:p w:rsidR="00A75E62" w:rsidRPr="00107CC9" w:rsidRDefault="00A75E62" w:rsidP="00A75E62">
      <w:pPr>
        <w:autoSpaceDE w:val="0"/>
        <w:autoSpaceDN w:val="0"/>
        <w:adjustRightInd w:val="0"/>
        <w:spacing w:after="0" w:line="240" w:lineRule="auto"/>
        <w:jc w:val="both"/>
        <w:rPr>
          <w:rFonts w:ascii="Verdana" w:hAnsi="Verdana" w:cs="Calibri"/>
          <w:sz w:val="20"/>
          <w:szCs w:val="20"/>
        </w:rPr>
      </w:pPr>
    </w:p>
    <w:p w:rsidR="00A75E62" w:rsidRPr="00107CC9" w:rsidRDefault="00A75E62" w:rsidP="00A75E62">
      <w:pPr>
        <w:autoSpaceDE w:val="0"/>
        <w:autoSpaceDN w:val="0"/>
        <w:adjustRightInd w:val="0"/>
        <w:spacing w:after="0" w:line="240" w:lineRule="auto"/>
        <w:jc w:val="both"/>
        <w:rPr>
          <w:rFonts w:ascii="Verdana" w:hAnsi="Verdana" w:cs="Calibri"/>
          <w:i/>
          <w:sz w:val="20"/>
          <w:szCs w:val="20"/>
        </w:rPr>
      </w:pPr>
      <w:r w:rsidRPr="00107CC9">
        <w:rPr>
          <w:rFonts w:ascii="Verdana" w:hAnsi="Verdana" w:cs="Calibri"/>
          <w:i/>
          <w:sz w:val="20"/>
          <w:szCs w:val="20"/>
        </w:rPr>
        <w:t>General remarks:</w:t>
      </w:r>
    </w:p>
    <w:p w:rsidR="00A75E62" w:rsidRPr="00107CC9" w:rsidRDefault="00A75E62" w:rsidP="00A75E62">
      <w:pPr>
        <w:autoSpaceDE w:val="0"/>
        <w:autoSpaceDN w:val="0"/>
        <w:adjustRightInd w:val="0"/>
        <w:spacing w:after="0" w:line="240" w:lineRule="auto"/>
        <w:jc w:val="both"/>
        <w:rPr>
          <w:rFonts w:ascii="Verdana" w:hAnsi="Verdana" w:cs="Calibri"/>
          <w:sz w:val="20"/>
          <w:szCs w:val="20"/>
        </w:rPr>
      </w:pPr>
      <w:r w:rsidRPr="00107CC9">
        <w:rPr>
          <w:rFonts w:ascii="Verdana" w:hAnsi="Verdana" w:cs="Calibri"/>
          <w:sz w:val="20"/>
          <w:szCs w:val="20"/>
        </w:rPr>
        <w:t xml:space="preserve">Increasing information available on the EHEA and Bologna has improved considerably. An EHEA website is in place, though its information provision still seems more focused on the needs of the BFUG than those of external users. This is reflected in the statistical use of the website, which demonstrates that most ‘hits’ come from within the EHEA. This being said, no assessment has been made of who the users of this website are, and to what extent their needs are met through the site. Non-EHEA </w:t>
      </w:r>
      <w:proofErr w:type="spellStart"/>
      <w:r w:rsidRPr="00107CC9">
        <w:rPr>
          <w:rFonts w:ascii="Verdana" w:hAnsi="Verdana" w:cs="Calibri"/>
          <w:sz w:val="20"/>
          <w:szCs w:val="20"/>
        </w:rPr>
        <w:t>organisations</w:t>
      </w:r>
      <w:proofErr w:type="spellEnd"/>
      <w:r w:rsidRPr="00107CC9">
        <w:rPr>
          <w:rFonts w:ascii="Verdana" w:hAnsi="Verdana" w:cs="Calibri"/>
          <w:sz w:val="20"/>
          <w:szCs w:val="20"/>
        </w:rPr>
        <w:t xml:space="preserve">, institutions, policy makers, researchers and students would indeed have different needs and it would be interesting to study where these different groups obtain their information (and to what purpose). This has been beyond the scope of this report, though perhaps a subject of for a future study.  </w:t>
      </w:r>
    </w:p>
    <w:p w:rsidR="00A75E62" w:rsidRPr="00107CC9" w:rsidRDefault="00A75E62" w:rsidP="00A75E62">
      <w:pPr>
        <w:autoSpaceDE w:val="0"/>
        <w:autoSpaceDN w:val="0"/>
        <w:adjustRightInd w:val="0"/>
        <w:spacing w:after="0" w:line="240" w:lineRule="auto"/>
        <w:jc w:val="both"/>
        <w:rPr>
          <w:rFonts w:ascii="Verdana" w:hAnsi="Verdana" w:cs="Calibri"/>
          <w:sz w:val="20"/>
          <w:szCs w:val="20"/>
        </w:rPr>
      </w:pPr>
    </w:p>
    <w:p w:rsidR="00A75E62" w:rsidRPr="00107CC9" w:rsidRDefault="00A75E62" w:rsidP="00A75E62">
      <w:pPr>
        <w:autoSpaceDE w:val="0"/>
        <w:autoSpaceDN w:val="0"/>
        <w:adjustRightInd w:val="0"/>
        <w:spacing w:after="0" w:line="240" w:lineRule="auto"/>
        <w:jc w:val="both"/>
        <w:rPr>
          <w:rFonts w:ascii="Verdana" w:hAnsi="Verdana" w:cs="Calibri"/>
          <w:sz w:val="20"/>
          <w:szCs w:val="20"/>
        </w:rPr>
      </w:pPr>
      <w:r w:rsidRPr="00107CC9">
        <w:rPr>
          <w:rFonts w:ascii="Verdana" w:hAnsi="Verdana" w:cs="Calibri"/>
          <w:sz w:val="20"/>
          <w:szCs w:val="20"/>
        </w:rPr>
        <w:t xml:space="preserve">In terms of whether and how different EHEA countries (via national agencies) promote information on the EHEA, this clearly has its limits. The main question continues to be </w:t>
      </w:r>
      <w:r w:rsidRPr="00107CC9">
        <w:rPr>
          <w:rFonts w:ascii="Verdana" w:hAnsi="Verdana" w:cs="Calibri"/>
          <w:i/>
          <w:sz w:val="20"/>
          <w:szCs w:val="20"/>
        </w:rPr>
        <w:t>who</w:t>
      </w:r>
      <w:r w:rsidRPr="00107CC9">
        <w:rPr>
          <w:rFonts w:ascii="Verdana" w:hAnsi="Verdana" w:cs="Calibri"/>
          <w:sz w:val="20"/>
          <w:szCs w:val="20"/>
        </w:rPr>
        <w:t xml:space="preserve"> promotes and provides information on the EHEA, and to what extent this information can and should be harmonized. When it comes to national promotion agencies, like those that the IPN has brought together, it is clear that that promoting the EHEA as a study destination, versus communicating certain aspects of the EHEA and how it is governed as a European inter-governmental process, are distinct. Agencies of the IPN were more concerned with the former. Regarding the latter, this is relevant for policy dialogue, which will be elaborated in the fourth section of this report.</w:t>
      </w:r>
    </w:p>
    <w:p w:rsidR="00A75E62" w:rsidRPr="00107CC9" w:rsidRDefault="00A75E62" w:rsidP="00A75E62">
      <w:pPr>
        <w:autoSpaceDE w:val="0"/>
        <w:autoSpaceDN w:val="0"/>
        <w:adjustRightInd w:val="0"/>
        <w:spacing w:after="0" w:line="240" w:lineRule="auto"/>
        <w:jc w:val="both"/>
        <w:rPr>
          <w:rFonts w:ascii="Verdana" w:hAnsi="Verdana" w:cs="Calibri"/>
          <w:sz w:val="20"/>
          <w:szCs w:val="20"/>
        </w:rPr>
      </w:pPr>
    </w:p>
    <w:p w:rsidR="00A75E62" w:rsidRPr="00107CC9" w:rsidRDefault="00A75E62" w:rsidP="00A75E62">
      <w:pPr>
        <w:autoSpaceDE w:val="0"/>
        <w:autoSpaceDN w:val="0"/>
        <w:adjustRightInd w:val="0"/>
        <w:spacing w:after="0" w:line="240" w:lineRule="auto"/>
        <w:jc w:val="both"/>
        <w:rPr>
          <w:rFonts w:ascii="Verdana" w:hAnsi="Verdana" w:cs="Calibri"/>
          <w:sz w:val="20"/>
          <w:szCs w:val="20"/>
        </w:rPr>
      </w:pPr>
      <w:r w:rsidRPr="00107CC9">
        <w:rPr>
          <w:rFonts w:ascii="Verdana" w:hAnsi="Verdana" w:cs="Calibri"/>
          <w:sz w:val="20"/>
          <w:szCs w:val="20"/>
        </w:rPr>
        <w:t xml:space="preserve">In general, every national system has experienced the Bologna Process in a different way, thus harmonizing messages on the EHEA can be challenging. That said, it is important that the EHEA Secretariat continues to maintain fairly standardized, commonly agreed information on the core of the EHEA, what it has accomplished and how it strives to develop in the future. This can at least serve as a reference point for different ‘users’ within the EHEA and for non-EHEA individuals and </w:t>
      </w:r>
      <w:proofErr w:type="spellStart"/>
      <w:r w:rsidRPr="00107CC9">
        <w:rPr>
          <w:rFonts w:ascii="Verdana" w:hAnsi="Verdana" w:cs="Calibri"/>
          <w:sz w:val="20"/>
          <w:szCs w:val="20"/>
        </w:rPr>
        <w:t>organisations</w:t>
      </w:r>
      <w:proofErr w:type="spellEnd"/>
      <w:r w:rsidRPr="00107CC9">
        <w:rPr>
          <w:rFonts w:ascii="Verdana" w:hAnsi="Verdana" w:cs="Calibri"/>
          <w:sz w:val="20"/>
          <w:szCs w:val="20"/>
        </w:rPr>
        <w:t xml:space="preserve"> that may receive competing and even contradictory information about what the EHEA is and how it functions. </w:t>
      </w:r>
    </w:p>
    <w:p w:rsidR="00A75E62" w:rsidRPr="00107CC9" w:rsidRDefault="00A75E62" w:rsidP="00A75E62">
      <w:pPr>
        <w:autoSpaceDE w:val="0"/>
        <w:autoSpaceDN w:val="0"/>
        <w:adjustRightInd w:val="0"/>
        <w:spacing w:after="0" w:line="240" w:lineRule="auto"/>
        <w:jc w:val="both"/>
        <w:rPr>
          <w:rFonts w:ascii="Verdana" w:hAnsi="Verdana" w:cs="Calibri"/>
          <w:sz w:val="20"/>
          <w:szCs w:val="20"/>
        </w:rPr>
      </w:pPr>
    </w:p>
    <w:p w:rsidR="00A75E62" w:rsidRPr="00107CC9" w:rsidRDefault="00A75E62" w:rsidP="00A75E62">
      <w:pPr>
        <w:pStyle w:val="Heading1"/>
        <w:jc w:val="both"/>
        <w:rPr>
          <w:rFonts w:ascii="Verdana" w:hAnsi="Verdana"/>
          <w:sz w:val="20"/>
          <w:szCs w:val="20"/>
          <w:lang w:val="en-US"/>
        </w:rPr>
      </w:pPr>
      <w:bookmarkStart w:id="4" w:name="_Toc397091166"/>
      <w:r w:rsidRPr="00107CC9">
        <w:rPr>
          <w:rFonts w:ascii="Verdana" w:hAnsi="Verdana"/>
          <w:sz w:val="20"/>
          <w:szCs w:val="20"/>
          <w:lang w:val="en-US"/>
        </w:rPr>
        <w:t>P</w:t>
      </w:r>
      <w:proofErr w:type="spellStart"/>
      <w:r w:rsidRPr="00107CC9">
        <w:rPr>
          <w:rFonts w:ascii="Verdana" w:hAnsi="Verdana"/>
          <w:sz w:val="20"/>
          <w:szCs w:val="20"/>
        </w:rPr>
        <w:t>romoting</w:t>
      </w:r>
      <w:proofErr w:type="spellEnd"/>
      <w:r w:rsidRPr="00107CC9">
        <w:rPr>
          <w:rFonts w:ascii="Verdana" w:hAnsi="Verdana"/>
          <w:sz w:val="20"/>
          <w:szCs w:val="20"/>
        </w:rPr>
        <w:t xml:space="preserve"> European Higher Education to enhance its worldwide attractiveness and competitiveness</w:t>
      </w:r>
      <w:bookmarkEnd w:id="4"/>
    </w:p>
    <w:p w:rsidR="00A75E62" w:rsidRPr="00107CC9" w:rsidRDefault="00A75E62" w:rsidP="00A75E62">
      <w:pPr>
        <w:spacing w:line="240" w:lineRule="auto"/>
        <w:jc w:val="both"/>
        <w:rPr>
          <w:rFonts w:ascii="Verdana" w:hAnsi="Verdana" w:cs="Calibri"/>
          <w:i/>
          <w:sz w:val="20"/>
          <w:szCs w:val="20"/>
        </w:rPr>
      </w:pPr>
    </w:p>
    <w:p w:rsidR="00A75E62" w:rsidRPr="00107CC9" w:rsidRDefault="00A75E62" w:rsidP="00A75E62">
      <w:pPr>
        <w:spacing w:line="240" w:lineRule="auto"/>
        <w:jc w:val="both"/>
        <w:rPr>
          <w:rFonts w:ascii="Verdana" w:hAnsi="Verdana" w:cs="Calibri"/>
          <w:i/>
          <w:sz w:val="20"/>
          <w:szCs w:val="20"/>
        </w:rPr>
      </w:pPr>
      <w:r w:rsidRPr="00107CC9">
        <w:rPr>
          <w:rFonts w:ascii="Verdana" w:hAnsi="Verdana" w:cs="Calibri"/>
          <w:i/>
          <w:sz w:val="20"/>
          <w:szCs w:val="20"/>
        </w:rPr>
        <w:t xml:space="preserve">“Europe must make concerted efforts to increase its international attractiveness to students, teachers and researchers across the world. To this end, all Bologna countries should </w:t>
      </w:r>
      <w:r w:rsidRPr="00107CC9">
        <w:rPr>
          <w:rFonts w:ascii="Verdana" w:hAnsi="Verdana" w:cs="Calibri"/>
          <w:i/>
          <w:sz w:val="20"/>
          <w:szCs w:val="20"/>
        </w:rPr>
        <w:lastRenderedPageBreak/>
        <w:t xml:space="preserve">designate an </w:t>
      </w:r>
      <w:proofErr w:type="spellStart"/>
      <w:r w:rsidRPr="00107CC9">
        <w:rPr>
          <w:rFonts w:ascii="Verdana" w:hAnsi="Verdana" w:cs="Calibri"/>
          <w:i/>
          <w:sz w:val="20"/>
          <w:szCs w:val="20"/>
        </w:rPr>
        <w:t>organisation</w:t>
      </w:r>
      <w:proofErr w:type="spellEnd"/>
      <w:r w:rsidRPr="00107CC9">
        <w:rPr>
          <w:rFonts w:ascii="Verdana" w:hAnsi="Verdana" w:cs="Calibri"/>
          <w:i/>
          <w:sz w:val="20"/>
          <w:szCs w:val="20"/>
        </w:rPr>
        <w:t xml:space="preserve"> as having prime responsibility for coordinating efforts for the international promotion of HE systems and institutions…”</w:t>
      </w:r>
    </w:p>
    <w:p w:rsidR="00A75E62" w:rsidRPr="00107CC9" w:rsidRDefault="00A75E62" w:rsidP="00A75E62">
      <w:pPr>
        <w:spacing w:line="240" w:lineRule="auto"/>
        <w:jc w:val="both"/>
        <w:rPr>
          <w:rFonts w:ascii="Verdana" w:hAnsi="Verdana" w:cs="Calibri"/>
          <w:i/>
          <w:sz w:val="20"/>
          <w:szCs w:val="20"/>
        </w:rPr>
      </w:pPr>
      <w:r w:rsidRPr="00107CC9">
        <w:rPr>
          <w:rFonts w:ascii="Verdana" w:hAnsi="Verdana" w:cs="Calibri"/>
          <w:i/>
          <w:sz w:val="20"/>
          <w:szCs w:val="20"/>
        </w:rPr>
        <w:t xml:space="preserve">Actions: Designation of national higher education promotion </w:t>
      </w:r>
      <w:proofErr w:type="spellStart"/>
      <w:r w:rsidRPr="00107CC9">
        <w:rPr>
          <w:rFonts w:ascii="Verdana" w:hAnsi="Verdana" w:cs="Calibri"/>
          <w:i/>
          <w:sz w:val="20"/>
          <w:szCs w:val="20"/>
        </w:rPr>
        <w:t>organisations</w:t>
      </w:r>
      <w:proofErr w:type="spellEnd"/>
      <w:r w:rsidRPr="00107CC9">
        <w:rPr>
          <w:rFonts w:ascii="Verdana" w:hAnsi="Verdana" w:cs="Calibri"/>
          <w:i/>
          <w:sz w:val="20"/>
          <w:szCs w:val="20"/>
        </w:rPr>
        <w:t>, European higher education portal, information and promotion tools, European higher education fairs, media campaigns and branding, Network of ‘Bologna promoters’</w:t>
      </w:r>
    </w:p>
    <w:p w:rsidR="00A75E62" w:rsidRPr="00107CC9" w:rsidRDefault="00A75E62" w:rsidP="00A75E62">
      <w:pPr>
        <w:spacing w:line="240" w:lineRule="auto"/>
        <w:jc w:val="both"/>
        <w:rPr>
          <w:rFonts w:ascii="Verdana" w:hAnsi="Verdana" w:cs="Calibri"/>
          <w:sz w:val="20"/>
          <w:szCs w:val="20"/>
        </w:rPr>
      </w:pPr>
      <w:r w:rsidRPr="00107CC9">
        <w:rPr>
          <w:rFonts w:ascii="Verdana" w:hAnsi="Verdana" w:cs="Calibri"/>
          <w:sz w:val="20"/>
          <w:szCs w:val="20"/>
        </w:rPr>
        <w:t xml:space="preserve">Given that enhancing the attractiveness of Europe as a study destination has been a core priority of Bologna from the start, it is natural that this point has featured in the Global Setting Strategy. Actions taken in this field at both the European and national level have been ongoing both prior to and in light of this strategy, a reaction to progressive </w:t>
      </w:r>
      <w:proofErr w:type="spellStart"/>
      <w:r w:rsidRPr="00107CC9">
        <w:rPr>
          <w:rFonts w:ascii="Verdana" w:hAnsi="Verdana" w:cs="Calibri"/>
          <w:sz w:val="20"/>
          <w:szCs w:val="20"/>
        </w:rPr>
        <w:t>internationalisation</w:t>
      </w:r>
      <w:proofErr w:type="spellEnd"/>
      <w:r w:rsidRPr="00107CC9">
        <w:rPr>
          <w:rFonts w:ascii="Verdana" w:hAnsi="Verdana" w:cs="Calibri"/>
          <w:sz w:val="20"/>
          <w:szCs w:val="20"/>
        </w:rPr>
        <w:t xml:space="preserve"> of the HE sector and growth in international student mobility in the past two decades. In particular, </w:t>
      </w:r>
      <w:r w:rsidRPr="00107CC9">
        <w:rPr>
          <w:rFonts w:ascii="Verdana" w:hAnsi="Verdana" w:cs="Calibri"/>
          <w:b/>
          <w:sz w:val="20"/>
          <w:szCs w:val="20"/>
        </w:rPr>
        <w:t>nationally supported promotion campaigns</w:t>
      </w:r>
      <w:r w:rsidRPr="00107CC9">
        <w:rPr>
          <w:rFonts w:ascii="Verdana" w:hAnsi="Verdana" w:cs="Calibri"/>
          <w:sz w:val="20"/>
          <w:szCs w:val="20"/>
        </w:rPr>
        <w:t xml:space="preserve"> for attracting students have gained traction; large investments to this effect have become a characteristic of many continental European countries where the words ‘marketing’ and ‘higher education’ were never previously juxtaposed. Various attempts have been made to map and eventually link European national promotion campaigns, including in the context of the EC ‘Study in Europe’ portal (</w:t>
      </w:r>
      <w:hyperlink r:id="rId22" w:history="1">
        <w:r w:rsidRPr="00107CC9">
          <w:rPr>
            <w:rStyle w:val="Hyperlink"/>
            <w:rFonts w:ascii="Verdana" w:hAnsi="Verdana" w:cs="Calibri"/>
            <w:sz w:val="20"/>
            <w:szCs w:val="20"/>
          </w:rPr>
          <w:t>http://www.studyineurope.eu/</w:t>
        </w:r>
      </w:hyperlink>
      <w:r w:rsidRPr="00107CC9">
        <w:rPr>
          <w:rFonts w:ascii="Verdana" w:hAnsi="Verdana" w:cs="Calibri"/>
          <w:sz w:val="20"/>
          <w:szCs w:val="20"/>
        </w:rPr>
        <w:t xml:space="preserve">), which provides direct links to the websites of national agencies with ‘Study in’ websites. </w:t>
      </w:r>
      <w:r w:rsidRPr="00107CC9">
        <w:rPr>
          <w:rFonts w:ascii="Verdana" w:hAnsi="Verdana" w:cs="Calibri"/>
          <w:color w:val="000000"/>
          <w:sz w:val="20"/>
          <w:szCs w:val="20"/>
        </w:rPr>
        <w:t xml:space="preserve">This portal has attracted more than a million visits from 244 countries since its launch in April 2008. It is currently undergoing a revision. </w:t>
      </w:r>
      <w:r w:rsidRPr="00107CC9">
        <w:rPr>
          <w:rFonts w:ascii="Verdana" w:hAnsi="Verdana" w:cs="Calibri"/>
          <w:sz w:val="20"/>
          <w:szCs w:val="20"/>
        </w:rPr>
        <w:t>The Academic Cooperation Association (ACA)</w:t>
      </w:r>
      <w:r w:rsidRPr="00107CC9">
        <w:rPr>
          <w:rStyle w:val="FootnoteReference"/>
          <w:rFonts w:ascii="Verdana" w:hAnsi="Verdana" w:cs="Calibri"/>
          <w:sz w:val="20"/>
          <w:szCs w:val="20"/>
        </w:rPr>
        <w:footnoteReference w:id="27"/>
      </w:r>
      <w:r w:rsidRPr="00107CC9">
        <w:rPr>
          <w:rFonts w:ascii="Verdana" w:hAnsi="Verdana" w:cs="Calibri"/>
          <w:sz w:val="20"/>
          <w:szCs w:val="20"/>
        </w:rPr>
        <w:t xml:space="preserve"> unites national agencies for higher education </w:t>
      </w:r>
      <w:proofErr w:type="spellStart"/>
      <w:r w:rsidRPr="00107CC9">
        <w:rPr>
          <w:rFonts w:ascii="Verdana" w:hAnsi="Verdana" w:cs="Calibri"/>
          <w:sz w:val="20"/>
          <w:szCs w:val="20"/>
        </w:rPr>
        <w:t>internationalisation</w:t>
      </w:r>
      <w:proofErr w:type="spellEnd"/>
      <w:r w:rsidRPr="00107CC9">
        <w:rPr>
          <w:rFonts w:ascii="Verdana" w:hAnsi="Verdana" w:cs="Calibri"/>
          <w:sz w:val="20"/>
          <w:szCs w:val="20"/>
        </w:rPr>
        <w:t xml:space="preserve">, which, in most cases, oversee promotion. However, who develops national (and sometimes regional) attractiveness campaigns and in what fashion depends very much on the specific national structures, priorities and funding. </w:t>
      </w:r>
    </w:p>
    <w:p w:rsidR="00A75E62" w:rsidRPr="00107CC9" w:rsidRDefault="00A75E62" w:rsidP="00A75E62">
      <w:pPr>
        <w:spacing w:line="240" w:lineRule="auto"/>
        <w:jc w:val="both"/>
        <w:rPr>
          <w:rFonts w:ascii="Verdana" w:hAnsi="Verdana" w:cs="Calibri"/>
          <w:sz w:val="20"/>
          <w:szCs w:val="20"/>
        </w:rPr>
      </w:pPr>
      <w:r w:rsidRPr="00107CC9">
        <w:rPr>
          <w:rFonts w:ascii="Verdana" w:hAnsi="Verdana" w:cs="Calibri"/>
          <w:sz w:val="20"/>
          <w:szCs w:val="20"/>
        </w:rPr>
        <w:t xml:space="preserve">Already existing national agencies have established or enhanced their marketing departments, such as the German Academic Exchange Service (DAAD) with a promotion alliance called ‘Gate Germany’, to which universities subscribe directly, for example. In several countries, new agencies for higher education exchange and promotion have been established, e.g. Fondacion.es in Spain (which is currently transforming due to funding cuts), ‘Flanders Knowledge Area’ and Wallonia-Brussels Campus in Belgium and ‘Campus Hungary’, supported by European Structural Funds. In some cases, trade </w:t>
      </w:r>
      <w:proofErr w:type="spellStart"/>
      <w:r w:rsidRPr="00107CC9">
        <w:rPr>
          <w:rFonts w:ascii="Verdana" w:hAnsi="Verdana" w:cs="Calibri"/>
          <w:sz w:val="20"/>
          <w:szCs w:val="20"/>
        </w:rPr>
        <w:t>organisations</w:t>
      </w:r>
      <w:proofErr w:type="spellEnd"/>
      <w:r w:rsidRPr="00107CC9">
        <w:rPr>
          <w:rFonts w:ascii="Verdana" w:hAnsi="Verdana" w:cs="Calibri"/>
          <w:sz w:val="20"/>
          <w:szCs w:val="20"/>
        </w:rPr>
        <w:t xml:space="preserve"> or private entities have taken this up, in others, the national Erasmus Agency, and still in others, the ministry.  Most new agencies have been created with the support of higher education institutions and even governed to a large extent by them. </w:t>
      </w:r>
    </w:p>
    <w:p w:rsidR="00A75E62" w:rsidRPr="00107CC9" w:rsidRDefault="00A75E62" w:rsidP="00A75E62">
      <w:pPr>
        <w:spacing w:line="240" w:lineRule="auto"/>
        <w:jc w:val="both"/>
        <w:rPr>
          <w:rFonts w:ascii="Verdana" w:hAnsi="Verdana" w:cs="Calibri"/>
          <w:sz w:val="20"/>
          <w:szCs w:val="20"/>
        </w:rPr>
      </w:pPr>
      <w:r w:rsidRPr="00107CC9">
        <w:rPr>
          <w:rFonts w:ascii="Verdana" w:hAnsi="Verdana" w:cs="Calibri"/>
          <w:sz w:val="20"/>
          <w:szCs w:val="20"/>
        </w:rPr>
        <w:t xml:space="preserve">There has been some degree of turnover in these national and regional agencies, given that many enjoy a considerable amount of public funding and are to some extent dependent on political and economic developments. </w:t>
      </w:r>
      <w:proofErr w:type="spellStart"/>
      <w:r w:rsidRPr="00107CC9">
        <w:rPr>
          <w:rFonts w:ascii="Verdana" w:hAnsi="Verdana" w:cs="Calibri"/>
          <w:sz w:val="20"/>
          <w:szCs w:val="20"/>
        </w:rPr>
        <w:t>Nuffic</w:t>
      </w:r>
      <w:proofErr w:type="spellEnd"/>
      <w:r w:rsidRPr="00107CC9">
        <w:rPr>
          <w:rStyle w:val="FootnoteReference"/>
          <w:rFonts w:ascii="Verdana" w:hAnsi="Verdana" w:cs="Calibri"/>
          <w:sz w:val="20"/>
          <w:szCs w:val="20"/>
        </w:rPr>
        <w:footnoteReference w:id="28"/>
      </w:r>
      <w:r w:rsidRPr="00107CC9">
        <w:rPr>
          <w:rFonts w:ascii="Verdana" w:hAnsi="Verdana" w:cs="Calibri"/>
          <w:sz w:val="20"/>
          <w:szCs w:val="20"/>
        </w:rPr>
        <w:t xml:space="preserve">, in the Netherlands, for example, has experienced considerable budget cuts in the past two years, and closed several of its overseas offices (“NESOs”). Regardless, the interest in national and regional promotion of HE sectors has not diminished. Some current examples are provided below by the BFUG. </w:t>
      </w:r>
    </w:p>
    <w:p w:rsidR="00A75E62" w:rsidRPr="00107CC9" w:rsidRDefault="00A75E62" w:rsidP="00A75E62">
      <w:pPr>
        <w:spacing w:line="240" w:lineRule="auto"/>
        <w:jc w:val="both"/>
        <w:rPr>
          <w:rFonts w:ascii="Verdana" w:hAnsi="Verdana" w:cs="Calibri"/>
          <w:sz w:val="20"/>
          <w:szCs w:val="20"/>
        </w:rPr>
      </w:pPr>
      <w:r w:rsidRPr="00107CC9">
        <w:rPr>
          <w:rFonts w:ascii="Verdana" w:hAnsi="Verdana" w:cs="Calibri"/>
          <w:sz w:val="20"/>
          <w:szCs w:val="20"/>
        </w:rPr>
        <w:t>While national, regional and even city-level</w:t>
      </w:r>
      <w:r w:rsidRPr="00107CC9">
        <w:rPr>
          <w:rStyle w:val="FootnoteReference"/>
          <w:rFonts w:ascii="Verdana" w:hAnsi="Verdana" w:cs="Calibri"/>
          <w:sz w:val="20"/>
          <w:szCs w:val="20"/>
        </w:rPr>
        <w:footnoteReference w:id="29"/>
      </w:r>
      <w:r w:rsidRPr="00107CC9">
        <w:rPr>
          <w:rFonts w:ascii="Verdana" w:hAnsi="Verdana" w:cs="Calibri"/>
          <w:sz w:val="20"/>
          <w:szCs w:val="20"/>
        </w:rPr>
        <w:t xml:space="preserve"> campaigns are platforms for promotion, higher education institutions develop their own brands and recruit/promote internationally through various channels. More resourced institutions open their own offices abroad and/or work with recruitment agents. Others have established overseas </w:t>
      </w:r>
      <w:proofErr w:type="spellStart"/>
      <w:r w:rsidRPr="00107CC9">
        <w:rPr>
          <w:rFonts w:ascii="Verdana" w:hAnsi="Verdana" w:cs="Calibri"/>
          <w:sz w:val="20"/>
          <w:szCs w:val="20"/>
        </w:rPr>
        <w:t>centres</w:t>
      </w:r>
      <w:proofErr w:type="spellEnd"/>
      <w:r w:rsidRPr="00107CC9">
        <w:rPr>
          <w:rFonts w:ascii="Verdana" w:hAnsi="Verdana" w:cs="Calibri"/>
          <w:sz w:val="20"/>
          <w:szCs w:val="20"/>
        </w:rPr>
        <w:t xml:space="preserve"> or even campuses (which are rapidly evolving in terms of their nature and financial model), and still others are </w:t>
      </w:r>
      <w:r w:rsidRPr="00107CC9">
        <w:rPr>
          <w:rFonts w:ascii="Verdana" w:hAnsi="Verdana" w:cs="Calibri"/>
          <w:sz w:val="20"/>
          <w:szCs w:val="20"/>
        </w:rPr>
        <w:lastRenderedPageBreak/>
        <w:t>starting to provide free online courses (MOOCs) for international students</w:t>
      </w:r>
      <w:r w:rsidRPr="00107CC9">
        <w:rPr>
          <w:rStyle w:val="FootnoteReference"/>
          <w:rFonts w:ascii="Verdana" w:hAnsi="Verdana" w:cs="Calibri"/>
          <w:sz w:val="20"/>
          <w:szCs w:val="20"/>
        </w:rPr>
        <w:footnoteReference w:id="30"/>
      </w:r>
      <w:r w:rsidRPr="00107CC9">
        <w:rPr>
          <w:rFonts w:ascii="Verdana" w:hAnsi="Verdana" w:cs="Calibri"/>
          <w:sz w:val="20"/>
          <w:szCs w:val="20"/>
        </w:rPr>
        <w:t>. Nonetheless, regional and national promotion is still a significant way of achieving economies of scale and international visibility when it comes to HEIs, however. The Annual EAIE Conference</w:t>
      </w:r>
      <w:r w:rsidRPr="00107CC9">
        <w:rPr>
          <w:rStyle w:val="FootnoteReference"/>
          <w:rFonts w:ascii="Verdana" w:hAnsi="Verdana" w:cs="Calibri"/>
          <w:sz w:val="20"/>
          <w:szCs w:val="20"/>
        </w:rPr>
        <w:footnoteReference w:id="31"/>
      </w:r>
      <w:r w:rsidRPr="00107CC9">
        <w:rPr>
          <w:rFonts w:ascii="Verdana" w:hAnsi="Verdana" w:cs="Calibri"/>
          <w:sz w:val="20"/>
          <w:szCs w:val="20"/>
        </w:rPr>
        <w:t>, for example, once a distinctly European initiative, is now a meeting place for universities worldwide and a forum for institutional partnership development and promotion. Universities often choose to feature their institution in a stand at a country ‘</w:t>
      </w:r>
      <w:proofErr w:type="spellStart"/>
      <w:r w:rsidRPr="00107CC9">
        <w:rPr>
          <w:rFonts w:ascii="Verdana" w:hAnsi="Verdana" w:cs="Calibri"/>
          <w:sz w:val="20"/>
          <w:szCs w:val="20"/>
        </w:rPr>
        <w:t>pavillion</w:t>
      </w:r>
      <w:proofErr w:type="spellEnd"/>
      <w:r w:rsidRPr="00107CC9">
        <w:rPr>
          <w:rFonts w:ascii="Verdana" w:hAnsi="Verdana" w:cs="Calibri"/>
          <w:sz w:val="20"/>
          <w:szCs w:val="20"/>
        </w:rPr>
        <w:t>’ in the expo hall and initiate country-level networking activities. This is particularly true for smaller countries with less global visibility, where collective marketing is deemed more essential. Other universities have grouped themselves to engage certain emerging countries and have developed platforms and initiatives to this effect: BAYLAT</w:t>
      </w:r>
      <w:r w:rsidRPr="00107CC9">
        <w:rPr>
          <w:rStyle w:val="FootnoteReference"/>
          <w:rFonts w:ascii="Verdana" w:hAnsi="Verdana" w:cs="Calibri"/>
          <w:sz w:val="20"/>
          <w:szCs w:val="20"/>
        </w:rPr>
        <w:footnoteReference w:id="32"/>
      </w:r>
      <w:r w:rsidRPr="00107CC9">
        <w:rPr>
          <w:rFonts w:ascii="Verdana" w:hAnsi="Verdana" w:cs="Calibri"/>
          <w:sz w:val="20"/>
          <w:szCs w:val="20"/>
        </w:rPr>
        <w:t xml:space="preserve">, for example, is a Bavarian platform for collaborating with Latin America. </w:t>
      </w:r>
    </w:p>
    <w:p w:rsidR="00A75E62" w:rsidRPr="00107CC9" w:rsidRDefault="00A75E62" w:rsidP="00A75E62">
      <w:pPr>
        <w:spacing w:line="240" w:lineRule="auto"/>
        <w:jc w:val="both"/>
        <w:rPr>
          <w:rFonts w:ascii="Verdana" w:hAnsi="Verdana" w:cs="Calibri"/>
          <w:sz w:val="20"/>
          <w:szCs w:val="20"/>
        </w:rPr>
      </w:pPr>
      <w:r w:rsidRPr="00107CC9">
        <w:rPr>
          <w:rFonts w:ascii="Verdana" w:hAnsi="Verdana" w:cs="Calibri"/>
          <w:sz w:val="20"/>
          <w:szCs w:val="20"/>
        </w:rPr>
        <w:t xml:space="preserve">Relatedly, </w:t>
      </w:r>
      <w:r w:rsidRPr="00107CC9">
        <w:rPr>
          <w:rFonts w:ascii="Verdana" w:hAnsi="Verdana" w:cs="Calibri"/>
          <w:b/>
          <w:sz w:val="20"/>
          <w:szCs w:val="20"/>
        </w:rPr>
        <w:t xml:space="preserve">national and regional study portals </w:t>
      </w:r>
      <w:r w:rsidRPr="00107CC9">
        <w:rPr>
          <w:rFonts w:ascii="Verdana" w:hAnsi="Verdana" w:cs="Calibri"/>
          <w:sz w:val="20"/>
          <w:szCs w:val="20"/>
        </w:rPr>
        <w:t>have continued to evolve and improve</w:t>
      </w:r>
      <w:r w:rsidRPr="00107CC9">
        <w:rPr>
          <w:rStyle w:val="FootnoteReference"/>
          <w:rFonts w:ascii="Verdana" w:hAnsi="Verdana" w:cs="Calibri"/>
          <w:sz w:val="20"/>
          <w:szCs w:val="20"/>
        </w:rPr>
        <w:footnoteReference w:id="33"/>
      </w:r>
      <w:r w:rsidRPr="00107CC9">
        <w:rPr>
          <w:rFonts w:ascii="Verdana" w:hAnsi="Verdana" w:cs="Calibri"/>
          <w:sz w:val="20"/>
          <w:szCs w:val="20"/>
        </w:rPr>
        <w:t xml:space="preserve">. At European level, in addition to ‘Study in Europe’, a number of private </w:t>
      </w:r>
      <w:proofErr w:type="spellStart"/>
      <w:r w:rsidRPr="00107CC9">
        <w:rPr>
          <w:rFonts w:ascii="Verdana" w:hAnsi="Verdana" w:cs="Calibri"/>
          <w:sz w:val="20"/>
          <w:szCs w:val="20"/>
        </w:rPr>
        <w:t>endeavours</w:t>
      </w:r>
      <w:proofErr w:type="spellEnd"/>
      <w:r w:rsidRPr="00107CC9">
        <w:rPr>
          <w:rFonts w:ascii="Verdana" w:hAnsi="Verdana" w:cs="Calibri"/>
          <w:sz w:val="20"/>
          <w:szCs w:val="20"/>
        </w:rPr>
        <w:t xml:space="preserve"> have entered the market, some short-lived whereas others enjoy relatively wide institutional support (Study Portals (http://www.studyportals.eu/), for example, which began as an EU project). The recent M&amp;I WG of the BFUG had taken up this issue in its terms of reference, and developed a proposal for a common check-list of information that national study portal should contain. This has been cross-checked with the revised ECTS User’s Guide, which has also developed a comprehensive list of information that students should know when studying abroad and that HEIs should provide when benefiting from the Erasmus </w:t>
      </w:r>
      <w:proofErr w:type="spellStart"/>
      <w:r w:rsidRPr="00107CC9">
        <w:rPr>
          <w:rFonts w:ascii="Verdana" w:hAnsi="Verdana" w:cs="Calibri"/>
          <w:sz w:val="20"/>
          <w:szCs w:val="20"/>
        </w:rPr>
        <w:t>programme</w:t>
      </w:r>
      <w:proofErr w:type="spellEnd"/>
      <w:r w:rsidRPr="00107CC9">
        <w:rPr>
          <w:rFonts w:ascii="Verdana" w:hAnsi="Verdana" w:cs="Calibri"/>
          <w:sz w:val="20"/>
          <w:szCs w:val="20"/>
        </w:rPr>
        <w:t xml:space="preserve">. Further work will need to be done in the next round of Bologna to promote these initiatives to national promotional agencies and to HEIs. </w:t>
      </w:r>
    </w:p>
    <w:p w:rsidR="00A75E62" w:rsidRPr="00107CC9" w:rsidRDefault="00A75E62" w:rsidP="00A75E62">
      <w:pPr>
        <w:spacing w:line="240" w:lineRule="auto"/>
        <w:jc w:val="both"/>
        <w:rPr>
          <w:rFonts w:ascii="Verdana" w:hAnsi="Verdana" w:cs="Calibri"/>
          <w:sz w:val="20"/>
          <w:szCs w:val="20"/>
        </w:rPr>
      </w:pPr>
      <w:r w:rsidRPr="00107CC9">
        <w:rPr>
          <w:rFonts w:ascii="Verdana" w:hAnsi="Verdana" w:cs="Calibri"/>
          <w:sz w:val="20"/>
          <w:szCs w:val="20"/>
        </w:rPr>
        <w:t xml:space="preserve">Education Fairs also remain a consistent way to raise visibility abroad. The European Commission has funded </w:t>
      </w:r>
      <w:r w:rsidRPr="00107CC9">
        <w:rPr>
          <w:rFonts w:ascii="Verdana" w:hAnsi="Verdana" w:cs="Calibri"/>
          <w:b/>
          <w:sz w:val="20"/>
          <w:szCs w:val="20"/>
        </w:rPr>
        <w:t>‘European Higher Education Fairs</w:t>
      </w:r>
      <w:r w:rsidRPr="00107CC9">
        <w:rPr>
          <w:rFonts w:ascii="Verdana" w:hAnsi="Verdana" w:cs="Calibri"/>
          <w:sz w:val="20"/>
          <w:szCs w:val="20"/>
        </w:rPr>
        <w:t xml:space="preserve"> (EHEFs)’, an initiative that has been carried out since 2005, mainly with the support of agencies like DAAD, Campus France, </w:t>
      </w:r>
      <w:proofErr w:type="spellStart"/>
      <w:r w:rsidRPr="00107CC9">
        <w:rPr>
          <w:rFonts w:ascii="Verdana" w:hAnsi="Verdana" w:cs="Calibri"/>
          <w:sz w:val="20"/>
          <w:szCs w:val="20"/>
        </w:rPr>
        <w:t>Nuffic</w:t>
      </w:r>
      <w:proofErr w:type="spellEnd"/>
      <w:r w:rsidRPr="00107CC9">
        <w:rPr>
          <w:rFonts w:ascii="Verdana" w:hAnsi="Verdana" w:cs="Calibri"/>
          <w:sz w:val="20"/>
          <w:szCs w:val="20"/>
        </w:rPr>
        <w:t xml:space="preserve"> and the British Council. Such fairs provide a ‘European’ umbrella for promotion in different parts of the world, albeit with varying levels of participation of European countries and institutions. EHEFs have had local permutations: ‘</w:t>
      </w:r>
      <w:proofErr w:type="spellStart"/>
      <w:r w:rsidRPr="00107CC9">
        <w:rPr>
          <w:rFonts w:ascii="Verdana" w:hAnsi="Verdana" w:cs="Calibri"/>
          <w:sz w:val="20"/>
          <w:szCs w:val="20"/>
        </w:rPr>
        <w:t>Europogrados</w:t>
      </w:r>
      <w:proofErr w:type="spellEnd"/>
      <w:r w:rsidRPr="00107CC9">
        <w:rPr>
          <w:rFonts w:ascii="Verdana" w:hAnsi="Verdana" w:cs="Calibri"/>
          <w:sz w:val="20"/>
          <w:szCs w:val="20"/>
        </w:rPr>
        <w:t>’</w:t>
      </w:r>
      <w:r w:rsidRPr="00107CC9">
        <w:rPr>
          <w:rStyle w:val="FootnoteReference"/>
          <w:rFonts w:ascii="Verdana" w:hAnsi="Verdana" w:cs="Calibri"/>
          <w:sz w:val="20"/>
          <w:szCs w:val="20"/>
        </w:rPr>
        <w:footnoteReference w:id="34"/>
      </w:r>
      <w:r w:rsidRPr="00107CC9">
        <w:rPr>
          <w:rFonts w:ascii="Verdana" w:hAnsi="Verdana" w:cs="Calibri"/>
          <w:sz w:val="20"/>
          <w:szCs w:val="20"/>
        </w:rPr>
        <w:t xml:space="preserve"> fairs have been branded in a number of Latin American countries and have enjoyed varying support from European Delegations and other foundations and private donors. Further EHEFs have been partially or fully funded by both the Directorate general of Education and Culture of The European Commission and the Directorate for Development Cooperation. </w:t>
      </w:r>
    </w:p>
    <w:p w:rsidR="00A75E62" w:rsidRPr="00107CC9" w:rsidRDefault="00A75E62" w:rsidP="00A75E62">
      <w:pPr>
        <w:spacing w:line="240" w:lineRule="auto"/>
        <w:jc w:val="both"/>
        <w:rPr>
          <w:rFonts w:ascii="Verdana" w:hAnsi="Verdana" w:cs="Calibri"/>
          <w:sz w:val="20"/>
          <w:szCs w:val="20"/>
        </w:rPr>
      </w:pPr>
      <w:r w:rsidRPr="00107CC9">
        <w:rPr>
          <w:rFonts w:ascii="Verdana" w:hAnsi="Verdana" w:cs="Calibri"/>
          <w:sz w:val="20"/>
          <w:szCs w:val="20"/>
        </w:rPr>
        <w:t xml:space="preserve">Beyond portals, study campaigns and fairs, other developments worth noting in the last five years include the steady rise in </w:t>
      </w:r>
      <w:r w:rsidRPr="00107CC9">
        <w:rPr>
          <w:rFonts w:ascii="Verdana" w:hAnsi="Verdana" w:cs="Calibri"/>
          <w:b/>
          <w:sz w:val="20"/>
          <w:szCs w:val="20"/>
        </w:rPr>
        <w:t xml:space="preserve">English language taught </w:t>
      </w:r>
      <w:proofErr w:type="spellStart"/>
      <w:r w:rsidRPr="00107CC9">
        <w:rPr>
          <w:rFonts w:ascii="Verdana" w:hAnsi="Verdana" w:cs="Calibri"/>
          <w:b/>
          <w:sz w:val="20"/>
          <w:szCs w:val="20"/>
        </w:rPr>
        <w:t>programmes</w:t>
      </w:r>
      <w:proofErr w:type="spellEnd"/>
      <w:r w:rsidRPr="00107CC9">
        <w:rPr>
          <w:rStyle w:val="FootnoteReference"/>
          <w:rFonts w:ascii="Verdana" w:hAnsi="Verdana" w:cs="Calibri"/>
          <w:b/>
          <w:sz w:val="20"/>
          <w:szCs w:val="20"/>
        </w:rPr>
        <w:footnoteReference w:id="35"/>
      </w:r>
      <w:r w:rsidRPr="00107CC9">
        <w:rPr>
          <w:rFonts w:ascii="Verdana" w:hAnsi="Verdana" w:cs="Calibri"/>
          <w:sz w:val="20"/>
          <w:szCs w:val="20"/>
        </w:rPr>
        <w:t xml:space="preserve"> and the burgeoning use of </w:t>
      </w:r>
      <w:r w:rsidRPr="00107CC9">
        <w:rPr>
          <w:rFonts w:ascii="Verdana" w:hAnsi="Verdana" w:cs="Calibri"/>
          <w:b/>
          <w:sz w:val="20"/>
          <w:szCs w:val="20"/>
        </w:rPr>
        <w:t xml:space="preserve">social media </w:t>
      </w:r>
      <w:r w:rsidRPr="00107CC9">
        <w:rPr>
          <w:rFonts w:ascii="Verdana" w:hAnsi="Verdana" w:cs="Calibri"/>
          <w:sz w:val="20"/>
          <w:szCs w:val="20"/>
        </w:rPr>
        <w:t xml:space="preserve">by HEI. In addition, the advent of distance learning and particularly of ‘MOOCs’ has also been linked to HE attractiveness. A recent EUA study on e-learning in European Higher Education Institutions found that the majority of respondents </w:t>
      </w:r>
      <w:r w:rsidRPr="00107CC9">
        <w:rPr>
          <w:rFonts w:ascii="Verdana" w:hAnsi="Verdana" w:cs="Calibri"/>
          <w:sz w:val="20"/>
          <w:szCs w:val="20"/>
        </w:rPr>
        <w:lastRenderedPageBreak/>
        <w:t>interested in developing a MOOC cite enhancing attractiveness and reputation globally as a primary motivation</w:t>
      </w:r>
      <w:r w:rsidRPr="00107CC9">
        <w:rPr>
          <w:rStyle w:val="FootnoteReference"/>
          <w:rFonts w:ascii="Verdana" w:hAnsi="Verdana" w:cs="Calibri"/>
          <w:sz w:val="20"/>
          <w:szCs w:val="20"/>
        </w:rPr>
        <w:footnoteReference w:id="36"/>
      </w:r>
      <w:r w:rsidRPr="00107CC9">
        <w:rPr>
          <w:rFonts w:ascii="Verdana" w:hAnsi="Verdana" w:cs="Calibri"/>
          <w:sz w:val="20"/>
          <w:szCs w:val="20"/>
        </w:rPr>
        <w:t xml:space="preserve">. </w:t>
      </w:r>
    </w:p>
    <w:p w:rsidR="00A75E62" w:rsidRPr="00107CC9" w:rsidRDefault="00A75E62" w:rsidP="00A75E62">
      <w:pPr>
        <w:pStyle w:val="ListParagraph"/>
        <w:autoSpaceDE w:val="0"/>
        <w:autoSpaceDN w:val="0"/>
        <w:adjustRightInd w:val="0"/>
        <w:ind w:left="0"/>
        <w:jc w:val="both"/>
        <w:rPr>
          <w:rFonts w:ascii="Verdana" w:hAnsi="Verdana" w:cs="Calibri"/>
          <w:sz w:val="20"/>
          <w:szCs w:val="20"/>
        </w:rPr>
      </w:pPr>
      <w:r w:rsidRPr="00107CC9">
        <w:rPr>
          <w:rFonts w:ascii="Verdana" w:hAnsi="Verdana" w:cs="Calibri"/>
          <w:sz w:val="20"/>
          <w:szCs w:val="20"/>
        </w:rPr>
        <w:t>On the science front, mention should also be made of the EU supported ‘</w:t>
      </w:r>
      <w:r w:rsidRPr="00107CC9">
        <w:rPr>
          <w:rFonts w:ascii="Verdana" w:hAnsi="Verdana" w:cs="Calibri"/>
          <w:b/>
          <w:sz w:val="20"/>
          <w:szCs w:val="20"/>
        </w:rPr>
        <w:t>SFIC</w:t>
      </w:r>
      <w:r w:rsidRPr="00107CC9">
        <w:rPr>
          <w:rFonts w:ascii="Verdana" w:hAnsi="Verdana" w:cs="Calibri"/>
          <w:sz w:val="20"/>
          <w:szCs w:val="20"/>
        </w:rPr>
        <w:t>’ (Strategic Forum for International S&amp;T Cooperation)</w:t>
      </w:r>
      <w:r w:rsidRPr="00107CC9">
        <w:rPr>
          <w:rStyle w:val="FootnoteReference"/>
          <w:rFonts w:ascii="Verdana" w:hAnsi="Verdana" w:cs="Calibri"/>
          <w:sz w:val="20"/>
          <w:szCs w:val="20"/>
        </w:rPr>
        <w:footnoteReference w:id="37"/>
      </w:r>
      <w:r w:rsidRPr="00107CC9">
        <w:rPr>
          <w:rFonts w:ascii="Verdana" w:hAnsi="Verdana" w:cs="Calibri"/>
          <w:sz w:val="20"/>
          <w:szCs w:val="20"/>
        </w:rPr>
        <w:t>, an advisory body to the EU Council and Commission which coordinates the international collaboration of the European Research Area (ERA). It provides opportunities for Member States to join efforts in scientific cooperation with strategic emerging countries and has facilitated several ‘road shows’ for European Science cooperation in target countries.</w:t>
      </w:r>
    </w:p>
    <w:p w:rsidR="00A75E62" w:rsidRPr="00107CC9" w:rsidRDefault="00A75E62" w:rsidP="00A75E62">
      <w:pPr>
        <w:pStyle w:val="ListParagraph"/>
        <w:autoSpaceDE w:val="0"/>
        <w:autoSpaceDN w:val="0"/>
        <w:adjustRightInd w:val="0"/>
        <w:ind w:left="0"/>
        <w:jc w:val="both"/>
        <w:rPr>
          <w:rFonts w:ascii="Verdana" w:hAnsi="Verdana" w:cs="Calibri"/>
          <w:sz w:val="20"/>
          <w:szCs w:val="20"/>
        </w:rPr>
      </w:pPr>
    </w:p>
    <w:p w:rsidR="00A75E62" w:rsidRPr="00107CC9" w:rsidRDefault="00A75E62" w:rsidP="00A75E62">
      <w:pPr>
        <w:pStyle w:val="ListParagraph"/>
        <w:autoSpaceDE w:val="0"/>
        <w:autoSpaceDN w:val="0"/>
        <w:adjustRightInd w:val="0"/>
        <w:ind w:left="0"/>
        <w:jc w:val="both"/>
        <w:rPr>
          <w:rFonts w:ascii="Verdana" w:hAnsi="Verdana" w:cs="Calibri"/>
          <w:i/>
          <w:sz w:val="20"/>
          <w:szCs w:val="20"/>
          <w:u w:val="single"/>
        </w:rPr>
      </w:pPr>
      <w:r w:rsidRPr="00107CC9">
        <w:rPr>
          <w:rFonts w:ascii="Verdana" w:hAnsi="Verdana" w:cs="Calibri"/>
          <w:i/>
          <w:sz w:val="20"/>
          <w:szCs w:val="20"/>
          <w:u w:val="single"/>
        </w:rPr>
        <w:t>Examples from Bologna countries and stakeholders:</w:t>
      </w:r>
    </w:p>
    <w:p w:rsidR="00A75E62" w:rsidRPr="00107CC9" w:rsidRDefault="00A75E62" w:rsidP="00A75E62">
      <w:pPr>
        <w:pStyle w:val="ListParagraph"/>
        <w:autoSpaceDE w:val="0"/>
        <w:autoSpaceDN w:val="0"/>
        <w:adjustRightInd w:val="0"/>
        <w:ind w:left="0"/>
        <w:jc w:val="both"/>
        <w:rPr>
          <w:rFonts w:ascii="Verdana" w:hAnsi="Verdana" w:cs="Calibri"/>
          <w:i/>
          <w:sz w:val="20"/>
          <w:szCs w:val="20"/>
        </w:rPr>
      </w:pPr>
    </w:p>
    <w:p w:rsidR="00A75E62" w:rsidRPr="00107CC9" w:rsidRDefault="00A75E62" w:rsidP="00A75E62">
      <w:pPr>
        <w:spacing w:line="240" w:lineRule="auto"/>
        <w:jc w:val="both"/>
        <w:rPr>
          <w:rFonts w:ascii="Verdana" w:hAnsi="Verdana" w:cs="Calibri"/>
          <w:i/>
          <w:sz w:val="20"/>
          <w:szCs w:val="20"/>
        </w:rPr>
      </w:pPr>
      <w:r w:rsidRPr="00107CC9">
        <w:rPr>
          <w:rFonts w:ascii="Verdana" w:hAnsi="Verdana" w:cs="Calibri"/>
          <w:b/>
          <w:i/>
          <w:sz w:val="20"/>
          <w:szCs w:val="20"/>
          <w:highlight w:val="lightGray"/>
        </w:rPr>
        <w:t xml:space="preserve">European Commission: </w:t>
      </w:r>
      <w:r w:rsidRPr="00107CC9">
        <w:rPr>
          <w:rFonts w:ascii="Verdana" w:hAnsi="Verdana" w:cs="Calibri"/>
          <w:i/>
          <w:sz w:val="20"/>
          <w:szCs w:val="20"/>
          <w:highlight w:val="lightGray"/>
        </w:rPr>
        <w:t xml:space="preserve">The European Union has financed a number of projects aimed at enhancing the attractiveness of Europe as a study destination, notably through its Erasmus Mundus </w:t>
      </w:r>
      <w:proofErr w:type="spellStart"/>
      <w:r w:rsidRPr="00107CC9">
        <w:rPr>
          <w:rFonts w:ascii="Verdana" w:hAnsi="Verdana" w:cs="Calibri"/>
          <w:i/>
          <w:sz w:val="20"/>
          <w:szCs w:val="20"/>
          <w:highlight w:val="lightGray"/>
        </w:rPr>
        <w:t>programme</w:t>
      </w:r>
      <w:proofErr w:type="spellEnd"/>
      <w:r w:rsidRPr="00107CC9">
        <w:rPr>
          <w:rFonts w:ascii="Verdana" w:hAnsi="Verdana" w:cs="Calibri"/>
          <w:i/>
          <w:sz w:val="20"/>
          <w:szCs w:val="20"/>
          <w:highlight w:val="lightGray"/>
        </w:rPr>
        <w:t xml:space="preserve">. </w:t>
      </w:r>
      <w:r w:rsidRPr="00107CC9">
        <w:rPr>
          <w:rFonts w:ascii="Verdana" w:hAnsi="Verdana"/>
          <w:i/>
          <w:sz w:val="20"/>
          <w:szCs w:val="20"/>
          <w:highlight w:val="lightGray"/>
        </w:rPr>
        <w:t xml:space="preserve">The Erasmus Mundus joint </w:t>
      </w:r>
      <w:proofErr w:type="spellStart"/>
      <w:r w:rsidRPr="00107CC9">
        <w:rPr>
          <w:rFonts w:ascii="Verdana" w:hAnsi="Verdana"/>
          <w:i/>
          <w:sz w:val="20"/>
          <w:szCs w:val="20"/>
          <w:highlight w:val="lightGray"/>
        </w:rPr>
        <w:t>programmes</w:t>
      </w:r>
      <w:proofErr w:type="spellEnd"/>
      <w:r w:rsidRPr="00107CC9">
        <w:rPr>
          <w:rFonts w:ascii="Verdana" w:hAnsi="Verdana"/>
          <w:i/>
          <w:sz w:val="20"/>
          <w:szCs w:val="20"/>
          <w:highlight w:val="lightGray"/>
        </w:rPr>
        <w:t xml:space="preserve"> on master and doctoral level have enabled consortia of Higher Education Institutions to offer high quality joint </w:t>
      </w:r>
      <w:proofErr w:type="spellStart"/>
      <w:r w:rsidRPr="00107CC9">
        <w:rPr>
          <w:rFonts w:ascii="Verdana" w:hAnsi="Verdana"/>
          <w:i/>
          <w:sz w:val="20"/>
          <w:szCs w:val="20"/>
          <w:highlight w:val="lightGray"/>
        </w:rPr>
        <w:t>programmes</w:t>
      </w:r>
      <w:proofErr w:type="spellEnd"/>
      <w:r w:rsidRPr="00107CC9">
        <w:rPr>
          <w:rFonts w:ascii="Verdana" w:hAnsi="Verdana"/>
          <w:i/>
          <w:sz w:val="20"/>
          <w:szCs w:val="20"/>
          <w:highlight w:val="lightGray"/>
        </w:rPr>
        <w:t xml:space="preserve"> to students and staff from both inside and outside of the EHEA -   so far some 16,000 excellent students, 1,000 doctoral candidates, and 3,000 academic staff from all over the world have been awarded EU-funded scholarships to take part. An </w:t>
      </w:r>
      <w:r w:rsidRPr="00107CC9">
        <w:rPr>
          <w:rFonts w:ascii="Verdana" w:hAnsi="Verdana"/>
          <w:b/>
          <w:i/>
          <w:sz w:val="20"/>
          <w:szCs w:val="20"/>
          <w:highlight w:val="lightGray"/>
        </w:rPr>
        <w:t xml:space="preserve">alumni </w:t>
      </w:r>
      <w:proofErr w:type="spellStart"/>
      <w:r w:rsidRPr="00107CC9">
        <w:rPr>
          <w:rFonts w:ascii="Verdana" w:hAnsi="Verdana"/>
          <w:b/>
          <w:i/>
          <w:sz w:val="20"/>
          <w:szCs w:val="20"/>
          <w:highlight w:val="lightGray"/>
        </w:rPr>
        <w:t>organisation</w:t>
      </w:r>
      <w:proofErr w:type="spellEnd"/>
      <w:r w:rsidRPr="00107CC9">
        <w:rPr>
          <w:rFonts w:ascii="Verdana" w:hAnsi="Verdana"/>
          <w:i/>
          <w:sz w:val="20"/>
          <w:szCs w:val="20"/>
          <w:highlight w:val="lightGray"/>
        </w:rPr>
        <w:t xml:space="preserve"> was created in 2006, one of the main outcomes has been a large network that support the promotion of the </w:t>
      </w:r>
      <w:proofErr w:type="spellStart"/>
      <w:r w:rsidRPr="00107CC9">
        <w:rPr>
          <w:rFonts w:ascii="Verdana" w:hAnsi="Verdana"/>
          <w:i/>
          <w:sz w:val="20"/>
          <w:szCs w:val="20"/>
          <w:highlight w:val="lightGray"/>
        </w:rPr>
        <w:t>programme</w:t>
      </w:r>
      <w:proofErr w:type="spellEnd"/>
      <w:r w:rsidRPr="00107CC9">
        <w:rPr>
          <w:rFonts w:ascii="Verdana" w:hAnsi="Verdana"/>
          <w:i/>
          <w:sz w:val="20"/>
          <w:szCs w:val="20"/>
          <w:highlight w:val="lightGray"/>
        </w:rPr>
        <w:t xml:space="preserve"> and European higher education worldwide. The joint </w:t>
      </w:r>
      <w:proofErr w:type="spellStart"/>
      <w:r w:rsidRPr="00107CC9">
        <w:rPr>
          <w:rFonts w:ascii="Verdana" w:hAnsi="Verdana"/>
          <w:i/>
          <w:sz w:val="20"/>
          <w:szCs w:val="20"/>
          <w:highlight w:val="lightGray"/>
        </w:rPr>
        <w:t>programmes</w:t>
      </w:r>
      <w:proofErr w:type="spellEnd"/>
      <w:r w:rsidRPr="00107CC9">
        <w:rPr>
          <w:rFonts w:ascii="Verdana" w:hAnsi="Verdana"/>
          <w:i/>
          <w:sz w:val="20"/>
          <w:szCs w:val="20"/>
          <w:highlight w:val="lightGray"/>
        </w:rPr>
        <w:t xml:space="preserve"> continue at the Master's level under Erasmus+, the goal is to award 30000 scholarships until 2020, approximately 75% of these to students from Partner Countries. The consortia themselves must include HEIs from different EU countries, and may include those from other countries.</w:t>
      </w:r>
    </w:p>
    <w:p w:rsidR="00A75E62" w:rsidRPr="00107CC9" w:rsidRDefault="00A75E62" w:rsidP="00A75E62">
      <w:pPr>
        <w:pStyle w:val="PlainText"/>
        <w:jc w:val="both"/>
        <w:rPr>
          <w:rFonts w:ascii="Verdana" w:hAnsi="Verdana"/>
          <w:sz w:val="20"/>
          <w:szCs w:val="20"/>
          <w:lang w:val="en-GB"/>
        </w:rPr>
      </w:pPr>
    </w:p>
    <w:p w:rsidR="00A75E62" w:rsidRPr="00107CC9" w:rsidRDefault="00A75E62" w:rsidP="00A75E62">
      <w:pPr>
        <w:pStyle w:val="ListParagraph"/>
        <w:autoSpaceDE w:val="0"/>
        <w:autoSpaceDN w:val="0"/>
        <w:adjustRightInd w:val="0"/>
        <w:ind w:left="0"/>
        <w:jc w:val="both"/>
        <w:rPr>
          <w:rFonts w:ascii="Verdana" w:hAnsi="Verdana" w:cs="Calibri"/>
          <w:i/>
          <w:sz w:val="20"/>
          <w:szCs w:val="20"/>
          <w:highlight w:val="lightGray"/>
        </w:rPr>
      </w:pPr>
      <w:r w:rsidRPr="00107CC9">
        <w:rPr>
          <w:rFonts w:ascii="Verdana" w:hAnsi="Verdana" w:cs="Calibri"/>
          <w:b/>
          <w:i/>
          <w:sz w:val="20"/>
          <w:szCs w:val="20"/>
          <w:highlight w:val="lightGray"/>
          <w:lang w:val="en-GB"/>
        </w:rPr>
        <w:t>Germany:</w:t>
      </w:r>
      <w:r w:rsidRPr="00107CC9">
        <w:rPr>
          <w:rFonts w:ascii="Verdana" w:hAnsi="Verdana" w:cs="Calibri"/>
          <w:i/>
          <w:sz w:val="20"/>
          <w:szCs w:val="20"/>
          <w:highlight w:val="lightGray"/>
          <w:lang w:val="en-GB"/>
        </w:rPr>
        <w:t xml:space="preserve"> </w:t>
      </w:r>
      <w:r w:rsidRPr="00107CC9">
        <w:rPr>
          <w:rFonts w:ascii="Verdana" w:hAnsi="Verdana" w:cs="Calibri"/>
          <w:i/>
          <w:sz w:val="20"/>
          <w:szCs w:val="20"/>
          <w:highlight w:val="lightGray"/>
        </w:rPr>
        <w:t xml:space="preserve">In 2001 the DAAD and the German Rectors’ Conference (HRK) jointly established GATE Germany, a consortium for international higher education marketing. The consortium actively helps German HEIs to position themselves successfully in the international higher education market and to promote their programs internationally. Higher education institutions profit from the DAAD-network with 15 DAAD offices and 55 information </w:t>
      </w:r>
      <w:proofErr w:type="spellStart"/>
      <w:r w:rsidRPr="00107CC9">
        <w:rPr>
          <w:rFonts w:ascii="Verdana" w:hAnsi="Verdana" w:cs="Calibri"/>
          <w:i/>
          <w:sz w:val="20"/>
          <w:szCs w:val="20"/>
          <w:highlight w:val="lightGray"/>
        </w:rPr>
        <w:t>centres</w:t>
      </w:r>
      <w:proofErr w:type="spellEnd"/>
      <w:r w:rsidRPr="00107CC9">
        <w:rPr>
          <w:rFonts w:ascii="Verdana" w:hAnsi="Verdana" w:cs="Calibri"/>
          <w:i/>
          <w:sz w:val="20"/>
          <w:szCs w:val="20"/>
          <w:highlight w:val="lightGray"/>
        </w:rPr>
        <w:t xml:space="preserve"> around the world. All marketing measures undertaken by GATE-Germany are accompanied by the world-wide image-campaign “Study in Germany – Land of Ideas”. Services include comprehensive support of H.E.I. to professionalize their international marketing (DAAD organizes about 350 events per year, in about 80 countries, in different formats (national, bi-national, European &amp; international). In addition, the </w:t>
      </w:r>
      <w:r w:rsidRPr="00107CC9">
        <w:rPr>
          <w:rFonts w:ascii="Verdana" w:hAnsi="Verdana" w:cs="Calibri"/>
          <w:b/>
          <w:i/>
          <w:sz w:val="20"/>
          <w:szCs w:val="20"/>
          <w:highlight w:val="lightGray"/>
        </w:rPr>
        <w:t>International Student Barometer</w:t>
      </w:r>
      <w:r w:rsidRPr="00107CC9">
        <w:rPr>
          <w:rStyle w:val="FootnoteReference"/>
          <w:rFonts w:ascii="Verdana" w:hAnsi="Verdana" w:cs="Calibri"/>
          <w:b/>
          <w:i/>
          <w:sz w:val="20"/>
          <w:szCs w:val="20"/>
          <w:highlight w:val="lightGray"/>
        </w:rPr>
        <w:footnoteReference w:id="38"/>
      </w:r>
      <w:r w:rsidRPr="00107CC9">
        <w:rPr>
          <w:rFonts w:ascii="Verdana" w:hAnsi="Verdana" w:cs="Calibri"/>
          <w:i/>
          <w:sz w:val="20"/>
          <w:szCs w:val="20"/>
          <w:highlight w:val="lightGray"/>
        </w:rPr>
        <w:t xml:space="preserve"> is the largest study of mobile students and graduate students worldwide and allows the participating HEI comparative insights into the expectations and decisions of this group. </w:t>
      </w:r>
    </w:p>
    <w:p w:rsidR="00A75E62" w:rsidRPr="00107CC9" w:rsidRDefault="00A75E62" w:rsidP="00A75E62">
      <w:pPr>
        <w:pStyle w:val="ListParagraph"/>
        <w:autoSpaceDE w:val="0"/>
        <w:autoSpaceDN w:val="0"/>
        <w:adjustRightInd w:val="0"/>
        <w:ind w:left="0"/>
        <w:jc w:val="both"/>
        <w:rPr>
          <w:rFonts w:ascii="Verdana" w:hAnsi="Verdana" w:cs="Calibri"/>
          <w:i/>
          <w:sz w:val="20"/>
          <w:szCs w:val="20"/>
          <w:highlight w:val="lightGray"/>
        </w:rPr>
      </w:pPr>
      <w:r w:rsidRPr="00107CC9">
        <w:rPr>
          <w:rFonts w:ascii="Verdana" w:hAnsi="Verdana" w:cs="Calibri"/>
          <w:i/>
          <w:sz w:val="20"/>
          <w:szCs w:val="20"/>
          <w:highlight w:val="lightGray"/>
        </w:rPr>
        <w:t xml:space="preserve">In 2009 GATE presented a </w:t>
      </w:r>
      <w:r w:rsidRPr="00107CC9">
        <w:rPr>
          <w:rFonts w:ascii="Verdana" w:hAnsi="Verdana" w:cs="Calibri"/>
          <w:b/>
          <w:i/>
          <w:sz w:val="20"/>
          <w:szCs w:val="20"/>
          <w:highlight w:val="lightGray"/>
        </w:rPr>
        <w:t>Code of Conduct for German HEI regarding international students</w:t>
      </w:r>
      <w:r w:rsidRPr="00107CC9">
        <w:rPr>
          <w:rStyle w:val="FootnoteReference"/>
          <w:rFonts w:ascii="Verdana" w:hAnsi="Verdana" w:cs="Calibri"/>
          <w:b/>
          <w:i/>
          <w:sz w:val="20"/>
          <w:szCs w:val="20"/>
          <w:highlight w:val="lightGray"/>
        </w:rPr>
        <w:footnoteReference w:id="39"/>
      </w:r>
      <w:r w:rsidRPr="00107CC9">
        <w:rPr>
          <w:rFonts w:ascii="Verdana" w:hAnsi="Verdana" w:cs="Calibri"/>
          <w:i/>
          <w:sz w:val="20"/>
          <w:szCs w:val="20"/>
          <w:highlight w:val="lightGray"/>
        </w:rPr>
        <w:t>. The Code aims to ensure that students from abroad receive the quality of support and advice needed when studying in Germany by defining common minimum standards in the fields of information and marketing, admissions, supervision, support and advice, plus follow-up services for international students.</w:t>
      </w:r>
      <w:r w:rsidRPr="00107CC9">
        <w:rPr>
          <w:rFonts w:ascii="Verdana" w:hAnsi="Verdana" w:cs="Calibri"/>
          <w:i/>
          <w:sz w:val="20"/>
          <w:szCs w:val="20"/>
          <w:highlight w:val="lightGray"/>
        </w:rPr>
        <w:br/>
      </w:r>
    </w:p>
    <w:p w:rsidR="00A75E62" w:rsidRPr="00107CC9" w:rsidRDefault="00A75E62" w:rsidP="00A75E62">
      <w:pPr>
        <w:pStyle w:val="ListParagraph"/>
        <w:autoSpaceDE w:val="0"/>
        <w:autoSpaceDN w:val="0"/>
        <w:adjustRightInd w:val="0"/>
        <w:ind w:left="0"/>
        <w:jc w:val="both"/>
        <w:rPr>
          <w:rFonts w:ascii="Verdana" w:hAnsi="Verdana" w:cs="Calibri"/>
          <w:i/>
          <w:sz w:val="20"/>
          <w:szCs w:val="20"/>
        </w:rPr>
      </w:pPr>
      <w:r w:rsidRPr="00107CC9">
        <w:rPr>
          <w:rFonts w:ascii="Verdana" w:hAnsi="Verdana" w:cs="Calibri"/>
          <w:i/>
          <w:sz w:val="20"/>
          <w:szCs w:val="20"/>
          <w:highlight w:val="lightGray"/>
        </w:rPr>
        <w:lastRenderedPageBreak/>
        <w:t xml:space="preserve">Under the brand </w:t>
      </w:r>
      <w:r w:rsidRPr="00107CC9">
        <w:rPr>
          <w:rFonts w:ascii="Verdana" w:hAnsi="Verdana" w:cs="Calibri"/>
          <w:b/>
          <w:i/>
          <w:sz w:val="20"/>
          <w:szCs w:val="20"/>
          <w:highlight w:val="lightGray"/>
        </w:rPr>
        <w:t>"Research in Germany</w:t>
      </w:r>
      <w:r w:rsidRPr="00107CC9">
        <w:rPr>
          <w:rFonts w:ascii="Verdana" w:hAnsi="Verdana" w:cs="Calibri"/>
          <w:i/>
          <w:sz w:val="20"/>
          <w:szCs w:val="20"/>
          <w:highlight w:val="lightGray"/>
        </w:rPr>
        <w:t xml:space="preserve">" several German </w:t>
      </w:r>
      <w:proofErr w:type="spellStart"/>
      <w:r w:rsidRPr="00107CC9">
        <w:rPr>
          <w:rFonts w:ascii="Verdana" w:hAnsi="Verdana" w:cs="Calibri"/>
          <w:i/>
          <w:sz w:val="20"/>
          <w:szCs w:val="20"/>
          <w:highlight w:val="lightGray"/>
        </w:rPr>
        <w:t>organisations</w:t>
      </w:r>
      <w:proofErr w:type="spellEnd"/>
      <w:r w:rsidRPr="00107CC9">
        <w:rPr>
          <w:rFonts w:ascii="Verdana" w:hAnsi="Verdana" w:cs="Calibri"/>
          <w:i/>
          <w:sz w:val="20"/>
          <w:szCs w:val="20"/>
          <w:highlight w:val="lightGray"/>
        </w:rPr>
        <w:t xml:space="preserve">, such as the Alexander von Humboldt Foundation, the German Academic Exchange Service, the German Research Foundation, the </w:t>
      </w:r>
      <w:proofErr w:type="spellStart"/>
      <w:r w:rsidRPr="00107CC9">
        <w:rPr>
          <w:rFonts w:ascii="Verdana" w:hAnsi="Verdana" w:cs="Calibri"/>
          <w:i/>
          <w:sz w:val="20"/>
          <w:szCs w:val="20"/>
          <w:highlight w:val="lightGray"/>
        </w:rPr>
        <w:t>Fraunhofer-Gesellschaft</w:t>
      </w:r>
      <w:proofErr w:type="spellEnd"/>
      <w:r w:rsidRPr="00107CC9">
        <w:rPr>
          <w:rFonts w:ascii="Verdana" w:hAnsi="Verdana" w:cs="Calibri"/>
          <w:i/>
          <w:sz w:val="20"/>
          <w:szCs w:val="20"/>
          <w:highlight w:val="lightGray"/>
        </w:rPr>
        <w:t xml:space="preserve"> and the International Bureau of the BMBF organize communication activities and events to present German innovation and research in key international markets. Some highlights of the activities are: the information portal “Research in Germany”, brochures offering an overview of the research landscape and funding opportunities in German, more than 30 information sessions for young scientists worldwide and presence at international careers fairs for instance in China and the US. Furthermore die DAAD invites every year scientists and administrators to participate in a Science Tour through Germany and hosts a press tours for German and foreign journalists. </w:t>
      </w:r>
    </w:p>
    <w:p w:rsidR="00A75E62" w:rsidRPr="00107CC9" w:rsidRDefault="00A75E62" w:rsidP="00A75E62">
      <w:pPr>
        <w:pStyle w:val="ListParagraph"/>
        <w:autoSpaceDE w:val="0"/>
        <w:autoSpaceDN w:val="0"/>
        <w:adjustRightInd w:val="0"/>
        <w:ind w:left="0"/>
        <w:jc w:val="both"/>
        <w:rPr>
          <w:rFonts w:ascii="Verdana" w:hAnsi="Verdana" w:cs="Calibri"/>
          <w:b/>
          <w:sz w:val="20"/>
          <w:szCs w:val="20"/>
        </w:rPr>
      </w:pPr>
    </w:p>
    <w:p w:rsidR="00A75E62" w:rsidRPr="00107CC9" w:rsidRDefault="00A75E62" w:rsidP="00A75E62">
      <w:pPr>
        <w:pStyle w:val="ListParagraph"/>
        <w:ind w:left="0"/>
        <w:jc w:val="both"/>
        <w:rPr>
          <w:rFonts w:ascii="Verdana" w:hAnsi="Verdana" w:cs="Calibri"/>
          <w:i/>
          <w:sz w:val="20"/>
          <w:szCs w:val="20"/>
          <w:highlight w:val="lightGray"/>
        </w:rPr>
      </w:pPr>
      <w:r w:rsidRPr="00107CC9">
        <w:rPr>
          <w:rFonts w:ascii="Verdana" w:hAnsi="Verdana" w:cs="Calibri"/>
          <w:b/>
          <w:i/>
          <w:sz w:val="20"/>
          <w:szCs w:val="20"/>
          <w:highlight w:val="lightGray"/>
          <w:lang w:val="en-GB"/>
        </w:rPr>
        <w:t>France:</w:t>
      </w:r>
      <w:r w:rsidRPr="00107CC9">
        <w:rPr>
          <w:rFonts w:ascii="Verdana" w:hAnsi="Verdana" w:cs="Calibri"/>
          <w:i/>
          <w:sz w:val="20"/>
          <w:szCs w:val="20"/>
          <w:highlight w:val="lightGray"/>
          <w:lang w:val="en-GB"/>
        </w:rPr>
        <w:t xml:space="preserve"> As of 2010, </w:t>
      </w:r>
      <w:r w:rsidRPr="00107CC9">
        <w:rPr>
          <w:rFonts w:ascii="Verdana" w:hAnsi="Verdana" w:cs="Arial"/>
          <w:i/>
          <w:sz w:val="20"/>
          <w:szCs w:val="20"/>
          <w:highlight w:val="lightGray"/>
        </w:rPr>
        <w:t>the Campus France agency</w:t>
      </w:r>
      <w:r w:rsidRPr="00107CC9">
        <w:rPr>
          <w:rStyle w:val="FootnoteReference"/>
          <w:rFonts w:ascii="Verdana" w:hAnsi="Verdana" w:cs="Arial"/>
          <w:i/>
          <w:sz w:val="20"/>
          <w:szCs w:val="20"/>
          <w:highlight w:val="lightGray"/>
        </w:rPr>
        <w:footnoteReference w:id="40"/>
      </w:r>
      <w:r w:rsidRPr="00107CC9">
        <w:rPr>
          <w:rFonts w:ascii="Verdana" w:hAnsi="Verdana" w:cs="Arial"/>
          <w:i/>
          <w:sz w:val="20"/>
          <w:szCs w:val="20"/>
          <w:highlight w:val="lightGray"/>
        </w:rPr>
        <w:t xml:space="preserve"> is a new public institution, supervised both by the ministry for foreign affairs and by the ministry responsible for higher education and research. It is responsible for promoting French higher education, informing international students on study opportunities and centralizing applications and study visa requests for French HEIs. It is supported by a network involving more than 200 </w:t>
      </w:r>
      <w:proofErr w:type="spellStart"/>
      <w:r w:rsidRPr="00107CC9">
        <w:rPr>
          <w:rFonts w:ascii="Verdana" w:hAnsi="Verdana" w:cs="Arial"/>
          <w:i/>
          <w:sz w:val="20"/>
          <w:szCs w:val="20"/>
          <w:highlight w:val="lightGray"/>
        </w:rPr>
        <w:t>CampusFrance</w:t>
      </w:r>
      <w:proofErr w:type="spellEnd"/>
      <w:r w:rsidRPr="00107CC9">
        <w:rPr>
          <w:rFonts w:ascii="Verdana" w:hAnsi="Verdana" w:cs="Arial"/>
          <w:i/>
          <w:sz w:val="20"/>
          <w:szCs w:val="20"/>
          <w:highlight w:val="lightGray"/>
        </w:rPr>
        <w:t xml:space="preserve"> </w:t>
      </w:r>
      <w:proofErr w:type="spellStart"/>
      <w:r w:rsidRPr="00107CC9">
        <w:rPr>
          <w:rFonts w:ascii="Verdana" w:hAnsi="Verdana" w:cs="Arial"/>
          <w:i/>
          <w:sz w:val="20"/>
          <w:szCs w:val="20"/>
          <w:highlight w:val="lightGray"/>
        </w:rPr>
        <w:t>centres</w:t>
      </w:r>
      <w:proofErr w:type="spellEnd"/>
      <w:r w:rsidRPr="00107CC9">
        <w:rPr>
          <w:rFonts w:ascii="Verdana" w:hAnsi="Verdana" w:cs="Arial"/>
          <w:i/>
          <w:sz w:val="20"/>
          <w:szCs w:val="20"/>
          <w:highlight w:val="lightGray"/>
        </w:rPr>
        <w:t xml:space="preserve"> and platforms abroad; In 2013, 56 promotion events were organized by </w:t>
      </w:r>
      <w:proofErr w:type="spellStart"/>
      <w:r w:rsidRPr="00107CC9">
        <w:rPr>
          <w:rFonts w:ascii="Verdana" w:hAnsi="Verdana" w:cs="Arial"/>
          <w:i/>
          <w:sz w:val="20"/>
          <w:szCs w:val="20"/>
          <w:highlight w:val="lightGray"/>
        </w:rPr>
        <w:t>CampusFrance</w:t>
      </w:r>
      <w:proofErr w:type="spellEnd"/>
      <w:r w:rsidRPr="00107CC9">
        <w:rPr>
          <w:rFonts w:ascii="Verdana" w:hAnsi="Verdana" w:cs="Arial"/>
          <w:i/>
          <w:sz w:val="20"/>
          <w:szCs w:val="20"/>
          <w:highlight w:val="lightGray"/>
        </w:rPr>
        <w:t xml:space="preserve"> round the world in order to further encourage foreign students to come and study in France. Targeted information about France and the assets of the French higher education system is now available on the </w:t>
      </w:r>
      <w:proofErr w:type="spellStart"/>
      <w:r w:rsidRPr="00107CC9">
        <w:rPr>
          <w:rFonts w:ascii="Verdana" w:hAnsi="Verdana" w:cs="Arial"/>
          <w:i/>
          <w:sz w:val="20"/>
          <w:szCs w:val="20"/>
          <w:highlight w:val="lightGray"/>
        </w:rPr>
        <w:t>CampusFrance</w:t>
      </w:r>
      <w:proofErr w:type="spellEnd"/>
      <w:r w:rsidRPr="00107CC9">
        <w:rPr>
          <w:rFonts w:ascii="Verdana" w:hAnsi="Verdana" w:cs="Arial"/>
          <w:i/>
          <w:sz w:val="20"/>
          <w:szCs w:val="20"/>
          <w:highlight w:val="lightGray"/>
        </w:rPr>
        <w:t xml:space="preserve"> website, together with </w:t>
      </w:r>
      <w:r w:rsidRPr="00107CC9">
        <w:rPr>
          <w:rFonts w:ascii="Verdana" w:hAnsi="Verdana"/>
          <w:i/>
          <w:sz w:val="20"/>
          <w:szCs w:val="20"/>
          <w:highlight w:val="lightGray"/>
        </w:rPr>
        <w:t xml:space="preserve">various foreign students’ success stories about their positive learning period in France. </w:t>
      </w:r>
    </w:p>
    <w:p w:rsidR="00A75E62" w:rsidRPr="00107CC9" w:rsidRDefault="00A75E62" w:rsidP="00A75E62">
      <w:pPr>
        <w:autoSpaceDE w:val="0"/>
        <w:autoSpaceDN w:val="0"/>
        <w:adjustRightInd w:val="0"/>
        <w:spacing w:after="0" w:line="240" w:lineRule="auto"/>
        <w:jc w:val="both"/>
        <w:rPr>
          <w:rStyle w:val="Hyperlink"/>
          <w:rFonts w:ascii="Verdana" w:hAnsi="Verdana" w:cs="Calibri"/>
          <w:sz w:val="20"/>
          <w:szCs w:val="20"/>
        </w:rPr>
      </w:pPr>
    </w:p>
    <w:p w:rsidR="00A75E62" w:rsidRPr="00107CC9" w:rsidRDefault="00A75E62" w:rsidP="00A75E62">
      <w:pPr>
        <w:autoSpaceDE w:val="0"/>
        <w:autoSpaceDN w:val="0"/>
        <w:adjustRightInd w:val="0"/>
        <w:spacing w:after="0" w:line="240" w:lineRule="auto"/>
        <w:jc w:val="both"/>
        <w:rPr>
          <w:rStyle w:val="Hyperlink"/>
          <w:rFonts w:ascii="Verdana" w:hAnsi="Verdana" w:cs="Calibri"/>
          <w:sz w:val="20"/>
          <w:szCs w:val="20"/>
        </w:rPr>
      </w:pPr>
    </w:p>
    <w:p w:rsidR="00A75E62" w:rsidRPr="00107CC9" w:rsidRDefault="00A75E62" w:rsidP="00A75E62">
      <w:pPr>
        <w:autoSpaceDE w:val="0"/>
        <w:autoSpaceDN w:val="0"/>
        <w:adjustRightInd w:val="0"/>
        <w:spacing w:after="0" w:line="240" w:lineRule="auto"/>
        <w:jc w:val="both"/>
        <w:rPr>
          <w:rFonts w:ascii="Verdana" w:hAnsi="Verdana" w:cs="Calibri"/>
          <w:b/>
          <w:i/>
          <w:sz w:val="20"/>
          <w:szCs w:val="20"/>
          <w:u w:val="single"/>
        </w:rPr>
      </w:pPr>
      <w:r w:rsidRPr="00107CC9">
        <w:rPr>
          <w:rFonts w:ascii="Verdana" w:hAnsi="Verdana" w:cs="Calibri"/>
          <w:b/>
          <w:i/>
          <w:sz w:val="20"/>
          <w:szCs w:val="20"/>
          <w:highlight w:val="lightGray"/>
          <w:u w:val="single"/>
        </w:rPr>
        <w:t>Austria</w:t>
      </w:r>
      <w:r w:rsidRPr="00107CC9">
        <w:rPr>
          <w:rFonts w:ascii="Verdana" w:hAnsi="Verdana" w:cs="Calibri"/>
          <w:b/>
          <w:i/>
          <w:sz w:val="20"/>
          <w:szCs w:val="20"/>
          <w:highlight w:val="lightGray"/>
        </w:rPr>
        <w:t xml:space="preserve">: </w:t>
      </w:r>
      <w:r w:rsidRPr="00107CC9">
        <w:rPr>
          <w:rFonts w:ascii="Verdana" w:hAnsi="Verdana" w:cs="Calibri"/>
          <w:i/>
          <w:sz w:val="20"/>
          <w:szCs w:val="20"/>
          <w:highlight w:val="lightGray"/>
        </w:rPr>
        <w:t xml:space="preserve">The Austrian HE systems continues to be promoted through the </w:t>
      </w:r>
      <w:proofErr w:type="spellStart"/>
      <w:r w:rsidRPr="00107CC9">
        <w:rPr>
          <w:rFonts w:ascii="Verdana" w:hAnsi="Verdana" w:cs="Calibri"/>
          <w:i/>
          <w:sz w:val="20"/>
          <w:szCs w:val="20"/>
          <w:highlight w:val="lightGray"/>
        </w:rPr>
        <w:t>OeAD</w:t>
      </w:r>
      <w:proofErr w:type="spellEnd"/>
      <w:r w:rsidRPr="00107CC9">
        <w:rPr>
          <w:rFonts w:ascii="Verdana" w:hAnsi="Verdana" w:cs="Calibri"/>
          <w:i/>
          <w:sz w:val="20"/>
          <w:szCs w:val="20"/>
          <w:highlight w:val="lightGray"/>
        </w:rPr>
        <w:t xml:space="preserve"> (The Austrian Agency for </w:t>
      </w:r>
      <w:proofErr w:type="spellStart"/>
      <w:r w:rsidRPr="00107CC9">
        <w:rPr>
          <w:rFonts w:ascii="Verdana" w:hAnsi="Verdana" w:cs="Calibri"/>
          <w:i/>
          <w:sz w:val="20"/>
          <w:szCs w:val="20"/>
          <w:highlight w:val="lightGray"/>
        </w:rPr>
        <w:t>Internayional</w:t>
      </w:r>
      <w:proofErr w:type="spellEnd"/>
      <w:r w:rsidRPr="00107CC9">
        <w:rPr>
          <w:rFonts w:ascii="Verdana" w:hAnsi="Verdana" w:cs="Calibri"/>
          <w:i/>
          <w:sz w:val="20"/>
          <w:szCs w:val="20"/>
          <w:highlight w:val="lightGray"/>
        </w:rPr>
        <w:t xml:space="preserve"> Cooperation), which, in addition to managing EU higher education </w:t>
      </w:r>
      <w:proofErr w:type="spellStart"/>
      <w:r w:rsidRPr="00107CC9">
        <w:rPr>
          <w:rFonts w:ascii="Verdana" w:hAnsi="Verdana" w:cs="Calibri"/>
          <w:i/>
          <w:sz w:val="20"/>
          <w:szCs w:val="20"/>
          <w:highlight w:val="lightGray"/>
        </w:rPr>
        <w:t>programmes</w:t>
      </w:r>
      <w:proofErr w:type="spellEnd"/>
      <w:r w:rsidRPr="00107CC9">
        <w:rPr>
          <w:rFonts w:ascii="Verdana" w:hAnsi="Verdana" w:cs="Calibri"/>
          <w:i/>
          <w:sz w:val="20"/>
          <w:szCs w:val="20"/>
          <w:highlight w:val="lightGray"/>
        </w:rPr>
        <w:t xml:space="preserve">,  carries out a number marketing campaigns and promotional campaigns for the Austrian HE sector. Recently, advances have been made in promoting Austrian scientific opportunities in particular. </w:t>
      </w:r>
      <w:r w:rsidRPr="00107CC9">
        <w:rPr>
          <w:rFonts w:ascii="Verdana" w:hAnsi="Verdana" w:cs="Calibri"/>
          <w:b/>
          <w:i/>
          <w:sz w:val="20"/>
          <w:szCs w:val="20"/>
          <w:highlight w:val="lightGray"/>
          <w:u w:val="single"/>
        </w:rPr>
        <w:t xml:space="preserve"> </w:t>
      </w:r>
      <w:r w:rsidRPr="00107CC9">
        <w:rPr>
          <w:rFonts w:ascii="Verdana" w:hAnsi="Verdana" w:cs="Calibri"/>
          <w:i/>
          <w:sz w:val="20"/>
          <w:szCs w:val="20"/>
          <w:highlight w:val="lightGray"/>
        </w:rPr>
        <w:t xml:space="preserve">Austria has established Offices of Science and Technology in Washington and </w:t>
      </w:r>
      <w:proofErr w:type="spellStart"/>
      <w:r w:rsidRPr="00107CC9">
        <w:rPr>
          <w:rFonts w:ascii="Verdana" w:hAnsi="Verdana" w:cs="Calibri"/>
          <w:i/>
          <w:sz w:val="20"/>
          <w:szCs w:val="20"/>
          <w:highlight w:val="lightGray"/>
        </w:rPr>
        <w:t>Bejing</w:t>
      </w:r>
      <w:proofErr w:type="spellEnd"/>
      <w:r w:rsidRPr="00107CC9">
        <w:rPr>
          <w:rFonts w:ascii="Verdana" w:hAnsi="Verdana" w:cs="Calibri"/>
          <w:i/>
          <w:sz w:val="20"/>
          <w:szCs w:val="20"/>
          <w:highlight w:val="lightGray"/>
        </w:rPr>
        <w:t>, that - in addition to the traditional tasks of Science Diplomacy - offer support to expand and maintain  the network of Austrian researchers in these countries and provide advice and support in initiating and building S &amp; T cooperation between Austrian and partner institutions in the target countries.</w:t>
      </w:r>
    </w:p>
    <w:p w:rsidR="00A75E62" w:rsidRPr="00107CC9" w:rsidRDefault="00A75E62" w:rsidP="00A75E62">
      <w:pPr>
        <w:autoSpaceDE w:val="0"/>
        <w:autoSpaceDN w:val="0"/>
        <w:adjustRightInd w:val="0"/>
        <w:spacing w:after="0" w:line="240" w:lineRule="auto"/>
        <w:jc w:val="both"/>
        <w:rPr>
          <w:rFonts w:ascii="Verdana" w:hAnsi="Verdana" w:cs="Calibri"/>
          <w:color w:val="0000FF"/>
          <w:sz w:val="20"/>
          <w:szCs w:val="20"/>
          <w:u w:val="single"/>
        </w:rPr>
      </w:pPr>
    </w:p>
    <w:p w:rsidR="00A75E62" w:rsidRPr="00107CC9" w:rsidRDefault="00A75E62" w:rsidP="00A75E62">
      <w:pPr>
        <w:pStyle w:val="ListParagraph"/>
        <w:autoSpaceDE w:val="0"/>
        <w:autoSpaceDN w:val="0"/>
        <w:adjustRightInd w:val="0"/>
        <w:ind w:left="0"/>
        <w:jc w:val="both"/>
        <w:rPr>
          <w:rFonts w:ascii="Verdana" w:hAnsi="Verdana" w:cs="Calibri"/>
          <w:i/>
          <w:sz w:val="20"/>
          <w:szCs w:val="20"/>
          <w:u w:val="single"/>
        </w:rPr>
      </w:pPr>
      <w:r w:rsidRPr="00107CC9">
        <w:rPr>
          <w:rFonts w:ascii="Verdana" w:hAnsi="Verdana" w:cs="Calibri"/>
          <w:b/>
          <w:i/>
          <w:sz w:val="20"/>
          <w:szCs w:val="20"/>
          <w:highlight w:val="lightGray"/>
          <w:u w:val="single"/>
        </w:rPr>
        <w:t>Denmark:</w:t>
      </w:r>
      <w:r w:rsidRPr="00107CC9">
        <w:rPr>
          <w:rFonts w:ascii="Verdana" w:hAnsi="Verdana" w:cs="Calibri"/>
          <w:b/>
          <w:i/>
          <w:sz w:val="20"/>
          <w:szCs w:val="20"/>
          <w:highlight w:val="lightGray"/>
        </w:rPr>
        <w:t xml:space="preserve"> </w:t>
      </w:r>
      <w:r w:rsidRPr="00107CC9">
        <w:rPr>
          <w:rFonts w:ascii="Verdana" w:hAnsi="Verdana"/>
          <w:i/>
          <w:sz w:val="20"/>
          <w:szCs w:val="20"/>
          <w:highlight w:val="lightGray"/>
        </w:rPr>
        <w:t xml:space="preserve">The Danish Government has launched a two-part action plan for increased </w:t>
      </w:r>
      <w:proofErr w:type="spellStart"/>
      <w:r w:rsidRPr="00107CC9">
        <w:rPr>
          <w:rFonts w:ascii="Verdana" w:hAnsi="Verdana"/>
          <w:i/>
          <w:sz w:val="20"/>
          <w:szCs w:val="20"/>
          <w:highlight w:val="lightGray"/>
        </w:rPr>
        <w:t>internationalisation</w:t>
      </w:r>
      <w:proofErr w:type="spellEnd"/>
      <w:r w:rsidRPr="00107CC9">
        <w:rPr>
          <w:rFonts w:ascii="Verdana" w:hAnsi="Verdana"/>
          <w:i/>
          <w:sz w:val="20"/>
          <w:szCs w:val="20"/>
          <w:highlight w:val="lightGray"/>
        </w:rPr>
        <w:t xml:space="preserve"> of the higher education institutions in Denmark. The first part</w:t>
      </w:r>
      <w:r w:rsidRPr="00107CC9">
        <w:rPr>
          <w:rStyle w:val="FootnoteReference"/>
          <w:rFonts w:ascii="Verdana" w:hAnsi="Verdana"/>
          <w:i/>
          <w:sz w:val="20"/>
          <w:szCs w:val="20"/>
          <w:highlight w:val="lightGray"/>
        </w:rPr>
        <w:footnoteReference w:id="41"/>
      </w:r>
      <w:r w:rsidRPr="00107CC9">
        <w:rPr>
          <w:rFonts w:ascii="Verdana" w:hAnsi="Verdana"/>
          <w:i/>
          <w:sz w:val="20"/>
          <w:szCs w:val="20"/>
          <w:highlight w:val="lightGray"/>
        </w:rPr>
        <w:t xml:space="preserve"> of the action plan, 'Enhanced insight through global outlook’ launched in June 2013, focuses primarily on the effort to strengthen the international competences of Danish students as well as the international learning environments at Danish higher education institutions. The goal is more students studying abroad, stronger international learning environments and better foreign language skills. To </w:t>
      </w:r>
      <w:proofErr w:type="spellStart"/>
      <w:r w:rsidRPr="00107CC9">
        <w:rPr>
          <w:rFonts w:ascii="Verdana" w:hAnsi="Verdana"/>
          <w:i/>
          <w:sz w:val="20"/>
          <w:szCs w:val="20"/>
          <w:highlight w:val="lightGray"/>
        </w:rPr>
        <w:t>realise</w:t>
      </w:r>
      <w:proofErr w:type="spellEnd"/>
      <w:r w:rsidRPr="00107CC9">
        <w:rPr>
          <w:rFonts w:ascii="Verdana" w:hAnsi="Verdana"/>
          <w:i/>
          <w:sz w:val="20"/>
          <w:szCs w:val="20"/>
          <w:highlight w:val="lightGray"/>
        </w:rPr>
        <w:t xml:space="preserve"> the vision, the first part of the action plan comprises 31 concrete initiatives. The second part of the action plan ‘Denmark – an attractive study destination</w:t>
      </w:r>
      <w:r w:rsidRPr="00107CC9">
        <w:rPr>
          <w:rStyle w:val="FootnoteReference"/>
          <w:rFonts w:ascii="Verdana" w:hAnsi="Verdana"/>
          <w:i/>
          <w:sz w:val="20"/>
          <w:szCs w:val="20"/>
          <w:highlight w:val="lightGray"/>
        </w:rPr>
        <w:footnoteReference w:id="42"/>
      </w:r>
      <w:r w:rsidRPr="00107CC9">
        <w:rPr>
          <w:rFonts w:ascii="Verdana" w:hAnsi="Verdana"/>
          <w:i/>
          <w:sz w:val="20"/>
          <w:szCs w:val="20"/>
          <w:highlight w:val="lightGray"/>
        </w:rPr>
        <w:t xml:space="preserve">’, launched in April 2014, focuses on how Denmark can attract and retain talented international students and create growth and employment in Danish businesses. It is aimed at accomplishing the following objectives by 2020: 1) Denmark must attract the most capable international students (attract a greater numbers of talented, tuition fee paying students, the drop-out rate among international students must be brought </w:t>
      </w:r>
      <w:r w:rsidRPr="00107CC9">
        <w:rPr>
          <w:rFonts w:ascii="Verdana" w:hAnsi="Verdana"/>
          <w:i/>
          <w:sz w:val="20"/>
          <w:szCs w:val="20"/>
          <w:highlight w:val="lightGray"/>
        </w:rPr>
        <w:lastRenderedPageBreak/>
        <w:t>into line with that of Danish students) and 2) International graduates must be retained in Denmark (International graduates who remain in Denmark must have the same employment to population ratio as Danish graduates).</w:t>
      </w:r>
    </w:p>
    <w:p w:rsidR="00A75E62" w:rsidRPr="00107CC9" w:rsidRDefault="00A75E62" w:rsidP="00A75E62">
      <w:pPr>
        <w:pStyle w:val="DokumentOverskrift"/>
        <w:jc w:val="both"/>
        <w:rPr>
          <w:rFonts w:ascii="Verdana" w:hAnsi="Verdana"/>
          <w:b w:val="0"/>
          <w:i/>
          <w:sz w:val="20"/>
        </w:rPr>
      </w:pPr>
      <w:r w:rsidRPr="00107CC9">
        <w:rPr>
          <w:rFonts w:ascii="Verdana" w:hAnsi="Verdana"/>
          <w:b w:val="0"/>
          <w:i/>
          <w:sz w:val="20"/>
          <w:highlight w:val="lightGray"/>
        </w:rPr>
        <w:t xml:space="preserve">As part of this second action plan, the Government has launched a </w:t>
      </w:r>
      <w:r w:rsidRPr="00107CC9">
        <w:rPr>
          <w:rFonts w:ascii="Verdana" w:hAnsi="Verdana"/>
          <w:i/>
          <w:sz w:val="20"/>
          <w:highlight w:val="lightGray"/>
        </w:rPr>
        <w:t>scholarship programme</w:t>
      </w:r>
      <w:r w:rsidRPr="00107CC9">
        <w:rPr>
          <w:rFonts w:ascii="Verdana" w:hAnsi="Verdana"/>
          <w:b w:val="0"/>
          <w:i/>
          <w:sz w:val="20"/>
          <w:highlight w:val="lightGray"/>
        </w:rPr>
        <w:t xml:space="preserve"> to which it will allocate DKK 25 million during 2015-2017. The programme will see 60-65 grants being awarded to particularly talented international students from non-EU/EEA countries. The recipients will also have ties to a Danish company during their education. The programme will be geographically focused at students from non-EU countries where Denmark has established innovation centres. These include Brazil, India, China, South Korea, the USA and also Japan. Furthermore, the second part of the action plan is proposing a number of concrete initiatives to </w:t>
      </w:r>
      <w:r w:rsidRPr="00107CC9">
        <w:rPr>
          <w:rFonts w:ascii="Verdana" w:hAnsi="Verdana"/>
          <w:i/>
          <w:sz w:val="20"/>
          <w:highlight w:val="lightGray"/>
        </w:rPr>
        <w:t>ease the international graduates’ transition to the Danish labour market</w:t>
      </w:r>
      <w:r w:rsidRPr="00107CC9">
        <w:rPr>
          <w:rFonts w:ascii="Verdana" w:hAnsi="Verdana"/>
          <w:b w:val="0"/>
          <w:i/>
          <w:sz w:val="20"/>
          <w:highlight w:val="lightGray"/>
        </w:rPr>
        <w:t>. A new scheme will for instance be set up under which international graduates completing a Danish MA or PhD degree will be able to obtain an establishment card. Holders of establishm</w:t>
      </w:r>
      <w:r w:rsidRPr="00107CC9">
        <w:rPr>
          <w:rFonts w:ascii="Verdana" w:hAnsi="Verdana"/>
          <w:b w:val="0"/>
          <w:sz w:val="20"/>
          <w:highlight w:val="lightGray"/>
        </w:rPr>
        <w:t xml:space="preserve">ent cards are exempt from </w:t>
      </w:r>
      <w:r w:rsidRPr="00107CC9">
        <w:rPr>
          <w:rFonts w:ascii="Verdana" w:hAnsi="Verdana"/>
          <w:b w:val="0"/>
          <w:i/>
          <w:sz w:val="20"/>
          <w:highlight w:val="lightGray"/>
        </w:rPr>
        <w:t>work permit requirements and may also start up their own business.</w:t>
      </w:r>
      <w:r w:rsidRPr="00107CC9">
        <w:rPr>
          <w:rFonts w:ascii="Verdana" w:hAnsi="Verdana"/>
          <w:b w:val="0"/>
          <w:i/>
          <w:sz w:val="20"/>
        </w:rPr>
        <w:t xml:space="preserve"> </w:t>
      </w:r>
    </w:p>
    <w:p w:rsidR="00A75E62" w:rsidRPr="00107CC9" w:rsidRDefault="00A75E62" w:rsidP="00A75E62">
      <w:pPr>
        <w:pStyle w:val="DokumentOverskrift"/>
        <w:jc w:val="both"/>
        <w:rPr>
          <w:rFonts w:ascii="Verdana" w:hAnsi="Verdana"/>
          <w:b w:val="0"/>
          <w:i/>
          <w:sz w:val="20"/>
        </w:rPr>
      </w:pPr>
    </w:p>
    <w:p w:rsidR="00A75E62" w:rsidRPr="00107CC9" w:rsidRDefault="00A75E62" w:rsidP="00A75E62">
      <w:pPr>
        <w:pStyle w:val="DokumentOverskrift"/>
        <w:jc w:val="both"/>
        <w:rPr>
          <w:rFonts w:ascii="Verdana" w:hAnsi="Verdana"/>
          <w:b w:val="0"/>
          <w:i/>
          <w:sz w:val="20"/>
        </w:rPr>
      </w:pPr>
      <w:r w:rsidRPr="00107CC9">
        <w:rPr>
          <w:rFonts w:ascii="Verdana" w:hAnsi="Verdana"/>
          <w:i/>
          <w:sz w:val="20"/>
          <w:highlight w:val="lightGray"/>
          <w:u w:val="single"/>
        </w:rPr>
        <w:t>The Netherlands</w:t>
      </w:r>
      <w:r w:rsidRPr="00107CC9">
        <w:rPr>
          <w:rFonts w:ascii="Verdana" w:hAnsi="Verdana"/>
          <w:b w:val="0"/>
          <w:i/>
          <w:sz w:val="20"/>
          <w:highlight w:val="lightGray"/>
        </w:rPr>
        <w:t xml:space="preserve"> has recently launched its ‘Vision’ on the International Dimension of higher education and VET. This conveys that internationalisation is crucial for the acquisition of knowledge, skills and professional competencies. It is based on the analysis and recommendations of the universities of applied sciences and the Ditch research universities. This vision commits to a scholarship programme of 5 million Euros to attract top talent every year, and will also aim to send 10,000 Dutch students abroad every year. These scholarships will be co-financed by the Dutch institutions. The vision also aims to improve the retention of top talent in the work force, improve information on study opportunities within the Netherlands and for Dutch students to study abroad and facilitate transnational education by easing regulations for delivering programmes abroad. Finally, it targets the internationalisation of the VET sector as an important factor in upscaling certain professions that require an international outlook (tourism, for example) and sets a benchmark for VET student mobility.</w:t>
      </w:r>
      <w:r w:rsidRPr="00107CC9">
        <w:rPr>
          <w:rFonts w:ascii="Verdana" w:hAnsi="Verdana"/>
          <w:b w:val="0"/>
          <w:i/>
          <w:sz w:val="20"/>
        </w:rPr>
        <w:t xml:space="preserve"> </w:t>
      </w:r>
    </w:p>
    <w:p w:rsidR="00A75E62" w:rsidRPr="00107CC9" w:rsidRDefault="00A75E62" w:rsidP="00A75E62">
      <w:pPr>
        <w:pStyle w:val="DokumentOverskrift"/>
        <w:jc w:val="both"/>
        <w:rPr>
          <w:rFonts w:ascii="Verdana" w:hAnsi="Verdana"/>
          <w:b w:val="0"/>
          <w:sz w:val="20"/>
        </w:rPr>
      </w:pPr>
    </w:p>
    <w:p w:rsidR="00A75E62" w:rsidRPr="00107CC9" w:rsidRDefault="00A75E62" w:rsidP="00A75E62">
      <w:pPr>
        <w:widowControl w:val="0"/>
        <w:autoSpaceDE w:val="0"/>
        <w:autoSpaceDN w:val="0"/>
        <w:adjustRightInd w:val="0"/>
        <w:spacing w:line="280" w:lineRule="atLeast"/>
        <w:jc w:val="both"/>
        <w:rPr>
          <w:rFonts w:ascii="Verdana" w:hAnsi="Verdana" w:cs="TimesNewRomanPSMT"/>
          <w:i/>
          <w:color w:val="000000"/>
          <w:sz w:val="20"/>
          <w:szCs w:val="20"/>
          <w:highlight w:val="lightGray"/>
        </w:rPr>
      </w:pPr>
      <w:r w:rsidRPr="00107CC9">
        <w:rPr>
          <w:rFonts w:ascii="Verdana" w:hAnsi="Verdana" w:cs="TimesNewRomanPSMT"/>
          <w:b/>
          <w:i/>
          <w:color w:val="000000"/>
          <w:sz w:val="20"/>
          <w:szCs w:val="20"/>
          <w:highlight w:val="lightGray"/>
          <w:u w:val="single"/>
        </w:rPr>
        <w:t>Ireland</w:t>
      </w:r>
      <w:r w:rsidRPr="00107CC9">
        <w:rPr>
          <w:rFonts w:ascii="Verdana" w:hAnsi="Verdana" w:cs="TimesNewRomanPSMT"/>
          <w:b/>
          <w:i/>
          <w:color w:val="000000"/>
          <w:sz w:val="20"/>
          <w:szCs w:val="20"/>
          <w:highlight w:val="lightGray"/>
        </w:rPr>
        <w:t xml:space="preserve"> </w:t>
      </w:r>
      <w:r w:rsidRPr="00107CC9">
        <w:rPr>
          <w:rFonts w:ascii="Verdana" w:hAnsi="Verdana" w:cs="TimesNewRomanPSMT"/>
          <w:i/>
          <w:color w:val="000000"/>
          <w:sz w:val="20"/>
          <w:szCs w:val="20"/>
          <w:highlight w:val="lightGray"/>
        </w:rPr>
        <w:t>receives</w:t>
      </w:r>
      <w:r w:rsidRPr="00107CC9">
        <w:rPr>
          <w:rFonts w:ascii="Verdana" w:hAnsi="Verdana" w:cs="TimesNewRomanPSMT"/>
          <w:b/>
          <w:i/>
          <w:color w:val="000000"/>
          <w:sz w:val="20"/>
          <w:szCs w:val="20"/>
          <w:highlight w:val="lightGray"/>
        </w:rPr>
        <w:t xml:space="preserve"> </w:t>
      </w:r>
      <w:r w:rsidRPr="00107CC9">
        <w:rPr>
          <w:rFonts w:ascii="Verdana" w:hAnsi="Verdana" w:cs="TimesNewRomanPSMT"/>
          <w:i/>
          <w:color w:val="000000"/>
          <w:sz w:val="20"/>
          <w:szCs w:val="20"/>
          <w:highlight w:val="lightGray"/>
        </w:rPr>
        <w:t xml:space="preserve">international students from over 140 countries comprising approximately 8% of the student population. International mobility supported through a range of scholarship </w:t>
      </w:r>
      <w:proofErr w:type="spellStart"/>
      <w:r w:rsidRPr="00107CC9">
        <w:rPr>
          <w:rFonts w:ascii="Verdana" w:hAnsi="Verdana" w:cs="TimesNewRomanPSMT"/>
          <w:i/>
          <w:color w:val="000000"/>
          <w:sz w:val="20"/>
          <w:szCs w:val="20"/>
          <w:highlight w:val="lightGray"/>
        </w:rPr>
        <w:t>programmes</w:t>
      </w:r>
      <w:proofErr w:type="spellEnd"/>
      <w:r w:rsidRPr="00107CC9">
        <w:rPr>
          <w:rFonts w:ascii="Verdana" w:hAnsi="Verdana" w:cs="TimesNewRomanPSMT"/>
          <w:i/>
          <w:color w:val="000000"/>
          <w:sz w:val="20"/>
          <w:szCs w:val="20"/>
          <w:highlight w:val="lightGray"/>
        </w:rPr>
        <w:t xml:space="preserve">, some of which focus on emerging economies beyond Europe: For example, the Irish Universities Association (IUA) partnered with the Chinese Scholarship Council (CSC) to fund 54 Chinese Ph.D. students to spend a year in an Irish university over a three-year period. In the area of graduate education, the Irish Universities Association (IUA)’s Fourth-Level Ireland portal has raised the profile of Ph.D. provision internationally, along with the Dublin Region Higher Education Alliance (DRHEA)’s Graduate Education project, both of which initiatives were SIF funded. </w:t>
      </w:r>
      <w:proofErr w:type="spellStart"/>
      <w:r w:rsidRPr="00107CC9">
        <w:rPr>
          <w:rFonts w:ascii="Verdana" w:hAnsi="Verdana" w:cs="TimesNewRomanPSMT"/>
          <w:i/>
          <w:color w:val="000000"/>
          <w:sz w:val="20"/>
          <w:szCs w:val="20"/>
          <w:highlight w:val="lightGray"/>
        </w:rPr>
        <w:t>Cognisant</w:t>
      </w:r>
      <w:proofErr w:type="spellEnd"/>
      <w:r w:rsidRPr="00107CC9">
        <w:rPr>
          <w:rFonts w:ascii="Verdana" w:hAnsi="Verdana" w:cs="TimesNewRomanPSMT"/>
          <w:i/>
          <w:color w:val="000000"/>
          <w:sz w:val="20"/>
          <w:szCs w:val="20"/>
          <w:highlight w:val="lightGray"/>
        </w:rPr>
        <w:t xml:space="preserve"> of the fact that ‘Ireland, as a small, open European economy, relies fundamentally on international engagement’, the </w:t>
      </w:r>
      <w:r w:rsidRPr="00107CC9">
        <w:rPr>
          <w:rFonts w:ascii="Verdana" w:hAnsi="Verdana" w:cs="TimesNewRomanPSMT"/>
          <w:b/>
          <w:i/>
          <w:color w:val="000000"/>
          <w:sz w:val="20"/>
          <w:szCs w:val="20"/>
          <w:highlight w:val="lightGray"/>
        </w:rPr>
        <w:t xml:space="preserve">Irish Government’s </w:t>
      </w:r>
      <w:r w:rsidRPr="00107CC9">
        <w:rPr>
          <w:rFonts w:ascii="Verdana" w:hAnsi="Verdana" w:cs="TimesNewRomanPS-ItalicMT"/>
          <w:b/>
          <w:i/>
          <w:iCs/>
          <w:color w:val="000000"/>
          <w:sz w:val="20"/>
          <w:szCs w:val="20"/>
          <w:highlight w:val="lightGray"/>
        </w:rPr>
        <w:t>International Education Strategy 2010–15</w:t>
      </w:r>
      <w:r w:rsidRPr="00107CC9">
        <w:rPr>
          <w:rFonts w:ascii="Verdana" w:hAnsi="Verdana" w:cs="TimesNewRomanPSMT"/>
          <w:i/>
          <w:color w:val="000000"/>
          <w:sz w:val="20"/>
          <w:szCs w:val="20"/>
          <w:highlight w:val="lightGray"/>
        </w:rPr>
        <w:t xml:space="preserve"> outlines a range of targets and ten ‘strategic actions’ to build on these achievements, with the primary objective of ensuring that ‘Ireland will become internationally </w:t>
      </w:r>
      <w:proofErr w:type="spellStart"/>
      <w:r w:rsidRPr="00107CC9">
        <w:rPr>
          <w:rFonts w:ascii="Verdana" w:hAnsi="Verdana" w:cs="TimesNewRomanPSMT"/>
          <w:i/>
          <w:color w:val="000000"/>
          <w:sz w:val="20"/>
          <w:szCs w:val="20"/>
          <w:highlight w:val="lightGray"/>
        </w:rPr>
        <w:t>recognised</w:t>
      </w:r>
      <w:proofErr w:type="spellEnd"/>
      <w:r w:rsidRPr="00107CC9">
        <w:rPr>
          <w:rFonts w:ascii="Verdana" w:hAnsi="Verdana" w:cs="TimesNewRomanPSMT"/>
          <w:i/>
          <w:color w:val="000000"/>
          <w:sz w:val="20"/>
          <w:szCs w:val="20"/>
          <w:highlight w:val="lightGray"/>
        </w:rPr>
        <w:t xml:space="preserve"> and ranked as a world</w:t>
      </w:r>
      <w:r w:rsidRPr="00107CC9">
        <w:rPr>
          <w:rFonts w:ascii="Verdana" w:hAnsi="Verdana" w:cs="TimesNewRomanPSMT"/>
          <w:color w:val="000000"/>
          <w:sz w:val="20"/>
          <w:szCs w:val="20"/>
          <w:highlight w:val="lightGray"/>
        </w:rPr>
        <w:t xml:space="preserve"> </w:t>
      </w:r>
      <w:r w:rsidRPr="00107CC9">
        <w:rPr>
          <w:rFonts w:ascii="Verdana" w:hAnsi="Verdana" w:cs="TimesNewRomanPSMT"/>
          <w:i/>
          <w:color w:val="000000"/>
          <w:sz w:val="20"/>
          <w:szCs w:val="20"/>
          <w:highlight w:val="lightGray"/>
        </w:rPr>
        <w:t xml:space="preserve">leader in the delivery of high-quality international education’. Among the strategic actions are 1) The Education Ireland brand will be redeveloped and national promotion and marketing will be strengthened, 2) Quality will be at the heart of Ireland’s international education offering, 3) Ireland’s visa, immigration and </w:t>
      </w:r>
      <w:proofErr w:type="spellStart"/>
      <w:r w:rsidRPr="00107CC9">
        <w:rPr>
          <w:rFonts w:ascii="Verdana" w:hAnsi="Verdana" w:cs="TimesNewRomanPSMT"/>
          <w:i/>
          <w:color w:val="000000"/>
          <w:sz w:val="20"/>
          <w:szCs w:val="20"/>
          <w:highlight w:val="lightGray"/>
        </w:rPr>
        <w:t>labour</w:t>
      </w:r>
      <w:proofErr w:type="spellEnd"/>
      <w:r w:rsidRPr="00107CC9">
        <w:rPr>
          <w:rFonts w:ascii="Verdana" w:hAnsi="Verdana" w:cs="TimesNewRomanPSMT"/>
          <w:i/>
          <w:color w:val="000000"/>
          <w:sz w:val="20"/>
          <w:szCs w:val="20"/>
          <w:highlight w:val="lightGray"/>
        </w:rPr>
        <w:t xml:space="preserve"> market access policies will be strong and competitive, 4) Outward mobility by Irish staff members and students will be </w:t>
      </w:r>
      <w:r w:rsidRPr="00107CC9">
        <w:rPr>
          <w:rFonts w:ascii="Verdana" w:hAnsi="Verdana" w:cs="TimesNewRomanPSMT"/>
          <w:i/>
          <w:color w:val="000000"/>
          <w:sz w:val="20"/>
          <w:szCs w:val="20"/>
          <w:highlight w:val="lightGray"/>
        </w:rPr>
        <w:lastRenderedPageBreak/>
        <w:t>encouraged 5) North–South and EU co-operation will enhance Ireland’s international education performance.</w:t>
      </w:r>
    </w:p>
    <w:p w:rsidR="00A75E62" w:rsidRPr="00107CC9" w:rsidRDefault="00A75E62" w:rsidP="00A75E62">
      <w:pPr>
        <w:spacing w:line="240" w:lineRule="auto"/>
        <w:jc w:val="both"/>
        <w:rPr>
          <w:rFonts w:ascii="Verdana" w:hAnsi="Verdana"/>
          <w:b/>
          <w:i/>
          <w:sz w:val="20"/>
          <w:szCs w:val="20"/>
          <w:highlight w:val="lightGray"/>
        </w:rPr>
      </w:pPr>
      <w:r w:rsidRPr="00107CC9">
        <w:rPr>
          <w:rFonts w:ascii="Verdana" w:hAnsi="Verdana" w:cs="TimesNewRomanPSMT"/>
          <w:b/>
          <w:i/>
          <w:color w:val="000000"/>
          <w:sz w:val="20"/>
          <w:szCs w:val="20"/>
          <w:highlight w:val="lightGray"/>
          <w:u w:val="single"/>
        </w:rPr>
        <w:t>Lithuania</w:t>
      </w:r>
      <w:r w:rsidRPr="00107CC9">
        <w:rPr>
          <w:rFonts w:ascii="Verdana" w:hAnsi="Verdana" w:cs="TimesNewRomanPSMT"/>
          <w:i/>
          <w:color w:val="000000"/>
          <w:sz w:val="20"/>
          <w:szCs w:val="20"/>
          <w:highlight w:val="lightGray"/>
        </w:rPr>
        <w:t xml:space="preserve"> is increasingly investing in branding itself as a destination for study. Of note, funds for the European Social Funds (ESF) have been </w:t>
      </w:r>
      <w:proofErr w:type="spellStart"/>
      <w:r w:rsidRPr="00107CC9">
        <w:rPr>
          <w:rFonts w:ascii="Verdana" w:hAnsi="Verdana" w:cs="TimesNewRomanPSMT"/>
          <w:i/>
          <w:color w:val="000000"/>
          <w:sz w:val="20"/>
          <w:szCs w:val="20"/>
          <w:highlight w:val="lightGray"/>
        </w:rPr>
        <w:t>commited</w:t>
      </w:r>
      <w:proofErr w:type="spellEnd"/>
      <w:r w:rsidRPr="00107CC9">
        <w:rPr>
          <w:rFonts w:ascii="Verdana" w:hAnsi="Verdana" w:cs="TimesNewRomanPSMT"/>
          <w:i/>
          <w:color w:val="000000"/>
          <w:sz w:val="20"/>
          <w:szCs w:val="20"/>
          <w:highlight w:val="lightGray"/>
        </w:rPr>
        <w:t xml:space="preserve"> to a project</w:t>
      </w:r>
      <w:r w:rsidRPr="00107CC9">
        <w:rPr>
          <w:rFonts w:ascii="Verdana" w:hAnsi="Verdana"/>
          <w:b/>
          <w:i/>
          <w:sz w:val="20"/>
          <w:szCs w:val="20"/>
          <w:highlight w:val="lightGray"/>
        </w:rPr>
        <w:t xml:space="preserve"> “Development of Internationalization of Higher Education” </w:t>
      </w:r>
      <w:r w:rsidRPr="00107CC9">
        <w:rPr>
          <w:rFonts w:ascii="Verdana" w:hAnsi="Verdana"/>
          <w:i/>
          <w:sz w:val="20"/>
          <w:szCs w:val="20"/>
          <w:highlight w:val="lightGray"/>
        </w:rPr>
        <w:t>(September 2010 – June 2015, 6.6 million Euros). This supports the development of a national portal (</w:t>
      </w:r>
      <w:hyperlink r:id="rId23" w:history="1">
        <w:r w:rsidRPr="00107CC9">
          <w:rPr>
            <w:rStyle w:val="Hyperlink"/>
            <w:rFonts w:ascii="Verdana" w:hAnsi="Verdana"/>
            <w:i/>
            <w:sz w:val="20"/>
            <w:szCs w:val="20"/>
            <w:highlight w:val="lightGray"/>
          </w:rPr>
          <w:t>www.studyinlithuania.lt</w:t>
        </w:r>
      </w:hyperlink>
      <w:r w:rsidRPr="00107CC9">
        <w:rPr>
          <w:rFonts w:ascii="Verdana" w:hAnsi="Verdana"/>
          <w:i/>
          <w:sz w:val="20"/>
          <w:szCs w:val="20"/>
          <w:highlight w:val="lightGray"/>
        </w:rPr>
        <w:t xml:space="preserve">), Lithuanian university participation in educational fairs abroad, promotion events for international students, the development of promotional material for studying in Lithuania and additional scholarships for outgoing Erasmus students. </w:t>
      </w:r>
    </w:p>
    <w:p w:rsidR="00A75E62" w:rsidRPr="00107CC9" w:rsidRDefault="00A75E62" w:rsidP="00A75E62">
      <w:pPr>
        <w:spacing w:line="240" w:lineRule="auto"/>
        <w:jc w:val="both"/>
        <w:rPr>
          <w:rFonts w:ascii="Verdana" w:hAnsi="Verdana" w:cs="Calibri"/>
          <w:sz w:val="20"/>
          <w:szCs w:val="20"/>
        </w:rPr>
      </w:pPr>
      <w:r w:rsidRPr="00107CC9">
        <w:rPr>
          <w:rFonts w:ascii="Verdana" w:hAnsi="Verdana" w:cs="Calibri"/>
          <w:sz w:val="20"/>
          <w:szCs w:val="20"/>
        </w:rPr>
        <w:t>It should be noted that in the original Global Setting Strategy, attractiveness and competitiveness is also associated with ‘</w:t>
      </w:r>
      <w:r w:rsidRPr="00107CC9">
        <w:rPr>
          <w:rFonts w:ascii="Verdana" w:hAnsi="Verdana" w:cs="Calibri"/>
          <w:b/>
          <w:sz w:val="20"/>
          <w:szCs w:val="20"/>
        </w:rPr>
        <w:t>facilitating the granting of visas, facilitating social security coverage as well as the granting of work permits of staff</w:t>
      </w:r>
      <w:r w:rsidRPr="00107CC9">
        <w:rPr>
          <w:rFonts w:ascii="Verdana" w:hAnsi="Verdana" w:cs="Calibri"/>
          <w:sz w:val="20"/>
          <w:szCs w:val="20"/>
        </w:rPr>
        <w:t>”… an area not in the remit of ministers of higher education but nonetheless critical in the pursuit of attracting high skilled students and academics. While few advances have been made collectively in this field, some developments are worth mentioning which demonstrate steps in the right direction:</w:t>
      </w:r>
    </w:p>
    <w:p w:rsidR="00A75E62" w:rsidRPr="00107CC9" w:rsidRDefault="00A75E62" w:rsidP="00B07A9D">
      <w:pPr>
        <w:numPr>
          <w:ilvl w:val="0"/>
          <w:numId w:val="39"/>
        </w:numPr>
        <w:spacing w:line="240" w:lineRule="auto"/>
        <w:jc w:val="both"/>
        <w:rPr>
          <w:rFonts w:ascii="Verdana" w:hAnsi="Verdana" w:cs="Calibri"/>
          <w:sz w:val="20"/>
          <w:szCs w:val="20"/>
        </w:rPr>
      </w:pPr>
      <w:r w:rsidRPr="00107CC9">
        <w:rPr>
          <w:rFonts w:ascii="Verdana" w:hAnsi="Verdana" w:cs="Calibri"/>
          <w:sz w:val="20"/>
          <w:szCs w:val="20"/>
        </w:rPr>
        <w:t>The European Scientific Visa</w:t>
      </w:r>
      <w:r w:rsidRPr="00107CC9">
        <w:rPr>
          <w:rStyle w:val="FootnoteReference"/>
          <w:rFonts w:ascii="Verdana" w:hAnsi="Verdana" w:cs="Calibri"/>
          <w:sz w:val="20"/>
          <w:szCs w:val="20"/>
        </w:rPr>
        <w:footnoteReference w:id="43"/>
      </w:r>
      <w:r w:rsidRPr="00107CC9">
        <w:rPr>
          <w:rFonts w:ascii="Verdana" w:hAnsi="Verdana" w:cs="Calibri"/>
          <w:sz w:val="20"/>
          <w:szCs w:val="20"/>
        </w:rPr>
        <w:t xml:space="preserve"> has been officially adopted in 2013. It is </w:t>
      </w:r>
      <w:proofErr w:type="spellStart"/>
      <w:r w:rsidRPr="00107CC9">
        <w:rPr>
          <w:rFonts w:ascii="Verdana" w:hAnsi="Verdana" w:cs="Calibri"/>
          <w:sz w:val="20"/>
          <w:szCs w:val="20"/>
        </w:rPr>
        <w:t>recognised</w:t>
      </w:r>
      <w:proofErr w:type="spellEnd"/>
      <w:r w:rsidRPr="00107CC9">
        <w:rPr>
          <w:rFonts w:ascii="Verdana" w:hAnsi="Verdana" w:cs="Calibri"/>
          <w:sz w:val="20"/>
          <w:szCs w:val="20"/>
        </w:rPr>
        <w:t xml:space="preserve"> in all Schengen states and is intended to facilitate visa procedures for researchers intending to reside in EU countries. Much work still has to be done, however, to promote it and encourage its use.</w:t>
      </w:r>
    </w:p>
    <w:p w:rsidR="00A75E62" w:rsidRPr="00107CC9" w:rsidRDefault="00A75E62" w:rsidP="00B07A9D">
      <w:pPr>
        <w:numPr>
          <w:ilvl w:val="0"/>
          <w:numId w:val="39"/>
        </w:numPr>
        <w:spacing w:line="240" w:lineRule="auto"/>
        <w:jc w:val="both"/>
        <w:rPr>
          <w:rFonts w:ascii="Verdana" w:hAnsi="Verdana" w:cs="Calibri"/>
          <w:sz w:val="20"/>
          <w:szCs w:val="20"/>
        </w:rPr>
      </w:pPr>
      <w:r w:rsidRPr="00107CC9">
        <w:rPr>
          <w:rFonts w:ascii="Verdana" w:hAnsi="Verdana" w:cs="Calibri"/>
          <w:sz w:val="20"/>
          <w:szCs w:val="20"/>
        </w:rPr>
        <w:t xml:space="preserve"> Two notable studies have been done on the portability of grants and loans in higher education in the EU (by Eurydice and ACA)</w:t>
      </w:r>
      <w:r w:rsidRPr="00107CC9">
        <w:rPr>
          <w:rStyle w:val="FootnoteReference"/>
          <w:rFonts w:ascii="Verdana" w:hAnsi="Verdana" w:cs="Calibri"/>
          <w:sz w:val="20"/>
          <w:szCs w:val="20"/>
        </w:rPr>
        <w:footnoteReference w:id="44"/>
      </w:r>
      <w:r w:rsidRPr="00107CC9">
        <w:rPr>
          <w:rFonts w:ascii="Verdana" w:hAnsi="Verdana" w:cs="Calibri"/>
          <w:sz w:val="20"/>
          <w:szCs w:val="20"/>
        </w:rPr>
        <w:t xml:space="preserve">. These studies raise awareness for the extent to which national financial support can be carried over to other HE systems. The NESSIE network, which reports to the M&amp;I WG of the BFUG tracks developments in portability of grants and loans. The M&amp;I WG has subsequently developed a paper encouraging Bologna countries to free up financial student support in the interest of promoting mobility. </w:t>
      </w:r>
    </w:p>
    <w:p w:rsidR="00A75E62" w:rsidRPr="00107CC9" w:rsidRDefault="00A75E62" w:rsidP="00B07A9D">
      <w:pPr>
        <w:numPr>
          <w:ilvl w:val="0"/>
          <w:numId w:val="39"/>
        </w:numPr>
        <w:spacing w:line="240" w:lineRule="auto"/>
        <w:jc w:val="both"/>
        <w:rPr>
          <w:rFonts w:ascii="Verdana" w:hAnsi="Verdana" w:cs="Calibri"/>
          <w:sz w:val="20"/>
          <w:szCs w:val="20"/>
        </w:rPr>
      </w:pPr>
      <w:r w:rsidRPr="00107CC9">
        <w:rPr>
          <w:rFonts w:ascii="Verdana" w:hAnsi="Verdana" w:cs="Calibri"/>
          <w:sz w:val="20"/>
          <w:szCs w:val="20"/>
        </w:rPr>
        <w:t xml:space="preserve">Several countries have made advancements in simplifying visa procedures for international high skilled students staff and researchers. This is often linked to the interest to retain high skilled students in the </w:t>
      </w:r>
      <w:proofErr w:type="spellStart"/>
      <w:r w:rsidRPr="00107CC9">
        <w:rPr>
          <w:rFonts w:ascii="Verdana" w:hAnsi="Verdana" w:cs="Calibri"/>
          <w:sz w:val="20"/>
          <w:szCs w:val="20"/>
        </w:rPr>
        <w:t>labour</w:t>
      </w:r>
      <w:proofErr w:type="spellEnd"/>
      <w:r w:rsidRPr="00107CC9">
        <w:rPr>
          <w:rFonts w:ascii="Verdana" w:hAnsi="Verdana" w:cs="Calibri"/>
          <w:sz w:val="20"/>
          <w:szCs w:val="20"/>
        </w:rPr>
        <w:t xml:space="preserve"> market, for example, upon graduation (The example of </w:t>
      </w:r>
      <w:proofErr w:type="spellStart"/>
      <w:r w:rsidRPr="00107CC9">
        <w:rPr>
          <w:rFonts w:ascii="Verdana" w:hAnsi="Verdana" w:cs="Calibri"/>
          <w:sz w:val="20"/>
          <w:szCs w:val="20"/>
        </w:rPr>
        <w:t>th</w:t>
      </w:r>
      <w:proofErr w:type="spellEnd"/>
      <w:r w:rsidRPr="00107CC9">
        <w:rPr>
          <w:rFonts w:ascii="Verdana" w:hAnsi="Verdana" w:cs="Calibri"/>
          <w:sz w:val="20"/>
          <w:szCs w:val="20"/>
        </w:rPr>
        <w:t xml:space="preserve"> recent Danish strategy is provided in the examples above)</w:t>
      </w:r>
    </w:p>
    <w:p w:rsidR="00A75E62" w:rsidRPr="00107CC9" w:rsidRDefault="00A75E62" w:rsidP="00A75E62">
      <w:pPr>
        <w:widowControl w:val="0"/>
        <w:autoSpaceDE w:val="0"/>
        <w:autoSpaceDN w:val="0"/>
        <w:adjustRightInd w:val="0"/>
        <w:spacing w:line="280" w:lineRule="atLeast"/>
        <w:jc w:val="both"/>
        <w:rPr>
          <w:rFonts w:ascii="Verdana" w:hAnsi="Verdana" w:cs="TimesNewRomanPSMT"/>
          <w:i/>
          <w:color w:val="000000"/>
          <w:sz w:val="20"/>
          <w:szCs w:val="20"/>
        </w:rPr>
      </w:pPr>
    </w:p>
    <w:p w:rsidR="00A75E62" w:rsidRPr="00107CC9" w:rsidRDefault="00A75E62" w:rsidP="00A75E62">
      <w:pPr>
        <w:spacing w:line="240" w:lineRule="auto"/>
        <w:jc w:val="both"/>
        <w:rPr>
          <w:rFonts w:ascii="Verdana" w:hAnsi="Verdana" w:cs="Calibri"/>
          <w:sz w:val="20"/>
          <w:szCs w:val="20"/>
        </w:rPr>
      </w:pPr>
      <w:r w:rsidRPr="00107CC9">
        <w:rPr>
          <w:rFonts w:ascii="Verdana" w:hAnsi="Verdana" w:cs="Calibri"/>
          <w:i/>
          <w:sz w:val="20"/>
          <w:szCs w:val="20"/>
        </w:rPr>
        <w:t>General Remarks:</w:t>
      </w:r>
      <w:r w:rsidRPr="00107CC9">
        <w:rPr>
          <w:rFonts w:ascii="Verdana" w:hAnsi="Verdana" w:cs="Calibri"/>
          <w:sz w:val="20"/>
          <w:szCs w:val="20"/>
        </w:rPr>
        <w:t xml:space="preserve"> </w:t>
      </w:r>
    </w:p>
    <w:p w:rsidR="00A75E62" w:rsidRPr="00107CC9" w:rsidRDefault="00A75E62" w:rsidP="00A75E62">
      <w:pPr>
        <w:spacing w:line="240" w:lineRule="auto"/>
        <w:jc w:val="both"/>
        <w:rPr>
          <w:rFonts w:ascii="Verdana" w:hAnsi="Verdana" w:cs="Calibri"/>
          <w:sz w:val="20"/>
          <w:szCs w:val="20"/>
        </w:rPr>
      </w:pPr>
      <w:r w:rsidRPr="00107CC9">
        <w:rPr>
          <w:rFonts w:ascii="Verdana" w:hAnsi="Verdana" w:cs="Calibri"/>
          <w:sz w:val="20"/>
          <w:szCs w:val="20"/>
        </w:rPr>
        <w:t xml:space="preserve">The need to raise the global profile of European higher education remains a steady imperative, albeit with different national and institutional investments. European national and regional platforms remain important, however, institutions are faced with a growing number of tools and choices by which to profile themselves and raise visibility. It is no surprise that </w:t>
      </w:r>
      <w:r w:rsidRPr="00107CC9">
        <w:rPr>
          <w:rFonts w:ascii="Verdana" w:hAnsi="Verdana" w:cs="Calibri"/>
          <w:b/>
          <w:sz w:val="20"/>
          <w:szCs w:val="20"/>
        </w:rPr>
        <w:t xml:space="preserve">technology and social media </w:t>
      </w:r>
      <w:r w:rsidRPr="00107CC9">
        <w:rPr>
          <w:rFonts w:ascii="Verdana" w:hAnsi="Verdana" w:cs="Calibri"/>
          <w:sz w:val="20"/>
          <w:szCs w:val="20"/>
        </w:rPr>
        <w:t xml:space="preserve">are central to this movement, and have </w:t>
      </w:r>
      <w:r w:rsidRPr="00107CC9">
        <w:rPr>
          <w:rFonts w:ascii="Verdana" w:hAnsi="Verdana" w:cs="Calibri"/>
          <w:sz w:val="20"/>
          <w:szCs w:val="20"/>
        </w:rPr>
        <w:lastRenderedPageBreak/>
        <w:t xml:space="preserve">created a need for institutions to </w:t>
      </w:r>
      <w:proofErr w:type="spellStart"/>
      <w:r w:rsidRPr="00107CC9">
        <w:rPr>
          <w:rFonts w:ascii="Verdana" w:hAnsi="Verdana" w:cs="Calibri"/>
          <w:sz w:val="20"/>
          <w:szCs w:val="20"/>
        </w:rPr>
        <w:t>professionalise</w:t>
      </w:r>
      <w:proofErr w:type="spellEnd"/>
      <w:r w:rsidRPr="00107CC9">
        <w:rPr>
          <w:rFonts w:ascii="Verdana" w:hAnsi="Verdana" w:cs="Calibri"/>
          <w:sz w:val="20"/>
          <w:szCs w:val="20"/>
        </w:rPr>
        <w:t xml:space="preserve"> their ICT infrastructure and digital competency. The possibilities offered by technology in order to advance European </w:t>
      </w:r>
      <w:proofErr w:type="spellStart"/>
      <w:r w:rsidRPr="00107CC9">
        <w:rPr>
          <w:rFonts w:ascii="Verdana" w:hAnsi="Verdana" w:cs="Calibri"/>
          <w:sz w:val="20"/>
          <w:szCs w:val="20"/>
        </w:rPr>
        <w:t>internationalisation</w:t>
      </w:r>
      <w:proofErr w:type="spellEnd"/>
      <w:r w:rsidRPr="00107CC9">
        <w:rPr>
          <w:rFonts w:ascii="Verdana" w:hAnsi="Verdana" w:cs="Calibri"/>
          <w:sz w:val="20"/>
          <w:szCs w:val="20"/>
        </w:rPr>
        <w:t xml:space="preserve"> will be a cross-cutting theme in Erasmus+ </w:t>
      </w:r>
      <w:proofErr w:type="spellStart"/>
      <w:r w:rsidRPr="00107CC9">
        <w:rPr>
          <w:rFonts w:ascii="Verdana" w:hAnsi="Verdana" w:cs="Calibri"/>
          <w:sz w:val="20"/>
          <w:szCs w:val="20"/>
        </w:rPr>
        <w:t>programme</w:t>
      </w:r>
      <w:proofErr w:type="spellEnd"/>
      <w:r w:rsidRPr="00107CC9">
        <w:rPr>
          <w:rFonts w:ascii="Verdana" w:hAnsi="Verdana" w:cs="Calibri"/>
          <w:sz w:val="20"/>
          <w:szCs w:val="20"/>
        </w:rPr>
        <w:t xml:space="preserve"> going forward as well as in a number of national policies and investments. This is an important element to be considered for the Global Setting Strategy in the future. </w:t>
      </w:r>
    </w:p>
    <w:p w:rsidR="00A75E62" w:rsidRPr="00107CC9" w:rsidRDefault="00A75E62" w:rsidP="00A75E62">
      <w:pPr>
        <w:spacing w:line="240" w:lineRule="auto"/>
        <w:jc w:val="both"/>
        <w:rPr>
          <w:rFonts w:ascii="Verdana" w:hAnsi="Verdana" w:cs="Calibri"/>
          <w:sz w:val="20"/>
          <w:szCs w:val="20"/>
        </w:rPr>
      </w:pPr>
      <w:r w:rsidRPr="00107CC9">
        <w:rPr>
          <w:rFonts w:ascii="Verdana" w:hAnsi="Verdana" w:cs="Calibri"/>
          <w:sz w:val="20"/>
          <w:szCs w:val="20"/>
        </w:rPr>
        <w:t xml:space="preserve">The 2009 report on the Global Setting Strategy keenly observes that while there is a trend to use the Bologna Process and its various tools to enhance the attractiveness and competitiveness of national systems, “the focus of these activities lies on individual systems as part of the EHEA and not on the EHEA as such”. </w:t>
      </w:r>
      <w:r w:rsidRPr="00107CC9">
        <w:rPr>
          <w:rFonts w:ascii="Verdana" w:hAnsi="Verdana" w:cs="Calibri"/>
          <w:color w:val="000000"/>
          <w:sz w:val="20"/>
          <w:szCs w:val="20"/>
        </w:rPr>
        <w:t>I</w:t>
      </w:r>
      <w:r w:rsidRPr="00107CC9">
        <w:rPr>
          <w:rFonts w:ascii="Verdana" w:hAnsi="Verdana" w:cs="Calibri"/>
          <w:sz w:val="20"/>
          <w:szCs w:val="20"/>
        </w:rPr>
        <w:t>n order to understand how the EHEA is currently being communicated internationally, the Information and Promotion Network (IPN) Steering Committee conducted a survey in 2011 on whether and how individual signatory states of the EHEA promote the EHEA</w:t>
      </w:r>
      <w:r w:rsidRPr="00107CC9">
        <w:rPr>
          <w:rStyle w:val="FootnoteReference"/>
          <w:rFonts w:ascii="Verdana" w:hAnsi="Verdana" w:cs="Calibri"/>
          <w:sz w:val="20"/>
          <w:szCs w:val="20"/>
        </w:rPr>
        <w:footnoteReference w:id="45"/>
      </w:r>
      <w:r w:rsidRPr="00107CC9">
        <w:rPr>
          <w:rFonts w:ascii="Verdana" w:hAnsi="Verdana" w:cs="Calibri"/>
          <w:sz w:val="20"/>
          <w:szCs w:val="20"/>
        </w:rPr>
        <w:t xml:space="preserve"> as part of their national and institutional marketing activities. Survey respondents came from ministries, universities, and national agencies. The survey found that while aspects of the EHEA (and ‘Europe’ more generally) are considered in some marketing campaigns, they are not explicitly promoted (e.g. the EHEA is often referenced as a backdrop, but specific promotion material on the EHEA is not distributed). </w:t>
      </w:r>
    </w:p>
    <w:p w:rsidR="00A75E62" w:rsidRPr="00107CC9" w:rsidRDefault="00A75E62" w:rsidP="00A75E62">
      <w:pPr>
        <w:spacing w:line="240" w:lineRule="auto"/>
        <w:jc w:val="both"/>
        <w:rPr>
          <w:rFonts w:ascii="Verdana" w:hAnsi="Verdana" w:cs="Calibri"/>
          <w:sz w:val="20"/>
          <w:szCs w:val="20"/>
        </w:rPr>
      </w:pPr>
      <w:r w:rsidRPr="00107CC9">
        <w:rPr>
          <w:rFonts w:ascii="Verdana" w:hAnsi="Verdana" w:cs="Calibri"/>
          <w:sz w:val="20"/>
          <w:szCs w:val="20"/>
        </w:rPr>
        <w:t xml:space="preserve">The question remains </w:t>
      </w:r>
      <w:r w:rsidRPr="00107CC9">
        <w:rPr>
          <w:rFonts w:ascii="Verdana" w:hAnsi="Verdana" w:cs="Calibri"/>
          <w:b/>
          <w:sz w:val="20"/>
          <w:szCs w:val="20"/>
        </w:rPr>
        <w:t>to what extent national campaigns should and need to promote the EHEA</w:t>
      </w:r>
      <w:r w:rsidRPr="00107CC9">
        <w:rPr>
          <w:rFonts w:ascii="Verdana" w:hAnsi="Verdana" w:cs="Calibri"/>
          <w:sz w:val="20"/>
          <w:szCs w:val="20"/>
        </w:rPr>
        <w:t xml:space="preserve">. The perception is that this tends to happen organically in countries where there is an added value in stressing the EHEA umbrella and rather not in countries that have a distinct HE profile without the EHEA context. That said, the specificities of the EHEA, namely the common credit transfer systems, recognition tools such as the Diploma </w:t>
      </w:r>
      <w:proofErr w:type="spellStart"/>
      <w:r w:rsidRPr="00107CC9">
        <w:rPr>
          <w:rFonts w:ascii="Verdana" w:hAnsi="Verdana" w:cs="Calibri"/>
          <w:sz w:val="20"/>
          <w:szCs w:val="20"/>
        </w:rPr>
        <w:t>Suppliment</w:t>
      </w:r>
      <w:proofErr w:type="spellEnd"/>
      <w:r w:rsidRPr="00107CC9">
        <w:rPr>
          <w:rFonts w:ascii="Verdana" w:hAnsi="Verdana" w:cs="Calibri"/>
          <w:sz w:val="20"/>
          <w:szCs w:val="20"/>
        </w:rPr>
        <w:t xml:space="preserve">, common standards for quality assurance, </w:t>
      </w:r>
      <w:proofErr w:type="spellStart"/>
      <w:r w:rsidRPr="00107CC9">
        <w:rPr>
          <w:rFonts w:ascii="Verdana" w:hAnsi="Verdana" w:cs="Calibri"/>
          <w:sz w:val="20"/>
          <w:szCs w:val="20"/>
        </w:rPr>
        <w:t>etc</w:t>
      </w:r>
      <w:proofErr w:type="spellEnd"/>
      <w:r w:rsidRPr="00107CC9">
        <w:rPr>
          <w:rFonts w:ascii="Verdana" w:hAnsi="Verdana" w:cs="Calibri"/>
          <w:sz w:val="20"/>
          <w:szCs w:val="20"/>
        </w:rPr>
        <w:t xml:space="preserve"> should continue to be communicated and promoted as </w:t>
      </w:r>
      <w:r w:rsidRPr="00107CC9">
        <w:rPr>
          <w:rFonts w:ascii="Verdana" w:hAnsi="Verdana" w:cs="Calibri"/>
          <w:i/>
          <w:sz w:val="20"/>
          <w:szCs w:val="20"/>
        </w:rPr>
        <w:t xml:space="preserve">consistently </w:t>
      </w:r>
      <w:r w:rsidRPr="00107CC9">
        <w:rPr>
          <w:rFonts w:ascii="Verdana" w:hAnsi="Verdana" w:cs="Calibri"/>
          <w:sz w:val="20"/>
          <w:szCs w:val="20"/>
        </w:rPr>
        <w:t xml:space="preserve">as possible. Ensuring continuity of international promotion can indeed be supported by the Bologna Process itself; it requires coordination between the ministries, national promotion agencies, HEIs represented through stakeholder </w:t>
      </w:r>
      <w:proofErr w:type="spellStart"/>
      <w:r w:rsidRPr="00107CC9">
        <w:rPr>
          <w:rFonts w:ascii="Verdana" w:hAnsi="Verdana" w:cs="Calibri"/>
          <w:sz w:val="20"/>
          <w:szCs w:val="20"/>
        </w:rPr>
        <w:t>organisations</w:t>
      </w:r>
      <w:proofErr w:type="spellEnd"/>
      <w:r w:rsidRPr="00107CC9">
        <w:rPr>
          <w:rFonts w:ascii="Verdana" w:hAnsi="Verdana" w:cs="Calibri"/>
          <w:sz w:val="20"/>
          <w:szCs w:val="20"/>
        </w:rPr>
        <w:t xml:space="preserve"> and also other networks and associations engaged in </w:t>
      </w:r>
      <w:proofErr w:type="spellStart"/>
      <w:r w:rsidRPr="00107CC9">
        <w:rPr>
          <w:rFonts w:ascii="Verdana" w:hAnsi="Verdana" w:cs="Calibri"/>
          <w:sz w:val="20"/>
          <w:szCs w:val="20"/>
        </w:rPr>
        <w:t>internationalisation</w:t>
      </w:r>
      <w:proofErr w:type="spellEnd"/>
      <w:r w:rsidRPr="00107CC9">
        <w:rPr>
          <w:rFonts w:ascii="Verdana" w:hAnsi="Verdana" w:cs="Calibri"/>
          <w:sz w:val="20"/>
          <w:szCs w:val="20"/>
        </w:rPr>
        <w:t xml:space="preserve">. While the IPN did not succeed as an independent structure, it would be important to encourage the cooperation and communication of national agencies around this issue in the future. It would also be essential to monitor and support countries that do not have </w:t>
      </w:r>
      <w:proofErr w:type="spellStart"/>
      <w:r w:rsidRPr="00107CC9">
        <w:rPr>
          <w:rFonts w:ascii="Verdana" w:hAnsi="Verdana" w:cs="Calibri"/>
          <w:sz w:val="20"/>
          <w:szCs w:val="20"/>
        </w:rPr>
        <w:t>centralised</w:t>
      </w:r>
      <w:proofErr w:type="spellEnd"/>
      <w:r w:rsidRPr="00107CC9">
        <w:rPr>
          <w:rFonts w:ascii="Verdana" w:hAnsi="Verdana" w:cs="Calibri"/>
          <w:sz w:val="20"/>
          <w:szCs w:val="20"/>
        </w:rPr>
        <w:t xml:space="preserve"> HE promotion and/or agencies to support the visibility of their HE sector. Understanding the strategic needs and interests of these countries and their institutions would be a task for both the Bologna Process and future European projects and studies. It would also be important to engage these countries and institutions in EHEA visibility initiatives. This is an area where the </w:t>
      </w:r>
      <w:r w:rsidRPr="00107CC9">
        <w:rPr>
          <w:rFonts w:ascii="Verdana" w:hAnsi="Verdana" w:cs="Calibri"/>
          <w:b/>
          <w:sz w:val="20"/>
          <w:szCs w:val="20"/>
        </w:rPr>
        <w:t>EU/EHEA divide</w:t>
      </w:r>
      <w:r w:rsidRPr="00107CC9">
        <w:rPr>
          <w:rFonts w:ascii="Verdana" w:hAnsi="Verdana" w:cs="Calibri"/>
          <w:sz w:val="20"/>
          <w:szCs w:val="20"/>
        </w:rPr>
        <w:t xml:space="preserve"> may be problematic; EU funded EHEFs, for example, do not include countries in the EHEA beyond the EU. Given that the Bologna Process itself has limited resources, the further development of the ‘European’ umbrella as a marketing platform is dependent on committed resources at the EU level (in the context of EHEFs and other EC financed ‘attractiveness’ projects).</w:t>
      </w:r>
    </w:p>
    <w:p w:rsidR="00A75E62" w:rsidRPr="00107CC9" w:rsidRDefault="00A75E62" w:rsidP="00A75E62">
      <w:pPr>
        <w:spacing w:line="240" w:lineRule="auto"/>
        <w:jc w:val="both"/>
        <w:rPr>
          <w:rFonts w:ascii="Verdana" w:hAnsi="Verdana" w:cs="Calibri"/>
          <w:sz w:val="20"/>
          <w:szCs w:val="20"/>
        </w:rPr>
      </w:pPr>
      <w:r w:rsidRPr="00107CC9">
        <w:rPr>
          <w:rFonts w:ascii="Verdana" w:hAnsi="Verdana" w:cs="Calibri"/>
          <w:sz w:val="20"/>
          <w:szCs w:val="20"/>
        </w:rPr>
        <w:t xml:space="preserve">As a final thought, it must be considered that Europe’s attractiveness is no longer solely dependent on its capacity to reach out and engage other countries and regions. To a large extent, other emerging countries and regions are reaching to Europe (as well as to North America, Asia and to each other) and doing so on their own terms and with their own funds.  This is particularly apparent with the Brazilian Science without Borders </w:t>
      </w:r>
      <w:proofErr w:type="spellStart"/>
      <w:r w:rsidRPr="00107CC9">
        <w:rPr>
          <w:rFonts w:ascii="Verdana" w:hAnsi="Verdana" w:cs="Calibri"/>
          <w:sz w:val="20"/>
          <w:szCs w:val="20"/>
        </w:rPr>
        <w:t>programme</w:t>
      </w:r>
      <w:proofErr w:type="spellEnd"/>
      <w:r w:rsidRPr="00107CC9">
        <w:rPr>
          <w:rFonts w:ascii="Verdana" w:hAnsi="Verdana" w:cs="Calibri"/>
          <w:sz w:val="20"/>
          <w:szCs w:val="20"/>
        </w:rPr>
        <w:t xml:space="preserve"> (</w:t>
      </w:r>
      <w:proofErr w:type="spellStart"/>
      <w:r w:rsidRPr="00107CC9">
        <w:rPr>
          <w:rFonts w:ascii="Verdana" w:hAnsi="Verdana" w:cs="Calibri"/>
          <w:sz w:val="20"/>
          <w:szCs w:val="20"/>
        </w:rPr>
        <w:t>SwB</w:t>
      </w:r>
      <w:proofErr w:type="spellEnd"/>
      <w:r w:rsidRPr="00107CC9">
        <w:rPr>
          <w:rFonts w:ascii="Verdana" w:hAnsi="Verdana" w:cs="Calibri"/>
          <w:sz w:val="20"/>
          <w:szCs w:val="20"/>
        </w:rPr>
        <w:t>)</w:t>
      </w:r>
      <w:r w:rsidRPr="00107CC9">
        <w:rPr>
          <w:rStyle w:val="FootnoteReference"/>
          <w:rFonts w:ascii="Verdana" w:hAnsi="Verdana" w:cs="Calibri"/>
          <w:sz w:val="20"/>
          <w:szCs w:val="20"/>
        </w:rPr>
        <w:footnoteReference w:id="46"/>
      </w:r>
      <w:r w:rsidRPr="00107CC9">
        <w:rPr>
          <w:rFonts w:ascii="Verdana" w:hAnsi="Verdana" w:cs="Calibri"/>
          <w:sz w:val="20"/>
          <w:szCs w:val="20"/>
        </w:rPr>
        <w:t xml:space="preserve">, a large-scale initiative of the Brazilian government to send 100,000 students abroad which has now been renewed with the new mandate of </w:t>
      </w:r>
      <w:proofErr w:type="spellStart"/>
      <w:r w:rsidRPr="00107CC9">
        <w:rPr>
          <w:rFonts w:ascii="Verdana" w:hAnsi="Verdana" w:cs="Calibri"/>
          <w:sz w:val="20"/>
          <w:szCs w:val="20"/>
        </w:rPr>
        <w:t>Dilma</w:t>
      </w:r>
      <w:proofErr w:type="spellEnd"/>
      <w:r w:rsidRPr="00107CC9">
        <w:rPr>
          <w:rFonts w:ascii="Verdana" w:hAnsi="Verdana" w:cs="Calibri"/>
          <w:sz w:val="20"/>
          <w:szCs w:val="20"/>
        </w:rPr>
        <w:t xml:space="preserve"> </w:t>
      </w:r>
      <w:proofErr w:type="spellStart"/>
      <w:r w:rsidRPr="00107CC9">
        <w:rPr>
          <w:rFonts w:ascii="Verdana" w:hAnsi="Verdana" w:cs="Calibri"/>
          <w:sz w:val="20"/>
          <w:szCs w:val="20"/>
        </w:rPr>
        <w:t>Roussef</w:t>
      </w:r>
      <w:proofErr w:type="spellEnd"/>
      <w:r w:rsidRPr="00107CC9">
        <w:rPr>
          <w:rFonts w:ascii="Verdana" w:hAnsi="Verdana" w:cs="Calibri"/>
          <w:sz w:val="20"/>
          <w:szCs w:val="20"/>
        </w:rPr>
        <w:t xml:space="preserve">. In what was an impressive </w:t>
      </w:r>
      <w:proofErr w:type="spellStart"/>
      <w:r w:rsidRPr="00107CC9">
        <w:rPr>
          <w:rFonts w:ascii="Verdana" w:hAnsi="Verdana" w:cs="Calibri"/>
          <w:sz w:val="20"/>
          <w:szCs w:val="20"/>
        </w:rPr>
        <w:t>mobilisation</w:t>
      </w:r>
      <w:proofErr w:type="spellEnd"/>
      <w:r w:rsidRPr="00107CC9">
        <w:rPr>
          <w:rFonts w:ascii="Verdana" w:hAnsi="Verdana" w:cs="Calibri"/>
          <w:sz w:val="20"/>
          <w:szCs w:val="20"/>
        </w:rPr>
        <w:t xml:space="preserve"> of resources, the Brazilian government has since 2011 progressively signed </w:t>
      </w:r>
      <w:r w:rsidRPr="00107CC9">
        <w:rPr>
          <w:rFonts w:ascii="Verdana" w:hAnsi="Verdana" w:cs="Calibri"/>
          <w:sz w:val="20"/>
          <w:szCs w:val="20"/>
        </w:rPr>
        <w:lastRenderedPageBreak/>
        <w:t xml:space="preserve">agreements with different countries all over the world, including most European countries, to send their students abroad for credit mobility at primarily bachelor level and to complete PhDs. This has put Europe to a large extent on the receiving side; the rules of cooperation were dictated by Brazil and each country was left to its own bi-lateral negotiations regarding entry requirements and recognition of qualifications. The fact that the management of </w:t>
      </w:r>
      <w:proofErr w:type="spellStart"/>
      <w:r w:rsidRPr="00107CC9">
        <w:rPr>
          <w:rFonts w:ascii="Verdana" w:hAnsi="Verdana" w:cs="Calibri"/>
          <w:sz w:val="20"/>
          <w:szCs w:val="20"/>
        </w:rPr>
        <w:t>SwB</w:t>
      </w:r>
      <w:proofErr w:type="spellEnd"/>
      <w:r w:rsidRPr="00107CC9">
        <w:rPr>
          <w:rFonts w:ascii="Verdana" w:hAnsi="Verdana" w:cs="Calibri"/>
          <w:sz w:val="20"/>
          <w:szCs w:val="20"/>
        </w:rPr>
        <w:t xml:space="preserve"> has been done in a rather discordant way across Europe countries, based on bi-lateral relations, and that established European mobility tools (like learning agreements, diploma supplement, </w:t>
      </w:r>
      <w:proofErr w:type="spellStart"/>
      <w:r w:rsidRPr="00107CC9">
        <w:rPr>
          <w:rFonts w:ascii="Verdana" w:hAnsi="Verdana" w:cs="Calibri"/>
          <w:sz w:val="20"/>
          <w:szCs w:val="20"/>
        </w:rPr>
        <w:t>etc</w:t>
      </w:r>
      <w:proofErr w:type="spellEnd"/>
      <w:r w:rsidRPr="00107CC9">
        <w:rPr>
          <w:rFonts w:ascii="Verdana" w:hAnsi="Verdana" w:cs="Calibri"/>
          <w:sz w:val="20"/>
          <w:szCs w:val="20"/>
        </w:rPr>
        <w:t xml:space="preserve">) are not always applied, demonstrates the </w:t>
      </w:r>
      <w:r w:rsidRPr="00107CC9">
        <w:rPr>
          <w:rFonts w:ascii="Verdana" w:hAnsi="Verdana" w:cs="Calibri"/>
          <w:b/>
          <w:sz w:val="20"/>
          <w:szCs w:val="20"/>
        </w:rPr>
        <w:t>limitations of the EHEA’s global engagement as a collective partner.</w:t>
      </w:r>
      <w:r w:rsidRPr="00107CC9">
        <w:rPr>
          <w:rFonts w:ascii="Verdana" w:hAnsi="Verdana" w:cs="Calibri"/>
          <w:sz w:val="20"/>
          <w:szCs w:val="20"/>
        </w:rPr>
        <w:t xml:space="preserve"> While such scholarships </w:t>
      </w:r>
      <w:proofErr w:type="spellStart"/>
      <w:r w:rsidRPr="00107CC9">
        <w:rPr>
          <w:rFonts w:ascii="Verdana" w:hAnsi="Verdana" w:cs="Calibri"/>
          <w:sz w:val="20"/>
          <w:szCs w:val="20"/>
        </w:rPr>
        <w:t>programmes</w:t>
      </w:r>
      <w:proofErr w:type="spellEnd"/>
      <w:r w:rsidRPr="00107CC9">
        <w:rPr>
          <w:rFonts w:ascii="Verdana" w:hAnsi="Verdana" w:cs="Calibri"/>
          <w:sz w:val="20"/>
          <w:szCs w:val="20"/>
        </w:rPr>
        <w:t xml:space="preserve"> are clearly more feasibly managed at the national level in Europe at present, it is important that European national agencies and HEIs share practice when it comes to cooperation with emerging countries such as Brazil. There is a need to promote the common agreed tools and standards of the EHEA in their ‘external’ cooperation and even develop common initiatives and projects to this effect</w:t>
      </w:r>
      <w:r w:rsidRPr="00107CC9">
        <w:rPr>
          <w:rStyle w:val="FootnoteReference"/>
          <w:rFonts w:ascii="Verdana" w:hAnsi="Verdana" w:cs="Calibri"/>
          <w:sz w:val="20"/>
          <w:szCs w:val="20"/>
        </w:rPr>
        <w:footnoteReference w:id="47"/>
      </w:r>
      <w:r w:rsidRPr="00107CC9">
        <w:rPr>
          <w:rFonts w:ascii="Verdana" w:hAnsi="Verdana" w:cs="Calibri"/>
          <w:sz w:val="20"/>
          <w:szCs w:val="20"/>
        </w:rPr>
        <w:t xml:space="preserve">.  </w:t>
      </w:r>
    </w:p>
    <w:p w:rsidR="00A75E62" w:rsidRPr="00107CC9" w:rsidRDefault="00A75E62" w:rsidP="00A75E62">
      <w:pPr>
        <w:pStyle w:val="ListParagraph"/>
        <w:autoSpaceDE w:val="0"/>
        <w:autoSpaceDN w:val="0"/>
        <w:adjustRightInd w:val="0"/>
        <w:ind w:left="0"/>
        <w:jc w:val="both"/>
        <w:rPr>
          <w:rFonts w:ascii="Verdana" w:hAnsi="Verdana" w:cs="Calibri"/>
          <w:b/>
          <w:sz w:val="20"/>
          <w:szCs w:val="20"/>
          <w:lang w:val="en-GB"/>
        </w:rPr>
      </w:pPr>
    </w:p>
    <w:p w:rsidR="00A75E62" w:rsidRPr="00107CC9" w:rsidRDefault="00A75E62" w:rsidP="00A75E62">
      <w:pPr>
        <w:pStyle w:val="Heading1"/>
        <w:jc w:val="both"/>
        <w:rPr>
          <w:rFonts w:ascii="Verdana" w:hAnsi="Verdana"/>
          <w:sz w:val="20"/>
          <w:szCs w:val="20"/>
        </w:rPr>
      </w:pPr>
      <w:bookmarkStart w:id="5" w:name="_Toc397091167"/>
      <w:r w:rsidRPr="00107CC9">
        <w:rPr>
          <w:rFonts w:ascii="Verdana" w:hAnsi="Verdana"/>
          <w:sz w:val="20"/>
          <w:szCs w:val="20"/>
        </w:rPr>
        <w:t>Strengthening Cooperation based on Partnership</w:t>
      </w:r>
      <w:bookmarkEnd w:id="5"/>
    </w:p>
    <w:p w:rsidR="00A75E62" w:rsidRPr="00107CC9" w:rsidRDefault="00A75E62" w:rsidP="00A75E62">
      <w:pPr>
        <w:pStyle w:val="ListParagraph"/>
        <w:autoSpaceDE w:val="0"/>
        <w:autoSpaceDN w:val="0"/>
        <w:adjustRightInd w:val="0"/>
        <w:ind w:left="0"/>
        <w:jc w:val="both"/>
        <w:rPr>
          <w:rFonts w:ascii="Verdana" w:hAnsi="Verdana" w:cs="Calibri"/>
          <w:sz w:val="20"/>
          <w:szCs w:val="20"/>
          <w:lang w:val="en-GB"/>
        </w:rPr>
      </w:pPr>
    </w:p>
    <w:p w:rsidR="00A75E62" w:rsidRPr="00107CC9" w:rsidRDefault="00A75E62" w:rsidP="00A75E62">
      <w:pPr>
        <w:spacing w:line="240" w:lineRule="auto"/>
        <w:jc w:val="both"/>
        <w:rPr>
          <w:rFonts w:ascii="Verdana" w:hAnsi="Verdana" w:cs="Calibri"/>
          <w:i/>
          <w:sz w:val="20"/>
          <w:szCs w:val="20"/>
        </w:rPr>
      </w:pPr>
      <w:r w:rsidRPr="00107CC9">
        <w:rPr>
          <w:rFonts w:ascii="Verdana" w:hAnsi="Verdana" w:cs="Calibri"/>
          <w:i/>
          <w:sz w:val="20"/>
          <w:szCs w:val="20"/>
        </w:rPr>
        <w:t xml:space="preserve">“There is a need for enhanced higher education cooperation with non-EHEA countries in a spirit of partnerships and solidarity…this extends to all regions of the world, covering highly developed, emerging and developing countries alike…Cooperation with institutions of higher education in developing countries has and must remain and important task of EHEA countries in order to build capacity in higher education, which is a crucial condition for socio-economic development.” </w:t>
      </w:r>
    </w:p>
    <w:p w:rsidR="00A75E62" w:rsidRPr="00107CC9" w:rsidRDefault="00A75E62" w:rsidP="00A75E62">
      <w:pPr>
        <w:spacing w:line="240" w:lineRule="auto"/>
        <w:jc w:val="both"/>
        <w:rPr>
          <w:rFonts w:ascii="Verdana" w:hAnsi="Verdana" w:cs="Calibri"/>
          <w:i/>
          <w:sz w:val="20"/>
          <w:szCs w:val="20"/>
        </w:rPr>
      </w:pPr>
      <w:r w:rsidRPr="00107CC9">
        <w:rPr>
          <w:rFonts w:ascii="Verdana" w:hAnsi="Verdana" w:cs="Calibri"/>
          <w:i/>
          <w:sz w:val="20"/>
          <w:szCs w:val="20"/>
        </w:rPr>
        <w:t xml:space="preserve">Actions: Measures aimed at institutional development and capacity building, Mobility </w:t>
      </w:r>
      <w:proofErr w:type="spellStart"/>
      <w:r w:rsidRPr="00107CC9">
        <w:rPr>
          <w:rFonts w:ascii="Verdana" w:hAnsi="Verdana" w:cs="Calibri"/>
          <w:i/>
          <w:sz w:val="20"/>
          <w:szCs w:val="20"/>
        </w:rPr>
        <w:t>programmes</w:t>
      </w:r>
      <w:proofErr w:type="spellEnd"/>
      <w:r w:rsidRPr="00107CC9">
        <w:rPr>
          <w:rFonts w:ascii="Verdana" w:hAnsi="Verdana" w:cs="Calibri"/>
          <w:i/>
          <w:sz w:val="20"/>
          <w:szCs w:val="20"/>
        </w:rPr>
        <w:t xml:space="preserve"> between the EHEA and non-EHEA countries, foreign language learning, joint research initiatives</w:t>
      </w:r>
    </w:p>
    <w:p w:rsidR="00A75E62" w:rsidRPr="00107CC9" w:rsidRDefault="00A75E62" w:rsidP="00A75E62">
      <w:pPr>
        <w:spacing w:line="240" w:lineRule="auto"/>
        <w:jc w:val="both"/>
        <w:rPr>
          <w:rFonts w:ascii="Verdana" w:hAnsi="Verdana" w:cs="Calibri"/>
          <w:sz w:val="20"/>
          <w:szCs w:val="20"/>
        </w:rPr>
      </w:pPr>
      <w:r w:rsidRPr="00107CC9">
        <w:rPr>
          <w:rFonts w:ascii="Verdana" w:hAnsi="Verdana" w:cs="Calibri"/>
          <w:sz w:val="20"/>
          <w:szCs w:val="20"/>
        </w:rPr>
        <w:t xml:space="preserve">Strengthening cooperation based on partnership has recently been emphasized in </w:t>
      </w:r>
      <w:proofErr w:type="spellStart"/>
      <w:r w:rsidRPr="00107CC9">
        <w:rPr>
          <w:rFonts w:ascii="Verdana" w:hAnsi="Verdana" w:cs="Calibri"/>
          <w:sz w:val="20"/>
          <w:szCs w:val="20"/>
        </w:rPr>
        <w:t>internationalisation</w:t>
      </w:r>
      <w:proofErr w:type="spellEnd"/>
      <w:r w:rsidRPr="00107CC9">
        <w:rPr>
          <w:rFonts w:ascii="Verdana" w:hAnsi="Verdana" w:cs="Calibri"/>
          <w:sz w:val="20"/>
          <w:szCs w:val="20"/>
        </w:rPr>
        <w:t xml:space="preserve"> strategy development at the EU and national level. It is increasingly seen as an imperative in the attractiveness agenda, for example, but also as crucial means to deliver education and research that is responsive to global development needs and challenges. At the same time, autonomous higher education institutions are widening and deepening their portfolio of partnerships for student and staff exchanges, </w:t>
      </w:r>
      <w:proofErr w:type="spellStart"/>
      <w:r w:rsidRPr="00107CC9">
        <w:rPr>
          <w:rFonts w:ascii="Verdana" w:hAnsi="Verdana" w:cs="Calibri"/>
          <w:sz w:val="20"/>
          <w:szCs w:val="20"/>
        </w:rPr>
        <w:t>programme</w:t>
      </w:r>
      <w:proofErr w:type="spellEnd"/>
      <w:r w:rsidRPr="00107CC9">
        <w:rPr>
          <w:rFonts w:ascii="Verdana" w:hAnsi="Verdana" w:cs="Calibri"/>
          <w:sz w:val="20"/>
          <w:szCs w:val="20"/>
        </w:rPr>
        <w:t xml:space="preserve"> delivery, joint research and even international industry cooperation. Higher education </w:t>
      </w:r>
      <w:proofErr w:type="spellStart"/>
      <w:r w:rsidRPr="00107CC9">
        <w:rPr>
          <w:rFonts w:ascii="Verdana" w:hAnsi="Verdana" w:cs="Calibri"/>
          <w:sz w:val="20"/>
          <w:szCs w:val="20"/>
        </w:rPr>
        <w:t>organisations</w:t>
      </w:r>
      <w:proofErr w:type="spellEnd"/>
      <w:r w:rsidRPr="00107CC9">
        <w:rPr>
          <w:rFonts w:ascii="Verdana" w:hAnsi="Verdana" w:cs="Calibri"/>
          <w:sz w:val="20"/>
          <w:szCs w:val="20"/>
        </w:rPr>
        <w:t xml:space="preserve">, such as university associations, student associations, university networks and quality assurance agencies have also increased their global outreach and sought strategic partnerships with similar </w:t>
      </w:r>
      <w:proofErr w:type="spellStart"/>
      <w:r w:rsidRPr="00107CC9">
        <w:rPr>
          <w:rFonts w:ascii="Verdana" w:hAnsi="Verdana" w:cs="Calibri"/>
          <w:sz w:val="20"/>
          <w:szCs w:val="20"/>
        </w:rPr>
        <w:t>organisations</w:t>
      </w:r>
      <w:proofErr w:type="spellEnd"/>
      <w:r w:rsidRPr="00107CC9">
        <w:rPr>
          <w:rFonts w:ascii="Verdana" w:hAnsi="Verdana" w:cs="Calibri"/>
          <w:sz w:val="20"/>
          <w:szCs w:val="20"/>
        </w:rPr>
        <w:t xml:space="preserve"> as a means to support higher education development. The following outlines some noteworthy trends.</w:t>
      </w:r>
    </w:p>
    <w:p w:rsidR="00A75E62" w:rsidRPr="00107CC9" w:rsidRDefault="00A75E62" w:rsidP="00A75E62">
      <w:pPr>
        <w:spacing w:line="240" w:lineRule="auto"/>
        <w:jc w:val="both"/>
        <w:rPr>
          <w:rFonts w:ascii="Verdana" w:hAnsi="Verdana" w:cs="Calibri"/>
          <w:i/>
          <w:sz w:val="20"/>
          <w:szCs w:val="20"/>
        </w:rPr>
      </w:pPr>
      <w:r w:rsidRPr="00107CC9">
        <w:rPr>
          <w:rFonts w:ascii="Verdana" w:hAnsi="Verdana" w:cs="Calibri"/>
          <w:i/>
          <w:sz w:val="20"/>
          <w:szCs w:val="20"/>
        </w:rPr>
        <w:t>European and national level</w:t>
      </w:r>
    </w:p>
    <w:p w:rsidR="00A75E62" w:rsidRPr="00107CC9" w:rsidRDefault="00A75E62" w:rsidP="00A75E62">
      <w:pPr>
        <w:spacing w:line="240" w:lineRule="auto"/>
        <w:jc w:val="both"/>
        <w:rPr>
          <w:rFonts w:ascii="Verdana" w:hAnsi="Verdana" w:cs="Calibri"/>
          <w:sz w:val="20"/>
          <w:szCs w:val="20"/>
        </w:rPr>
      </w:pPr>
      <w:r w:rsidRPr="00107CC9">
        <w:rPr>
          <w:rFonts w:ascii="Verdana" w:hAnsi="Verdana" w:cs="Calibri"/>
          <w:sz w:val="20"/>
          <w:szCs w:val="20"/>
        </w:rPr>
        <w:t xml:space="preserve">European governments and the European Union are developing strategic partnerships with </w:t>
      </w:r>
      <w:proofErr w:type="spellStart"/>
      <w:r w:rsidRPr="00107CC9">
        <w:rPr>
          <w:rFonts w:ascii="Verdana" w:hAnsi="Verdana" w:cs="Calibri"/>
          <w:sz w:val="20"/>
          <w:szCs w:val="20"/>
        </w:rPr>
        <w:t>industrialised</w:t>
      </w:r>
      <w:proofErr w:type="spellEnd"/>
      <w:r w:rsidRPr="00107CC9">
        <w:rPr>
          <w:rFonts w:ascii="Verdana" w:hAnsi="Verdana" w:cs="Calibri"/>
          <w:sz w:val="20"/>
          <w:szCs w:val="20"/>
        </w:rPr>
        <w:t>, emerging countries and even LDCs</w:t>
      </w:r>
      <w:r w:rsidRPr="00107CC9">
        <w:rPr>
          <w:rStyle w:val="FootnoteReference"/>
          <w:rFonts w:ascii="Verdana" w:hAnsi="Verdana" w:cs="Calibri"/>
          <w:sz w:val="20"/>
          <w:szCs w:val="20"/>
        </w:rPr>
        <w:footnoteReference w:id="48"/>
      </w:r>
      <w:r w:rsidRPr="00107CC9">
        <w:rPr>
          <w:rFonts w:ascii="Verdana" w:hAnsi="Verdana" w:cs="Calibri"/>
          <w:sz w:val="20"/>
          <w:szCs w:val="20"/>
        </w:rPr>
        <w:t xml:space="preserve">, in which higher education and research cooperation are growing in significance. These agreements are often economic nature, and e.g. a product of shifting trade relations, or motivated by development goals, which </w:t>
      </w:r>
      <w:r w:rsidRPr="00107CC9">
        <w:rPr>
          <w:rFonts w:ascii="Verdana" w:hAnsi="Verdana" w:cs="Calibri"/>
          <w:sz w:val="20"/>
          <w:szCs w:val="20"/>
        </w:rPr>
        <w:lastRenderedPageBreak/>
        <w:t xml:space="preserve">consider capacity building, human capital and ‘brain circulation’ as a means reinforce countries and regions in the partnership. They comprise scholarship </w:t>
      </w:r>
      <w:proofErr w:type="spellStart"/>
      <w:r w:rsidRPr="00107CC9">
        <w:rPr>
          <w:rFonts w:ascii="Verdana" w:hAnsi="Verdana" w:cs="Calibri"/>
          <w:sz w:val="20"/>
          <w:szCs w:val="20"/>
        </w:rPr>
        <w:t>programmes</w:t>
      </w:r>
      <w:proofErr w:type="spellEnd"/>
      <w:r w:rsidRPr="00107CC9">
        <w:rPr>
          <w:rFonts w:ascii="Verdana" w:hAnsi="Verdana" w:cs="Calibri"/>
          <w:sz w:val="20"/>
          <w:szCs w:val="20"/>
        </w:rPr>
        <w:t xml:space="preserve"> and staff exchange</w:t>
      </w:r>
      <w:r w:rsidRPr="00107CC9" w:rsidDel="006516F6">
        <w:rPr>
          <w:rFonts w:ascii="Verdana" w:hAnsi="Verdana" w:cs="Calibri"/>
          <w:sz w:val="20"/>
          <w:szCs w:val="20"/>
        </w:rPr>
        <w:t xml:space="preserve"> </w:t>
      </w:r>
      <w:r w:rsidRPr="00107CC9">
        <w:rPr>
          <w:rFonts w:ascii="Verdana" w:hAnsi="Verdana" w:cs="Calibri"/>
          <w:sz w:val="20"/>
          <w:szCs w:val="20"/>
        </w:rPr>
        <w:t xml:space="preserve">and also different types of partnership </w:t>
      </w:r>
      <w:proofErr w:type="spellStart"/>
      <w:r w:rsidRPr="00107CC9">
        <w:rPr>
          <w:rFonts w:ascii="Verdana" w:hAnsi="Verdana" w:cs="Calibri"/>
          <w:sz w:val="20"/>
          <w:szCs w:val="20"/>
        </w:rPr>
        <w:t>programmes</w:t>
      </w:r>
      <w:proofErr w:type="spellEnd"/>
      <w:r w:rsidRPr="00107CC9">
        <w:rPr>
          <w:rFonts w:ascii="Verdana" w:hAnsi="Verdana" w:cs="Calibri"/>
          <w:sz w:val="20"/>
          <w:szCs w:val="20"/>
        </w:rPr>
        <w:t xml:space="preserve"> for higher education institutions (involving joint projects, joint study and research </w:t>
      </w:r>
      <w:proofErr w:type="spellStart"/>
      <w:r w:rsidRPr="00107CC9">
        <w:rPr>
          <w:rFonts w:ascii="Verdana" w:hAnsi="Verdana" w:cs="Calibri"/>
          <w:sz w:val="20"/>
          <w:szCs w:val="20"/>
        </w:rPr>
        <w:t>centres</w:t>
      </w:r>
      <w:proofErr w:type="spellEnd"/>
      <w:r w:rsidRPr="00107CC9">
        <w:rPr>
          <w:rFonts w:ascii="Verdana" w:hAnsi="Verdana" w:cs="Calibri"/>
          <w:sz w:val="20"/>
          <w:szCs w:val="20"/>
        </w:rPr>
        <w:t>, management capacity development, exchange of practice, etc.). On the research side, sector specific research platforms and ‘research alliances’ have been on the rise, particularly with the BRICs (China, Brazil, Russia, India and South Africa) in which, for example, doctoral education is increasingly being targeted as a point of collaboration</w:t>
      </w:r>
      <w:r w:rsidRPr="00107CC9">
        <w:rPr>
          <w:rStyle w:val="FootnoteReference"/>
          <w:rFonts w:ascii="Verdana" w:hAnsi="Verdana" w:cs="Calibri"/>
          <w:sz w:val="20"/>
          <w:szCs w:val="20"/>
        </w:rPr>
        <w:footnoteReference w:id="49"/>
      </w:r>
      <w:r w:rsidRPr="00107CC9">
        <w:rPr>
          <w:rFonts w:ascii="Verdana" w:hAnsi="Verdana" w:cs="Calibri"/>
          <w:sz w:val="20"/>
          <w:szCs w:val="20"/>
        </w:rPr>
        <w:t>. And on the development cooperation side, system/sector support (</w:t>
      </w:r>
      <w:proofErr w:type="spellStart"/>
      <w:r w:rsidRPr="00107CC9">
        <w:rPr>
          <w:rFonts w:ascii="Verdana" w:hAnsi="Verdana" w:cs="Calibri"/>
          <w:sz w:val="20"/>
          <w:szCs w:val="20"/>
        </w:rPr>
        <w:t>ie</w:t>
      </w:r>
      <w:proofErr w:type="spellEnd"/>
      <w:r w:rsidRPr="00107CC9">
        <w:rPr>
          <w:rFonts w:ascii="Verdana" w:hAnsi="Verdana" w:cs="Calibri"/>
          <w:sz w:val="20"/>
          <w:szCs w:val="20"/>
        </w:rPr>
        <w:t xml:space="preserve">. building higher education and research systems and structures in partner countries) is also being </w:t>
      </w:r>
      <w:proofErr w:type="spellStart"/>
      <w:r w:rsidRPr="00107CC9">
        <w:rPr>
          <w:rFonts w:ascii="Verdana" w:hAnsi="Verdana" w:cs="Calibri"/>
          <w:sz w:val="20"/>
          <w:szCs w:val="20"/>
        </w:rPr>
        <w:t>prioritised</w:t>
      </w:r>
      <w:proofErr w:type="spellEnd"/>
      <w:r w:rsidRPr="00107CC9">
        <w:rPr>
          <w:rFonts w:ascii="Verdana" w:hAnsi="Verdana" w:cs="Calibri"/>
          <w:sz w:val="20"/>
          <w:szCs w:val="20"/>
        </w:rPr>
        <w:t xml:space="preserve"> by international </w:t>
      </w:r>
      <w:proofErr w:type="spellStart"/>
      <w:r w:rsidRPr="00107CC9">
        <w:rPr>
          <w:rFonts w:ascii="Verdana" w:hAnsi="Verdana" w:cs="Calibri"/>
          <w:sz w:val="20"/>
          <w:szCs w:val="20"/>
        </w:rPr>
        <w:t>organisations</w:t>
      </w:r>
      <w:proofErr w:type="spellEnd"/>
      <w:r w:rsidRPr="00107CC9">
        <w:rPr>
          <w:rFonts w:ascii="Verdana" w:hAnsi="Verdana" w:cs="Calibri"/>
          <w:sz w:val="20"/>
          <w:szCs w:val="20"/>
        </w:rPr>
        <w:t xml:space="preserve"> and some national governments, as the acknowledgment of the role of higher education in development has grown steadily.  </w:t>
      </w:r>
    </w:p>
    <w:p w:rsidR="00A75E62" w:rsidRPr="00107CC9" w:rsidRDefault="00A75E62" w:rsidP="00A75E62">
      <w:pPr>
        <w:spacing w:line="240" w:lineRule="auto"/>
        <w:jc w:val="both"/>
        <w:rPr>
          <w:rFonts w:ascii="Verdana" w:hAnsi="Verdana" w:cs="Calibri"/>
          <w:sz w:val="20"/>
          <w:szCs w:val="20"/>
        </w:rPr>
      </w:pPr>
      <w:r w:rsidRPr="00107CC9">
        <w:rPr>
          <w:rFonts w:ascii="Verdana" w:hAnsi="Verdana" w:cs="Calibri"/>
          <w:sz w:val="20"/>
          <w:szCs w:val="20"/>
        </w:rPr>
        <w:t xml:space="preserve">On the European level, it is noteworthy that for almost two decades, the European Union has funded a number of actions aimed at strengthening cooperation between higher education institutions in EU and non-EU countries, including the developing world. The growth in </w:t>
      </w:r>
      <w:r w:rsidRPr="00107CC9">
        <w:rPr>
          <w:rFonts w:ascii="Verdana" w:hAnsi="Verdana" w:cs="Calibri"/>
          <w:b/>
          <w:sz w:val="20"/>
          <w:szCs w:val="20"/>
        </w:rPr>
        <w:t xml:space="preserve">joint and collaborative degree </w:t>
      </w:r>
      <w:proofErr w:type="spellStart"/>
      <w:r w:rsidRPr="00107CC9">
        <w:rPr>
          <w:rFonts w:ascii="Verdana" w:hAnsi="Verdana" w:cs="Calibri"/>
          <w:b/>
          <w:sz w:val="20"/>
          <w:szCs w:val="20"/>
        </w:rPr>
        <w:t>programmes</w:t>
      </w:r>
      <w:proofErr w:type="spellEnd"/>
      <w:r w:rsidRPr="00107CC9">
        <w:rPr>
          <w:rFonts w:ascii="Verdana" w:hAnsi="Verdana" w:cs="Calibri"/>
          <w:sz w:val="20"/>
          <w:szCs w:val="20"/>
        </w:rPr>
        <w:t xml:space="preserve">, for example, is particularly noteworthy and has been a preoccupation of the European funding </w:t>
      </w:r>
      <w:proofErr w:type="spellStart"/>
      <w:r w:rsidRPr="00107CC9">
        <w:rPr>
          <w:rFonts w:ascii="Verdana" w:hAnsi="Verdana" w:cs="Calibri"/>
          <w:sz w:val="20"/>
          <w:szCs w:val="20"/>
        </w:rPr>
        <w:t>programmes</w:t>
      </w:r>
      <w:proofErr w:type="spellEnd"/>
      <w:r w:rsidRPr="00107CC9">
        <w:rPr>
          <w:rFonts w:ascii="Verdana" w:hAnsi="Verdana" w:cs="Calibri"/>
          <w:sz w:val="20"/>
          <w:szCs w:val="20"/>
        </w:rPr>
        <w:t xml:space="preserve"> since the advent of Erasmus Mundus in 2003. Initially viewed as a vehicle for internal European HE </w:t>
      </w:r>
      <w:proofErr w:type="spellStart"/>
      <w:r w:rsidRPr="00107CC9">
        <w:rPr>
          <w:rFonts w:ascii="Verdana" w:hAnsi="Verdana" w:cs="Calibri"/>
          <w:sz w:val="20"/>
          <w:szCs w:val="20"/>
        </w:rPr>
        <w:t>programme</w:t>
      </w:r>
      <w:proofErr w:type="spellEnd"/>
      <w:r w:rsidRPr="00107CC9">
        <w:rPr>
          <w:rFonts w:ascii="Verdana" w:hAnsi="Verdana" w:cs="Calibri"/>
          <w:sz w:val="20"/>
          <w:szCs w:val="20"/>
        </w:rPr>
        <w:t xml:space="preserve"> integration, joint degrees are now increasingly seen as a means to link European institutions to partner country institutions. The fascination with joint degrees is often taken as a strong indication of the European commitment to partnership; joint degrees are highly integrated, </w:t>
      </w:r>
      <w:proofErr w:type="spellStart"/>
      <w:r w:rsidRPr="00107CC9">
        <w:rPr>
          <w:rFonts w:ascii="Verdana" w:hAnsi="Verdana" w:cs="Calibri"/>
          <w:sz w:val="20"/>
          <w:szCs w:val="20"/>
        </w:rPr>
        <w:t>favour</w:t>
      </w:r>
      <w:proofErr w:type="spellEnd"/>
      <w:r w:rsidRPr="00107CC9">
        <w:rPr>
          <w:rFonts w:ascii="Verdana" w:hAnsi="Verdana" w:cs="Calibri"/>
          <w:sz w:val="20"/>
          <w:szCs w:val="20"/>
        </w:rPr>
        <w:t xml:space="preserve"> collaborative curriculum development and two-way, structured mobility of students and staff. The success of the Erasmus Mundus </w:t>
      </w:r>
      <w:proofErr w:type="spellStart"/>
      <w:r w:rsidRPr="00107CC9">
        <w:rPr>
          <w:rFonts w:ascii="Verdana" w:hAnsi="Verdana" w:cs="Calibri"/>
          <w:sz w:val="20"/>
          <w:szCs w:val="20"/>
        </w:rPr>
        <w:t>programme</w:t>
      </w:r>
      <w:proofErr w:type="spellEnd"/>
      <w:r w:rsidRPr="00107CC9">
        <w:rPr>
          <w:rFonts w:ascii="Verdana" w:hAnsi="Verdana" w:cs="Calibri"/>
          <w:sz w:val="20"/>
          <w:szCs w:val="20"/>
        </w:rPr>
        <w:t xml:space="preserve">, premised on these types of study </w:t>
      </w:r>
      <w:proofErr w:type="spellStart"/>
      <w:r w:rsidRPr="00107CC9">
        <w:rPr>
          <w:rFonts w:ascii="Verdana" w:hAnsi="Verdana" w:cs="Calibri"/>
          <w:sz w:val="20"/>
          <w:szCs w:val="20"/>
        </w:rPr>
        <w:t>programmes</w:t>
      </w:r>
      <w:proofErr w:type="spellEnd"/>
      <w:r w:rsidRPr="00107CC9">
        <w:rPr>
          <w:rFonts w:ascii="Verdana" w:hAnsi="Verdana" w:cs="Calibri"/>
          <w:sz w:val="20"/>
          <w:szCs w:val="20"/>
        </w:rPr>
        <w:t xml:space="preserve">, has contributed to the thinking around the recent EU strategy </w:t>
      </w:r>
      <w:r w:rsidRPr="00107CC9">
        <w:rPr>
          <w:rFonts w:ascii="Verdana" w:hAnsi="Verdana" w:cs="Calibri"/>
          <w:i/>
          <w:sz w:val="20"/>
          <w:szCs w:val="20"/>
        </w:rPr>
        <w:t>‘Higher Education in the World’</w:t>
      </w:r>
      <w:r w:rsidRPr="00107CC9">
        <w:rPr>
          <w:rFonts w:ascii="Verdana" w:hAnsi="Verdana" w:cs="Calibri"/>
          <w:sz w:val="20"/>
          <w:szCs w:val="20"/>
        </w:rPr>
        <w:t xml:space="preserve">, which also stresses partnership and capacity development as one of its core facets, alongside competitiveness and attractiveness. </w:t>
      </w:r>
    </w:p>
    <w:p w:rsidR="00A75E62" w:rsidRPr="00107CC9" w:rsidRDefault="00A75E62" w:rsidP="00A75E62">
      <w:pPr>
        <w:spacing w:line="240" w:lineRule="auto"/>
        <w:jc w:val="both"/>
        <w:rPr>
          <w:rFonts w:ascii="Verdana" w:hAnsi="Verdana" w:cs="Calibri"/>
          <w:sz w:val="20"/>
          <w:szCs w:val="20"/>
        </w:rPr>
      </w:pPr>
      <w:r w:rsidRPr="00107CC9">
        <w:rPr>
          <w:rFonts w:ascii="Verdana" w:hAnsi="Verdana" w:cs="Calibri"/>
          <w:sz w:val="20"/>
          <w:szCs w:val="20"/>
        </w:rPr>
        <w:t xml:space="preserve">In terms of higher education </w:t>
      </w:r>
      <w:proofErr w:type="spellStart"/>
      <w:r w:rsidRPr="00107CC9">
        <w:rPr>
          <w:rFonts w:ascii="Verdana" w:hAnsi="Verdana" w:cs="Calibri"/>
          <w:sz w:val="20"/>
          <w:szCs w:val="20"/>
        </w:rPr>
        <w:t>programmes</w:t>
      </w:r>
      <w:proofErr w:type="spellEnd"/>
      <w:r w:rsidRPr="00107CC9">
        <w:rPr>
          <w:rFonts w:ascii="Verdana" w:hAnsi="Verdana" w:cs="Calibri"/>
          <w:sz w:val="20"/>
          <w:szCs w:val="20"/>
        </w:rPr>
        <w:t xml:space="preserve"> specifically targeted at fostering development cooperation partnerships, the mobility cooperation ‘windows’ under Erasmus Mundus (funding large scale mobility partnerships with institutions in developing countries- formerly known as Erasmus Mundus Action 2), the Tempus </w:t>
      </w:r>
      <w:proofErr w:type="spellStart"/>
      <w:r w:rsidRPr="00107CC9">
        <w:rPr>
          <w:rFonts w:ascii="Verdana" w:hAnsi="Verdana" w:cs="Calibri"/>
          <w:sz w:val="20"/>
          <w:szCs w:val="20"/>
        </w:rPr>
        <w:t>programme</w:t>
      </w:r>
      <w:proofErr w:type="spellEnd"/>
      <w:r w:rsidRPr="00107CC9">
        <w:rPr>
          <w:rFonts w:ascii="Verdana" w:hAnsi="Verdana" w:cs="Calibri"/>
          <w:sz w:val="20"/>
          <w:szCs w:val="20"/>
        </w:rPr>
        <w:t xml:space="preserve"> for cooperation with countries </w:t>
      </w:r>
      <w:proofErr w:type="spellStart"/>
      <w:r w:rsidRPr="00107CC9">
        <w:rPr>
          <w:rFonts w:ascii="Verdana" w:hAnsi="Verdana" w:cs="Calibri"/>
          <w:sz w:val="20"/>
          <w:szCs w:val="20"/>
        </w:rPr>
        <w:t>neighbouring</w:t>
      </w:r>
      <w:proofErr w:type="spellEnd"/>
      <w:r w:rsidRPr="00107CC9">
        <w:rPr>
          <w:rFonts w:ascii="Verdana" w:hAnsi="Verdana" w:cs="Calibri"/>
          <w:sz w:val="20"/>
          <w:szCs w:val="20"/>
        </w:rPr>
        <w:t xml:space="preserve"> the EU</w:t>
      </w:r>
      <w:r w:rsidRPr="00107CC9">
        <w:rPr>
          <w:rFonts w:ascii="Verdana" w:hAnsi="Verdana" w:cs="Calibri"/>
          <w:sz w:val="20"/>
          <w:szCs w:val="20"/>
          <w:vertAlign w:val="superscript"/>
        </w:rPr>
        <w:footnoteReference w:id="50"/>
      </w:r>
      <w:r w:rsidRPr="00107CC9">
        <w:rPr>
          <w:rFonts w:ascii="Verdana" w:hAnsi="Verdana" w:cs="Calibri"/>
          <w:sz w:val="20"/>
          <w:szCs w:val="20"/>
        </w:rPr>
        <w:t xml:space="preserve">, the Alfa, Edu-link and Asia-link </w:t>
      </w:r>
      <w:proofErr w:type="spellStart"/>
      <w:r w:rsidRPr="00107CC9">
        <w:rPr>
          <w:rFonts w:ascii="Verdana" w:hAnsi="Verdana" w:cs="Calibri"/>
          <w:sz w:val="20"/>
          <w:szCs w:val="20"/>
        </w:rPr>
        <w:t>programmes</w:t>
      </w:r>
      <w:proofErr w:type="spellEnd"/>
      <w:r w:rsidRPr="00107CC9">
        <w:rPr>
          <w:rFonts w:ascii="Verdana" w:hAnsi="Verdana" w:cs="Calibri"/>
          <w:sz w:val="20"/>
          <w:szCs w:val="20"/>
        </w:rPr>
        <w:t xml:space="preserve">, supporting cooperation and capacity development projects with Latin-America, Africa and Asia, respectively, have been particularly successful. These </w:t>
      </w:r>
      <w:proofErr w:type="spellStart"/>
      <w:r w:rsidRPr="00107CC9">
        <w:rPr>
          <w:rFonts w:ascii="Verdana" w:hAnsi="Verdana" w:cs="Calibri"/>
          <w:sz w:val="20"/>
          <w:szCs w:val="20"/>
        </w:rPr>
        <w:t>programmes</w:t>
      </w:r>
      <w:proofErr w:type="spellEnd"/>
      <w:r w:rsidRPr="00107CC9">
        <w:rPr>
          <w:rFonts w:ascii="Verdana" w:hAnsi="Verdana" w:cs="Calibri"/>
          <w:sz w:val="20"/>
          <w:szCs w:val="20"/>
        </w:rPr>
        <w:t xml:space="preserve"> have co-funded inter-university and inter-</w:t>
      </w:r>
      <w:proofErr w:type="spellStart"/>
      <w:r w:rsidRPr="00107CC9">
        <w:rPr>
          <w:rFonts w:ascii="Verdana" w:hAnsi="Verdana" w:cs="Calibri"/>
          <w:sz w:val="20"/>
          <w:szCs w:val="20"/>
        </w:rPr>
        <w:t>organisational</w:t>
      </w:r>
      <w:proofErr w:type="spellEnd"/>
      <w:r w:rsidRPr="00107CC9">
        <w:rPr>
          <w:rFonts w:ascii="Verdana" w:hAnsi="Verdana" w:cs="Calibri"/>
          <w:sz w:val="20"/>
          <w:szCs w:val="20"/>
        </w:rPr>
        <w:t xml:space="preserve"> projects that promote, amongst other purposes, the use and understanding of European study structures and tools such as ECTS, quality assurance frameworks and integrated study </w:t>
      </w:r>
      <w:proofErr w:type="spellStart"/>
      <w:r w:rsidRPr="00107CC9">
        <w:rPr>
          <w:rFonts w:ascii="Verdana" w:hAnsi="Verdana" w:cs="Calibri"/>
          <w:sz w:val="20"/>
          <w:szCs w:val="20"/>
        </w:rPr>
        <w:t>programmes</w:t>
      </w:r>
      <w:proofErr w:type="spellEnd"/>
      <w:r w:rsidRPr="00107CC9">
        <w:rPr>
          <w:rFonts w:ascii="Verdana" w:hAnsi="Verdana" w:cs="Calibri"/>
          <w:sz w:val="20"/>
          <w:szCs w:val="20"/>
        </w:rPr>
        <w:t xml:space="preserve">. Several of the funding </w:t>
      </w:r>
      <w:proofErr w:type="spellStart"/>
      <w:r w:rsidRPr="00107CC9">
        <w:rPr>
          <w:rFonts w:ascii="Verdana" w:hAnsi="Verdana" w:cs="Calibri"/>
          <w:sz w:val="20"/>
          <w:szCs w:val="20"/>
        </w:rPr>
        <w:t>programmes</w:t>
      </w:r>
      <w:proofErr w:type="spellEnd"/>
      <w:r w:rsidRPr="00107CC9">
        <w:rPr>
          <w:rFonts w:ascii="Verdana" w:hAnsi="Verdana" w:cs="Calibri"/>
          <w:sz w:val="20"/>
          <w:szCs w:val="20"/>
        </w:rPr>
        <w:t xml:space="preserve"> have had a strong regional dimension; that is to say, priority is given to enhancing cooperation between higher education institutions within the region (Latin America, Africa and Asia) and with the EU. Regional higher education convergence, based to a large extent on the European experience, is a strong facet. </w:t>
      </w:r>
    </w:p>
    <w:p w:rsidR="00A75E62" w:rsidRPr="00107CC9" w:rsidRDefault="00A75E62" w:rsidP="00A75E62">
      <w:pPr>
        <w:spacing w:line="240" w:lineRule="auto"/>
        <w:jc w:val="both"/>
        <w:rPr>
          <w:rFonts w:ascii="Verdana" w:hAnsi="Verdana" w:cs="Calibri"/>
          <w:sz w:val="20"/>
          <w:szCs w:val="20"/>
        </w:rPr>
      </w:pPr>
      <w:r w:rsidRPr="00107CC9">
        <w:rPr>
          <w:rFonts w:ascii="Verdana" w:hAnsi="Verdana" w:cs="Calibri"/>
          <w:sz w:val="20"/>
          <w:szCs w:val="20"/>
        </w:rPr>
        <w:t xml:space="preserve">Given the success and popularity of these </w:t>
      </w:r>
      <w:proofErr w:type="spellStart"/>
      <w:r w:rsidRPr="00107CC9">
        <w:rPr>
          <w:rFonts w:ascii="Verdana" w:hAnsi="Verdana" w:cs="Calibri"/>
          <w:sz w:val="20"/>
          <w:szCs w:val="20"/>
        </w:rPr>
        <w:t>programmes</w:t>
      </w:r>
      <w:proofErr w:type="spellEnd"/>
      <w:r w:rsidRPr="00107CC9">
        <w:rPr>
          <w:rFonts w:ascii="Verdana" w:hAnsi="Verdana" w:cs="Calibri"/>
          <w:sz w:val="20"/>
          <w:szCs w:val="20"/>
        </w:rPr>
        <w:t xml:space="preserve">, </w:t>
      </w:r>
      <w:r w:rsidRPr="00107CC9">
        <w:rPr>
          <w:rFonts w:ascii="Verdana" w:hAnsi="Verdana" w:cs="Calibri"/>
          <w:i/>
          <w:sz w:val="20"/>
          <w:szCs w:val="20"/>
        </w:rPr>
        <w:t xml:space="preserve">Erasmus+ </w:t>
      </w:r>
      <w:r w:rsidRPr="00107CC9">
        <w:rPr>
          <w:rFonts w:ascii="Verdana" w:hAnsi="Verdana" w:cs="Calibri"/>
          <w:sz w:val="20"/>
          <w:szCs w:val="20"/>
        </w:rPr>
        <w:t xml:space="preserve">(2014-2020)- the successor </w:t>
      </w:r>
      <w:proofErr w:type="spellStart"/>
      <w:r w:rsidRPr="00107CC9">
        <w:rPr>
          <w:rFonts w:ascii="Verdana" w:hAnsi="Verdana" w:cs="Calibri"/>
          <w:sz w:val="20"/>
          <w:szCs w:val="20"/>
        </w:rPr>
        <w:t>programme</w:t>
      </w:r>
      <w:proofErr w:type="spellEnd"/>
      <w:r w:rsidRPr="00107CC9">
        <w:rPr>
          <w:rFonts w:ascii="Verdana" w:hAnsi="Verdana" w:cs="Calibri"/>
          <w:sz w:val="20"/>
          <w:szCs w:val="20"/>
        </w:rPr>
        <w:t xml:space="preserve"> - will continue to have a strong focus on higher education partnerships between EU and ‘Partner’ countries (globally and within the EHEA) – notably through its Capacity Building action, but also through the opportunity for </w:t>
      </w:r>
      <w:proofErr w:type="spellStart"/>
      <w:r w:rsidRPr="00107CC9">
        <w:rPr>
          <w:rFonts w:ascii="Verdana" w:hAnsi="Verdana" w:cs="Calibri"/>
          <w:sz w:val="20"/>
          <w:szCs w:val="20"/>
        </w:rPr>
        <w:t>Programme</w:t>
      </w:r>
      <w:proofErr w:type="spellEnd"/>
      <w:r w:rsidRPr="00107CC9">
        <w:rPr>
          <w:rFonts w:ascii="Verdana" w:hAnsi="Verdana" w:cs="Calibri"/>
          <w:sz w:val="20"/>
          <w:szCs w:val="20"/>
        </w:rPr>
        <w:t xml:space="preserve"> and Partner country HEIs to exchange students and staff on a bilateral basis (global credit </w:t>
      </w:r>
      <w:r w:rsidRPr="00107CC9">
        <w:rPr>
          <w:rFonts w:ascii="Verdana" w:hAnsi="Verdana" w:cs="Calibri"/>
          <w:sz w:val="20"/>
          <w:szCs w:val="20"/>
        </w:rPr>
        <w:lastRenderedPageBreak/>
        <w:t xml:space="preserve">mobility). The fact that funding will be allocated for EU students to study in Partner countries (as opposed to just within Europe) is a novelty and a welcome development. The budget awarded for such activities will remain consistent with past </w:t>
      </w:r>
      <w:proofErr w:type="spellStart"/>
      <w:r w:rsidRPr="00107CC9">
        <w:rPr>
          <w:rFonts w:ascii="Verdana" w:hAnsi="Verdana" w:cs="Calibri"/>
          <w:sz w:val="20"/>
          <w:szCs w:val="20"/>
        </w:rPr>
        <w:t>programmes</w:t>
      </w:r>
      <w:proofErr w:type="spellEnd"/>
      <w:r w:rsidRPr="00107CC9">
        <w:rPr>
          <w:rFonts w:ascii="Verdana" w:hAnsi="Verdana" w:cs="Calibri"/>
          <w:sz w:val="20"/>
          <w:szCs w:val="20"/>
        </w:rPr>
        <w:t xml:space="preserve"> and mainly be derived from the different development cooperation funding instruments of the EU (EDF, ENI, </w:t>
      </w:r>
      <w:proofErr w:type="spellStart"/>
      <w:r w:rsidRPr="00107CC9">
        <w:rPr>
          <w:rFonts w:ascii="Verdana" w:hAnsi="Verdana" w:cs="Calibri"/>
          <w:sz w:val="20"/>
          <w:szCs w:val="20"/>
        </w:rPr>
        <w:t>etc</w:t>
      </w:r>
      <w:proofErr w:type="spellEnd"/>
      <w:r w:rsidRPr="00107CC9">
        <w:rPr>
          <w:rFonts w:ascii="Verdana" w:hAnsi="Verdana" w:cs="Calibri"/>
          <w:sz w:val="20"/>
          <w:szCs w:val="20"/>
        </w:rPr>
        <w:t xml:space="preserve">). It has yet to been seen whether the rules of participation for these actions allow HEIs to truly develop their internal partnerships in a flexible manner. </w:t>
      </w:r>
    </w:p>
    <w:p w:rsidR="00A75E62" w:rsidRPr="00107CC9" w:rsidRDefault="00A75E62" w:rsidP="00A75E62">
      <w:pPr>
        <w:spacing w:line="240" w:lineRule="auto"/>
        <w:jc w:val="both"/>
        <w:rPr>
          <w:rFonts w:ascii="Verdana" w:hAnsi="Verdana" w:cs="Calibri"/>
          <w:sz w:val="20"/>
          <w:szCs w:val="20"/>
        </w:rPr>
      </w:pPr>
      <w:r w:rsidRPr="00107CC9">
        <w:rPr>
          <w:rFonts w:ascii="Verdana" w:hAnsi="Verdana" w:cs="Calibri"/>
          <w:sz w:val="20"/>
          <w:szCs w:val="20"/>
        </w:rPr>
        <w:t xml:space="preserve">In addition, the EU has funded since </w:t>
      </w:r>
      <w:smartTag w:uri="urn:schemas-microsoft-com:office:smarttags" w:element="metricconverter">
        <w:smartTagPr>
          <w:attr w:name="ProductID" w:val="2010 a"/>
        </w:smartTagPr>
        <w:r w:rsidRPr="00107CC9">
          <w:rPr>
            <w:rFonts w:ascii="Verdana" w:hAnsi="Verdana" w:cs="Calibri"/>
            <w:sz w:val="20"/>
            <w:szCs w:val="20"/>
          </w:rPr>
          <w:t>2010 a</w:t>
        </w:r>
      </w:smartTag>
      <w:r w:rsidRPr="00107CC9">
        <w:rPr>
          <w:rFonts w:ascii="Verdana" w:hAnsi="Verdana" w:cs="Calibri"/>
          <w:sz w:val="20"/>
          <w:szCs w:val="20"/>
        </w:rPr>
        <w:t xml:space="preserve"> network of ‘</w:t>
      </w:r>
      <w:r w:rsidRPr="00107CC9">
        <w:rPr>
          <w:rFonts w:ascii="Verdana" w:hAnsi="Verdana" w:cs="Calibri"/>
          <w:b/>
          <w:sz w:val="20"/>
          <w:szCs w:val="20"/>
        </w:rPr>
        <w:t>Higher Education Reform Experts’</w:t>
      </w:r>
      <w:r w:rsidRPr="00107CC9">
        <w:rPr>
          <w:rFonts w:ascii="Verdana" w:hAnsi="Verdana" w:cs="Calibri"/>
          <w:sz w:val="20"/>
          <w:szCs w:val="20"/>
        </w:rPr>
        <w:t xml:space="preserve"> in Tempus countries which build expertise in higher education reform processes such as Bologna and advise in the development of their national systems. The EC is currently renewing funding for support of this network through 2017. This can been seen not only as a means to support partnership with </w:t>
      </w:r>
      <w:proofErr w:type="spellStart"/>
      <w:r w:rsidRPr="00107CC9">
        <w:rPr>
          <w:rFonts w:ascii="Verdana" w:hAnsi="Verdana" w:cs="Calibri"/>
          <w:sz w:val="20"/>
          <w:szCs w:val="20"/>
        </w:rPr>
        <w:t>neighbouring</w:t>
      </w:r>
      <w:proofErr w:type="spellEnd"/>
      <w:r w:rsidRPr="00107CC9">
        <w:rPr>
          <w:rFonts w:ascii="Verdana" w:hAnsi="Verdana" w:cs="Calibri"/>
          <w:sz w:val="20"/>
          <w:szCs w:val="20"/>
        </w:rPr>
        <w:t xml:space="preserve"> countries, but also to promote European HE reforms to partner countries and strengthen policy dialogue on various levels (see next section on policy dialogue). </w:t>
      </w:r>
    </w:p>
    <w:p w:rsidR="00A75E62" w:rsidRPr="00107CC9" w:rsidRDefault="00A75E62" w:rsidP="00A75E62">
      <w:pPr>
        <w:spacing w:line="240" w:lineRule="auto"/>
        <w:jc w:val="both"/>
        <w:rPr>
          <w:rFonts w:ascii="Verdana" w:hAnsi="Verdana" w:cs="Calibri"/>
          <w:sz w:val="20"/>
          <w:szCs w:val="20"/>
        </w:rPr>
      </w:pPr>
      <w:r w:rsidRPr="00107CC9">
        <w:rPr>
          <w:rFonts w:ascii="Verdana" w:hAnsi="Verdana" w:cs="Calibri"/>
          <w:sz w:val="20"/>
          <w:szCs w:val="20"/>
        </w:rPr>
        <w:t xml:space="preserve">At the </w:t>
      </w:r>
      <w:r w:rsidRPr="00107CC9">
        <w:rPr>
          <w:rFonts w:ascii="Verdana" w:hAnsi="Verdana" w:cs="Calibri"/>
          <w:b/>
          <w:sz w:val="20"/>
          <w:szCs w:val="20"/>
        </w:rPr>
        <w:t>national level</w:t>
      </w:r>
      <w:r w:rsidRPr="00107CC9">
        <w:rPr>
          <w:rFonts w:ascii="Verdana" w:hAnsi="Verdana" w:cs="Calibri"/>
          <w:sz w:val="20"/>
          <w:szCs w:val="20"/>
        </w:rPr>
        <w:t xml:space="preserve">, countries have developed a variety of funding </w:t>
      </w:r>
      <w:proofErr w:type="spellStart"/>
      <w:r w:rsidRPr="00107CC9">
        <w:rPr>
          <w:rFonts w:ascii="Verdana" w:hAnsi="Verdana" w:cs="Calibri"/>
          <w:sz w:val="20"/>
          <w:szCs w:val="20"/>
        </w:rPr>
        <w:t>programmes</w:t>
      </w:r>
      <w:proofErr w:type="spellEnd"/>
      <w:r w:rsidRPr="00107CC9">
        <w:rPr>
          <w:rFonts w:ascii="Verdana" w:hAnsi="Verdana" w:cs="Calibri"/>
          <w:sz w:val="20"/>
          <w:szCs w:val="20"/>
        </w:rPr>
        <w:t xml:space="preserve"> dedicated to enhancing partnership between institutions.  This has ranged from building large international research alliances to encouraging joint campuses and </w:t>
      </w:r>
      <w:proofErr w:type="spellStart"/>
      <w:r w:rsidRPr="00107CC9">
        <w:rPr>
          <w:rFonts w:ascii="Verdana" w:hAnsi="Verdana" w:cs="Calibri"/>
          <w:sz w:val="20"/>
          <w:szCs w:val="20"/>
        </w:rPr>
        <w:t>centres</w:t>
      </w:r>
      <w:proofErr w:type="spellEnd"/>
      <w:r w:rsidRPr="00107CC9">
        <w:rPr>
          <w:rFonts w:ascii="Verdana" w:hAnsi="Verdana" w:cs="Calibri"/>
          <w:sz w:val="20"/>
          <w:szCs w:val="20"/>
        </w:rPr>
        <w:t xml:space="preserve"> between domestic and emerging country HEIs. Several examples are listed in the text boxes below. There has also been a trend towards </w:t>
      </w:r>
      <w:proofErr w:type="spellStart"/>
      <w:r w:rsidRPr="00107CC9">
        <w:rPr>
          <w:rFonts w:ascii="Verdana" w:hAnsi="Verdana" w:cs="Calibri"/>
          <w:sz w:val="20"/>
          <w:szCs w:val="20"/>
        </w:rPr>
        <w:t>incentivising</w:t>
      </w:r>
      <w:proofErr w:type="spellEnd"/>
      <w:r w:rsidRPr="00107CC9">
        <w:rPr>
          <w:rFonts w:ascii="Verdana" w:hAnsi="Verdana" w:cs="Calibri"/>
          <w:sz w:val="20"/>
          <w:szCs w:val="20"/>
        </w:rPr>
        <w:t xml:space="preserve"> joint </w:t>
      </w:r>
      <w:proofErr w:type="spellStart"/>
      <w:r w:rsidRPr="00107CC9">
        <w:rPr>
          <w:rFonts w:ascii="Verdana" w:hAnsi="Verdana" w:cs="Calibri"/>
          <w:sz w:val="20"/>
          <w:szCs w:val="20"/>
        </w:rPr>
        <w:t>programmes</w:t>
      </w:r>
      <w:proofErr w:type="spellEnd"/>
      <w:r w:rsidRPr="00107CC9">
        <w:rPr>
          <w:rFonts w:ascii="Verdana" w:hAnsi="Verdana" w:cs="Calibri"/>
          <w:sz w:val="20"/>
          <w:szCs w:val="20"/>
        </w:rPr>
        <w:t xml:space="preserve"> and a movement to change legislation to permit </w:t>
      </w:r>
      <w:r w:rsidRPr="00107CC9">
        <w:rPr>
          <w:rFonts w:ascii="Verdana" w:hAnsi="Verdana" w:cs="Calibri"/>
          <w:b/>
          <w:sz w:val="20"/>
          <w:szCs w:val="20"/>
        </w:rPr>
        <w:t>joint degrees</w:t>
      </w:r>
      <w:r w:rsidRPr="00107CC9">
        <w:rPr>
          <w:rFonts w:ascii="Verdana" w:hAnsi="Verdana" w:cs="Calibri"/>
          <w:sz w:val="20"/>
          <w:szCs w:val="20"/>
        </w:rPr>
        <w:t xml:space="preserve">. Of note, several countries indicate an objective of increasing the number of joint degrees on offer in their national </w:t>
      </w:r>
      <w:proofErr w:type="spellStart"/>
      <w:r w:rsidRPr="00107CC9">
        <w:rPr>
          <w:rFonts w:ascii="Verdana" w:hAnsi="Verdana" w:cs="Calibri"/>
          <w:sz w:val="20"/>
          <w:szCs w:val="20"/>
        </w:rPr>
        <w:t>internationalisation</w:t>
      </w:r>
      <w:proofErr w:type="spellEnd"/>
      <w:r w:rsidRPr="00107CC9">
        <w:rPr>
          <w:rFonts w:ascii="Verdana" w:hAnsi="Verdana" w:cs="Calibri"/>
          <w:sz w:val="20"/>
          <w:szCs w:val="20"/>
        </w:rPr>
        <w:t xml:space="preserve"> strategies for the higher education sector (Germany, Lithuania, France, Spain and the Netherlands, to name a few).</w:t>
      </w:r>
    </w:p>
    <w:p w:rsidR="00A75E62" w:rsidRPr="00107CC9" w:rsidRDefault="00A75E62" w:rsidP="00A75E62">
      <w:pPr>
        <w:spacing w:line="240" w:lineRule="auto"/>
        <w:jc w:val="both"/>
        <w:rPr>
          <w:rFonts w:ascii="Verdana" w:hAnsi="Verdana"/>
          <w:i/>
          <w:sz w:val="20"/>
          <w:szCs w:val="20"/>
          <w:highlight w:val="lightGray"/>
        </w:rPr>
      </w:pPr>
      <w:r w:rsidRPr="00107CC9">
        <w:rPr>
          <w:rFonts w:ascii="Verdana" w:hAnsi="Verdana" w:cs="Arial"/>
          <w:i/>
          <w:sz w:val="20"/>
          <w:szCs w:val="20"/>
          <w:highlight w:val="lightGray"/>
        </w:rPr>
        <w:t xml:space="preserve">As of September 2014, the </w:t>
      </w:r>
      <w:r w:rsidRPr="00107CC9">
        <w:rPr>
          <w:rFonts w:ascii="Verdana" w:hAnsi="Verdana" w:cs="Arial"/>
          <w:b/>
          <w:i/>
          <w:sz w:val="20"/>
          <w:szCs w:val="20"/>
          <w:highlight w:val="lightGray"/>
          <w:u w:val="single"/>
        </w:rPr>
        <w:t>United Kingdom</w:t>
      </w:r>
      <w:r w:rsidRPr="00107CC9">
        <w:rPr>
          <w:rFonts w:ascii="Verdana" w:hAnsi="Verdana" w:cs="Arial"/>
          <w:i/>
          <w:sz w:val="20"/>
          <w:szCs w:val="20"/>
          <w:highlight w:val="lightGray"/>
        </w:rPr>
        <w:t xml:space="preserve"> launched the second application cycle of the Global Innovation Initiative (GII), a higher education grant competition created to strengthen higher education research partnerships between the United States, the United Kingdom and four other countries: Brazil, China, India, and Indonesia. This initiative provides grant opportunities for post-secondary educational partnerships on topics of global significance in the fields of science, technology, engineering and mathematics (STEM) in the following areas: energy, climate change and the environment; urban development; agriculture, food security and water; and global health. Accredited U.S. post-secondary educational institutions are invited to apply for one of approximately six grants of up to $200,000 each, and must apply together with at least one higher education partner in the UK, and one in Brazil, China, India, and/or Indonesia. T</w:t>
      </w:r>
      <w:r w:rsidRPr="00107CC9">
        <w:rPr>
          <w:rFonts w:ascii="Verdana" w:hAnsi="Verdana"/>
          <w:i/>
          <w:sz w:val="20"/>
          <w:szCs w:val="20"/>
          <w:highlight w:val="lightGray"/>
        </w:rPr>
        <w:t>he GII was created to support multilateral research collaboration to address global challenges</w:t>
      </w:r>
      <w:r w:rsidRPr="00107CC9">
        <w:rPr>
          <w:rStyle w:val="FootnoteReference"/>
          <w:rFonts w:ascii="Verdana" w:hAnsi="Verdana"/>
          <w:i/>
          <w:sz w:val="20"/>
          <w:szCs w:val="20"/>
          <w:highlight w:val="lightGray"/>
        </w:rPr>
        <w:footnoteReference w:id="51"/>
      </w:r>
      <w:r w:rsidRPr="00107CC9">
        <w:rPr>
          <w:rFonts w:ascii="Verdana" w:hAnsi="Verdana"/>
          <w:i/>
          <w:sz w:val="20"/>
          <w:szCs w:val="20"/>
          <w:highlight w:val="lightGray"/>
        </w:rPr>
        <w:t xml:space="preserve">. </w:t>
      </w:r>
    </w:p>
    <w:p w:rsidR="00A75E62" w:rsidRPr="00107CC9" w:rsidRDefault="00A75E62" w:rsidP="00A75E62">
      <w:pPr>
        <w:spacing w:line="240" w:lineRule="auto"/>
        <w:jc w:val="both"/>
        <w:rPr>
          <w:rFonts w:ascii="Verdana" w:hAnsi="Verdana" w:cs="TimesNewRomanPSMT"/>
          <w:i/>
          <w:color w:val="000000"/>
          <w:sz w:val="20"/>
          <w:szCs w:val="20"/>
        </w:rPr>
      </w:pPr>
      <w:r w:rsidRPr="00107CC9">
        <w:rPr>
          <w:rFonts w:ascii="Verdana" w:hAnsi="Verdana" w:cs="Calibri"/>
          <w:b/>
          <w:i/>
          <w:sz w:val="20"/>
          <w:szCs w:val="20"/>
          <w:highlight w:val="lightGray"/>
          <w:u w:val="single"/>
        </w:rPr>
        <w:t>Ireland:</w:t>
      </w:r>
      <w:r w:rsidRPr="00107CC9">
        <w:rPr>
          <w:rFonts w:ascii="Verdana" w:hAnsi="Verdana" w:cs="Calibri"/>
          <w:b/>
          <w:i/>
          <w:sz w:val="20"/>
          <w:szCs w:val="20"/>
          <w:highlight w:val="lightGray"/>
        </w:rPr>
        <w:t xml:space="preserve"> </w:t>
      </w:r>
      <w:r w:rsidRPr="00107CC9">
        <w:rPr>
          <w:rFonts w:ascii="Verdana" w:hAnsi="Verdana" w:cs="TimesNewRomanPSMT"/>
          <w:i/>
          <w:color w:val="000000"/>
          <w:sz w:val="20"/>
          <w:szCs w:val="20"/>
          <w:highlight w:val="lightGray"/>
        </w:rPr>
        <w:t xml:space="preserve">As per the seventh ‘strategic action’ recommended in the </w:t>
      </w:r>
      <w:r w:rsidRPr="00107CC9">
        <w:rPr>
          <w:rFonts w:ascii="Verdana" w:hAnsi="Verdana" w:cs="TimesNewRomanPS-ItalicMT"/>
          <w:i/>
          <w:iCs/>
          <w:color w:val="000000"/>
          <w:sz w:val="20"/>
          <w:szCs w:val="20"/>
          <w:highlight w:val="lightGray"/>
        </w:rPr>
        <w:t>International Education Strategy</w:t>
      </w:r>
      <w:r w:rsidRPr="00107CC9">
        <w:rPr>
          <w:rFonts w:ascii="Verdana" w:hAnsi="Verdana" w:cs="TimesNewRomanPSMT"/>
          <w:i/>
          <w:color w:val="000000"/>
          <w:sz w:val="20"/>
          <w:szCs w:val="20"/>
          <w:highlight w:val="lightGray"/>
        </w:rPr>
        <w:t>, the Government of Ireland’s International Scholarships were launched by the Minister for Education and Skills in 2013. With the aim of fostering ‘cultural and diplomatic links with emerging markets’, these scholarships provide a bursary of €10,000 to high-performing final-year undergraduate or postgraduate students from Brazil, India and China to enable them to undertake one year’s study in Ireland, for which fees and registration charges are waived. Links with emerging markets are also being developed through the Brazilian Government’s ‘Science Without Borders’ (</w:t>
      </w:r>
      <w:proofErr w:type="spellStart"/>
      <w:r w:rsidRPr="00107CC9">
        <w:rPr>
          <w:rFonts w:ascii="Verdana" w:hAnsi="Verdana" w:cs="TimesNewRomanPSMT"/>
          <w:i/>
          <w:color w:val="000000"/>
          <w:sz w:val="20"/>
          <w:szCs w:val="20"/>
          <w:highlight w:val="lightGray"/>
        </w:rPr>
        <w:t>Ciência</w:t>
      </w:r>
      <w:proofErr w:type="spellEnd"/>
      <w:r w:rsidRPr="00107CC9">
        <w:rPr>
          <w:rFonts w:ascii="Verdana" w:hAnsi="Verdana" w:cs="TimesNewRomanPSMT"/>
          <w:i/>
          <w:color w:val="000000"/>
          <w:sz w:val="20"/>
          <w:szCs w:val="20"/>
          <w:highlight w:val="lightGray"/>
        </w:rPr>
        <w:t xml:space="preserve"> </w:t>
      </w:r>
      <w:proofErr w:type="spellStart"/>
      <w:r w:rsidRPr="00107CC9">
        <w:rPr>
          <w:rFonts w:ascii="Verdana" w:hAnsi="Verdana" w:cs="TimesNewRomanPSMT"/>
          <w:i/>
          <w:color w:val="000000"/>
          <w:sz w:val="20"/>
          <w:szCs w:val="20"/>
          <w:highlight w:val="lightGray"/>
        </w:rPr>
        <w:t>sem</w:t>
      </w:r>
      <w:proofErr w:type="spellEnd"/>
      <w:r w:rsidRPr="00107CC9">
        <w:rPr>
          <w:rFonts w:ascii="Verdana" w:hAnsi="Verdana" w:cs="TimesNewRomanPSMT"/>
          <w:i/>
          <w:color w:val="000000"/>
          <w:sz w:val="20"/>
          <w:szCs w:val="20"/>
          <w:highlight w:val="lightGray"/>
        </w:rPr>
        <w:t xml:space="preserve"> </w:t>
      </w:r>
      <w:proofErr w:type="spellStart"/>
      <w:r w:rsidRPr="00107CC9">
        <w:rPr>
          <w:rFonts w:ascii="Verdana" w:hAnsi="Verdana" w:cs="TimesNewRomanPSMT"/>
          <w:i/>
          <w:color w:val="000000"/>
          <w:sz w:val="20"/>
          <w:szCs w:val="20"/>
          <w:highlight w:val="lightGray"/>
        </w:rPr>
        <w:t>Fronteiras</w:t>
      </w:r>
      <w:proofErr w:type="spellEnd"/>
      <w:r w:rsidRPr="00107CC9">
        <w:rPr>
          <w:rFonts w:ascii="Verdana" w:hAnsi="Verdana" w:cs="TimesNewRomanPSMT"/>
          <w:i/>
          <w:color w:val="000000"/>
          <w:sz w:val="20"/>
          <w:szCs w:val="20"/>
          <w:highlight w:val="lightGray"/>
        </w:rPr>
        <w:t>) initiative, managed within Ireland by the HEA, which is supporting approximately 1,200 students from Brazil to spend a year studying science and technology in an Irish higher education institution.</w:t>
      </w:r>
      <w:r w:rsidRPr="00107CC9">
        <w:rPr>
          <w:rFonts w:ascii="Verdana" w:hAnsi="Verdana" w:cs="TimesNewRomanPSMT"/>
          <w:i/>
          <w:color w:val="000000"/>
          <w:sz w:val="20"/>
          <w:szCs w:val="20"/>
        </w:rPr>
        <w:t xml:space="preserve"> </w:t>
      </w:r>
    </w:p>
    <w:p w:rsidR="00A75E62" w:rsidRPr="00107CC9" w:rsidRDefault="00A75E62" w:rsidP="00A75E62">
      <w:pPr>
        <w:pStyle w:val="ListParagraph"/>
        <w:spacing w:after="160" w:line="259" w:lineRule="auto"/>
        <w:ind w:left="0"/>
        <w:jc w:val="both"/>
        <w:rPr>
          <w:rFonts w:ascii="Verdana" w:hAnsi="Verdana"/>
          <w:i/>
          <w:sz w:val="20"/>
          <w:szCs w:val="20"/>
          <w:highlight w:val="lightGray"/>
        </w:rPr>
      </w:pPr>
      <w:r w:rsidRPr="00107CC9">
        <w:rPr>
          <w:rFonts w:ascii="Verdana" w:hAnsi="Verdana" w:cs="TimesNewRomanPSMT"/>
          <w:i/>
          <w:color w:val="000000"/>
          <w:sz w:val="20"/>
          <w:szCs w:val="20"/>
          <w:highlight w:val="lightGray"/>
        </w:rPr>
        <w:lastRenderedPageBreak/>
        <w:t xml:space="preserve">The </w:t>
      </w:r>
      <w:r w:rsidRPr="00107CC9">
        <w:rPr>
          <w:rFonts w:ascii="Verdana" w:hAnsi="Verdana" w:cs="TimesNewRomanPSMT"/>
          <w:b/>
          <w:i/>
          <w:color w:val="000000"/>
          <w:sz w:val="20"/>
          <w:szCs w:val="20"/>
          <w:highlight w:val="lightGray"/>
          <w:u w:val="single"/>
        </w:rPr>
        <w:t>Lithuanian</w:t>
      </w:r>
      <w:r w:rsidRPr="00107CC9">
        <w:rPr>
          <w:rFonts w:ascii="Verdana" w:hAnsi="Verdana" w:cs="TimesNewRomanPSMT"/>
          <w:i/>
          <w:color w:val="000000"/>
          <w:sz w:val="20"/>
          <w:szCs w:val="20"/>
          <w:highlight w:val="lightGray"/>
        </w:rPr>
        <w:t xml:space="preserve"> government, under its Action Plan for the Promoting the International Dimension in Higher Education (2013-17) has set a target for ‘</w:t>
      </w:r>
      <w:r w:rsidRPr="00107CC9">
        <w:rPr>
          <w:rFonts w:ascii="Verdana" w:hAnsi="Verdana"/>
          <w:i/>
          <w:sz w:val="20"/>
          <w:szCs w:val="20"/>
          <w:highlight w:val="lightGray"/>
        </w:rPr>
        <w:t xml:space="preserve">number of successfully implemented joint study </w:t>
      </w:r>
      <w:proofErr w:type="spellStart"/>
      <w:r w:rsidRPr="00107CC9">
        <w:rPr>
          <w:rFonts w:ascii="Verdana" w:hAnsi="Verdana"/>
          <w:i/>
          <w:sz w:val="20"/>
          <w:szCs w:val="20"/>
          <w:highlight w:val="lightGray"/>
        </w:rPr>
        <w:t>programmes</w:t>
      </w:r>
      <w:proofErr w:type="spellEnd"/>
      <w:r w:rsidRPr="00107CC9">
        <w:rPr>
          <w:rFonts w:ascii="Verdana" w:hAnsi="Verdana"/>
          <w:i/>
          <w:sz w:val="20"/>
          <w:szCs w:val="20"/>
          <w:highlight w:val="lightGray"/>
        </w:rPr>
        <w:t xml:space="preserve">’. They wish to have 30 such </w:t>
      </w:r>
      <w:proofErr w:type="spellStart"/>
      <w:r w:rsidRPr="00107CC9">
        <w:rPr>
          <w:rFonts w:ascii="Verdana" w:hAnsi="Verdana"/>
          <w:i/>
          <w:sz w:val="20"/>
          <w:szCs w:val="20"/>
          <w:highlight w:val="lightGray"/>
        </w:rPr>
        <w:t>programmes</w:t>
      </w:r>
      <w:proofErr w:type="spellEnd"/>
      <w:r w:rsidRPr="00107CC9">
        <w:rPr>
          <w:rFonts w:ascii="Verdana" w:hAnsi="Verdana"/>
          <w:i/>
          <w:sz w:val="20"/>
          <w:szCs w:val="20"/>
          <w:highlight w:val="lightGray"/>
        </w:rPr>
        <w:t xml:space="preserve"> in 2020. Up until present, 15 joint </w:t>
      </w:r>
      <w:proofErr w:type="spellStart"/>
      <w:r w:rsidRPr="00107CC9">
        <w:rPr>
          <w:rFonts w:ascii="Verdana" w:hAnsi="Verdana"/>
          <w:i/>
          <w:sz w:val="20"/>
          <w:szCs w:val="20"/>
          <w:highlight w:val="lightGray"/>
        </w:rPr>
        <w:t>programmes</w:t>
      </w:r>
      <w:proofErr w:type="spellEnd"/>
      <w:r w:rsidRPr="00107CC9">
        <w:rPr>
          <w:rFonts w:ascii="Verdana" w:hAnsi="Verdana"/>
          <w:i/>
          <w:sz w:val="20"/>
          <w:szCs w:val="20"/>
          <w:highlight w:val="lightGray"/>
        </w:rPr>
        <w:t xml:space="preserve"> have been accredited and 18 </w:t>
      </w:r>
      <w:proofErr w:type="spellStart"/>
      <w:r w:rsidRPr="00107CC9">
        <w:rPr>
          <w:rFonts w:ascii="Verdana" w:hAnsi="Verdana"/>
          <w:i/>
          <w:sz w:val="20"/>
          <w:szCs w:val="20"/>
          <w:highlight w:val="lightGray"/>
        </w:rPr>
        <w:t>programmes</w:t>
      </w:r>
      <w:proofErr w:type="spellEnd"/>
      <w:r w:rsidRPr="00107CC9">
        <w:rPr>
          <w:rFonts w:ascii="Verdana" w:hAnsi="Verdana"/>
          <w:i/>
          <w:sz w:val="20"/>
          <w:szCs w:val="20"/>
          <w:highlight w:val="lightGray"/>
        </w:rPr>
        <w:t xml:space="preserve"> funded from the European Social Funds (ESF).  </w:t>
      </w:r>
    </w:p>
    <w:p w:rsidR="00A75E62" w:rsidRPr="00107CC9" w:rsidRDefault="00A75E62" w:rsidP="00A75E62">
      <w:pPr>
        <w:pStyle w:val="ListParagraph"/>
        <w:spacing w:after="160" w:line="259" w:lineRule="auto"/>
        <w:ind w:left="0"/>
        <w:jc w:val="both"/>
        <w:rPr>
          <w:rFonts w:ascii="Verdana" w:hAnsi="Verdana"/>
          <w:i/>
          <w:sz w:val="20"/>
          <w:szCs w:val="20"/>
          <w:highlight w:val="lightGray"/>
        </w:rPr>
      </w:pPr>
    </w:p>
    <w:p w:rsidR="00A75E62" w:rsidRPr="00107CC9" w:rsidRDefault="00A75E62" w:rsidP="00A75E62">
      <w:pPr>
        <w:pStyle w:val="ListParagraph"/>
        <w:autoSpaceDE w:val="0"/>
        <w:autoSpaceDN w:val="0"/>
        <w:adjustRightInd w:val="0"/>
        <w:ind w:left="0"/>
        <w:jc w:val="both"/>
        <w:rPr>
          <w:rFonts w:ascii="Verdana" w:hAnsi="Verdana" w:cs="Calibri"/>
          <w:i/>
          <w:sz w:val="20"/>
          <w:szCs w:val="20"/>
          <w:highlight w:val="lightGray"/>
        </w:rPr>
      </w:pPr>
      <w:r w:rsidRPr="00107CC9">
        <w:rPr>
          <w:rFonts w:ascii="Verdana" w:hAnsi="Verdana" w:cs="Calibri"/>
          <w:b/>
          <w:i/>
          <w:sz w:val="20"/>
          <w:szCs w:val="20"/>
          <w:highlight w:val="lightGray"/>
          <w:u w:val="single"/>
        </w:rPr>
        <w:t>France:</w:t>
      </w:r>
      <w:r w:rsidRPr="00107CC9">
        <w:rPr>
          <w:rFonts w:ascii="Verdana" w:hAnsi="Verdana" w:cs="Calibri"/>
          <w:i/>
          <w:sz w:val="20"/>
          <w:szCs w:val="20"/>
          <w:highlight w:val="lightGray"/>
        </w:rPr>
        <w:t xml:space="preserve"> Beyond regular bilateral calls for joint Master degrees or “</w:t>
      </w:r>
      <w:proofErr w:type="spellStart"/>
      <w:r w:rsidRPr="00107CC9">
        <w:rPr>
          <w:rFonts w:ascii="Verdana" w:hAnsi="Verdana" w:cs="Calibri"/>
          <w:i/>
          <w:sz w:val="20"/>
          <w:szCs w:val="20"/>
          <w:highlight w:val="lightGray"/>
        </w:rPr>
        <w:t>cotutelles</w:t>
      </w:r>
      <w:proofErr w:type="spellEnd"/>
      <w:r w:rsidRPr="00107CC9">
        <w:rPr>
          <w:rFonts w:ascii="Verdana" w:hAnsi="Verdana" w:cs="Calibri"/>
          <w:i/>
          <w:sz w:val="20"/>
          <w:szCs w:val="20"/>
          <w:highlight w:val="lightGray"/>
        </w:rPr>
        <w:t xml:space="preserve"> de </w:t>
      </w:r>
      <w:proofErr w:type="spellStart"/>
      <w:r w:rsidRPr="00107CC9">
        <w:rPr>
          <w:rFonts w:ascii="Verdana" w:hAnsi="Verdana" w:cs="Calibri"/>
          <w:i/>
          <w:sz w:val="20"/>
          <w:szCs w:val="20"/>
          <w:highlight w:val="lightGray"/>
        </w:rPr>
        <w:t>thèse</w:t>
      </w:r>
      <w:proofErr w:type="spellEnd"/>
      <w:r w:rsidRPr="00107CC9">
        <w:rPr>
          <w:rFonts w:ascii="Verdana" w:hAnsi="Verdana" w:cs="Calibri"/>
          <w:i/>
          <w:sz w:val="20"/>
          <w:szCs w:val="20"/>
          <w:highlight w:val="lightGray"/>
        </w:rPr>
        <w:t xml:space="preserve">” (joint supervision of thesis) with main European partners, many joint degrees were developed on a multilateral basis under the Erasmus Mundus </w:t>
      </w:r>
      <w:proofErr w:type="spellStart"/>
      <w:r w:rsidRPr="00107CC9">
        <w:rPr>
          <w:rFonts w:ascii="Verdana" w:hAnsi="Verdana" w:cs="Calibri"/>
          <w:i/>
          <w:sz w:val="20"/>
          <w:szCs w:val="20"/>
          <w:highlight w:val="lightGray"/>
        </w:rPr>
        <w:t>programme</w:t>
      </w:r>
      <w:proofErr w:type="spellEnd"/>
      <w:r w:rsidRPr="00107CC9">
        <w:rPr>
          <w:rFonts w:ascii="Verdana" w:hAnsi="Verdana" w:cs="Calibri"/>
          <w:i/>
          <w:sz w:val="20"/>
          <w:szCs w:val="20"/>
          <w:highlight w:val="lightGray"/>
        </w:rPr>
        <w:t xml:space="preserve"> between French institutions and institutions in North America, Mexico and Latin America (Brazil, Columbia, Peru, Chile, Argentina), North Africa and South Africa, China and India, and Australia. Outside the EHEA, France is also active in increasing HE partnerships on a bilateral basis. From this perspective, the main countries where concrete </w:t>
      </w:r>
      <w:proofErr w:type="spellStart"/>
      <w:r w:rsidRPr="00107CC9">
        <w:rPr>
          <w:rFonts w:ascii="Verdana" w:hAnsi="Verdana" w:cs="Calibri"/>
          <w:i/>
          <w:sz w:val="20"/>
          <w:szCs w:val="20"/>
          <w:highlight w:val="lightGray"/>
        </w:rPr>
        <w:t>programmes</w:t>
      </w:r>
      <w:proofErr w:type="spellEnd"/>
      <w:r w:rsidRPr="00107CC9">
        <w:rPr>
          <w:rFonts w:ascii="Verdana" w:hAnsi="Verdana" w:cs="Calibri"/>
          <w:i/>
          <w:sz w:val="20"/>
          <w:szCs w:val="20"/>
          <w:highlight w:val="lightGray"/>
        </w:rPr>
        <w:t xml:space="preserve"> have been launched are Mexico, Argentina, Colombia and Chile. ‘Partnerships for excellence’ are further funded with the USA (“Tocqueville-Fulbright” chairs for example) and countries in Asia (like in South-Korea, Singapore, with support to university and scientific projects; or </w:t>
      </w:r>
      <w:proofErr w:type="spellStart"/>
      <w:r w:rsidRPr="00107CC9">
        <w:rPr>
          <w:rFonts w:ascii="Verdana" w:hAnsi="Verdana" w:cs="Calibri"/>
          <w:i/>
          <w:sz w:val="20"/>
          <w:szCs w:val="20"/>
          <w:highlight w:val="lightGray"/>
        </w:rPr>
        <w:t>Taïwan</w:t>
      </w:r>
      <w:proofErr w:type="spellEnd"/>
      <w:r w:rsidRPr="00107CC9">
        <w:rPr>
          <w:rFonts w:ascii="Verdana" w:hAnsi="Verdana" w:cs="Calibri"/>
          <w:i/>
          <w:sz w:val="20"/>
          <w:szCs w:val="20"/>
          <w:highlight w:val="lightGray"/>
        </w:rPr>
        <w:t xml:space="preserve"> and Japan, with </w:t>
      </w:r>
      <w:proofErr w:type="spellStart"/>
      <w:r w:rsidRPr="00107CC9">
        <w:rPr>
          <w:rFonts w:ascii="Verdana" w:hAnsi="Verdana" w:cs="Calibri"/>
          <w:i/>
          <w:sz w:val="20"/>
          <w:szCs w:val="20"/>
          <w:highlight w:val="lightGray"/>
        </w:rPr>
        <w:t>pluridisciplinary</w:t>
      </w:r>
      <w:proofErr w:type="spellEnd"/>
      <w:r w:rsidRPr="00107CC9">
        <w:rPr>
          <w:rFonts w:ascii="Verdana" w:hAnsi="Verdana" w:cs="Calibri"/>
          <w:i/>
          <w:sz w:val="20"/>
          <w:szCs w:val="20"/>
          <w:highlight w:val="lightGray"/>
        </w:rPr>
        <w:t xml:space="preserve"> meetings for early-stage researchers). Generally speaking, partnerships involve an increasing focus on student mobility at master and doctoral levels.</w:t>
      </w:r>
    </w:p>
    <w:p w:rsidR="00A75E62" w:rsidRPr="00107CC9" w:rsidRDefault="00A75E62" w:rsidP="00A75E62">
      <w:pPr>
        <w:spacing w:line="240" w:lineRule="auto"/>
        <w:jc w:val="both"/>
        <w:rPr>
          <w:rFonts w:ascii="Verdana" w:hAnsi="Verdana" w:cs="Calibri"/>
          <w:b/>
          <w:i/>
          <w:sz w:val="20"/>
          <w:szCs w:val="20"/>
        </w:rPr>
      </w:pPr>
    </w:p>
    <w:p w:rsidR="00A75E62" w:rsidRPr="00107CC9" w:rsidRDefault="00A75E62" w:rsidP="00A75E62">
      <w:pPr>
        <w:spacing w:line="240" w:lineRule="auto"/>
        <w:jc w:val="both"/>
        <w:rPr>
          <w:rFonts w:ascii="Verdana" w:hAnsi="Verdana" w:cs="Calibri"/>
          <w:i/>
          <w:sz w:val="20"/>
          <w:szCs w:val="20"/>
        </w:rPr>
      </w:pPr>
      <w:r w:rsidRPr="00107CC9">
        <w:rPr>
          <w:rFonts w:ascii="Verdana" w:hAnsi="Verdana" w:cs="Calibri"/>
          <w:b/>
          <w:i/>
          <w:sz w:val="20"/>
          <w:szCs w:val="20"/>
          <w:highlight w:val="lightGray"/>
          <w:u w:val="single"/>
        </w:rPr>
        <w:t>Germany</w:t>
      </w:r>
      <w:r w:rsidRPr="00107CC9">
        <w:rPr>
          <w:rFonts w:ascii="Verdana" w:hAnsi="Verdana" w:cs="Calibri"/>
          <w:b/>
          <w:i/>
          <w:sz w:val="20"/>
          <w:szCs w:val="20"/>
          <w:highlight w:val="lightGray"/>
        </w:rPr>
        <w:t xml:space="preserve">: </w:t>
      </w:r>
      <w:r w:rsidRPr="00107CC9">
        <w:rPr>
          <w:rFonts w:ascii="Verdana" w:hAnsi="Verdana" w:cs="Calibri"/>
          <w:i/>
          <w:sz w:val="20"/>
          <w:szCs w:val="20"/>
          <w:highlight w:val="lightGray"/>
        </w:rPr>
        <w:t xml:space="preserve">In Germany, there have been a number of initiatives to enhance partnership with non-EHEA institutions, specifically through joint-study </w:t>
      </w:r>
      <w:proofErr w:type="spellStart"/>
      <w:r w:rsidRPr="00107CC9">
        <w:rPr>
          <w:rFonts w:ascii="Verdana" w:hAnsi="Verdana" w:cs="Calibri"/>
          <w:i/>
          <w:sz w:val="20"/>
          <w:szCs w:val="20"/>
          <w:highlight w:val="lightGray"/>
        </w:rPr>
        <w:t>programmes</w:t>
      </w:r>
      <w:proofErr w:type="spellEnd"/>
      <w:r w:rsidRPr="00107CC9">
        <w:rPr>
          <w:rFonts w:ascii="Verdana" w:hAnsi="Verdana" w:cs="Calibri"/>
          <w:i/>
          <w:sz w:val="20"/>
          <w:szCs w:val="20"/>
          <w:highlight w:val="lightGray"/>
        </w:rPr>
        <w:t xml:space="preserve">. ASEMUNDUS/Euro-Asia.net was a joint European project, coordinated by the DAAD, on promoting European-Asian joint study </w:t>
      </w:r>
      <w:proofErr w:type="spellStart"/>
      <w:r w:rsidRPr="00107CC9">
        <w:rPr>
          <w:rFonts w:ascii="Verdana" w:hAnsi="Verdana" w:cs="Calibri"/>
          <w:i/>
          <w:sz w:val="20"/>
          <w:szCs w:val="20"/>
          <w:highlight w:val="lightGray"/>
        </w:rPr>
        <w:t>programmes</w:t>
      </w:r>
      <w:proofErr w:type="spellEnd"/>
      <w:r w:rsidRPr="00107CC9">
        <w:rPr>
          <w:rFonts w:ascii="Verdana" w:hAnsi="Verdana" w:cs="Calibri"/>
          <w:i/>
          <w:sz w:val="20"/>
          <w:szCs w:val="20"/>
          <w:highlight w:val="lightGray"/>
        </w:rPr>
        <w:t xml:space="preserve"> and mobility partnerships (using the Erasmus Mundus </w:t>
      </w:r>
      <w:proofErr w:type="spellStart"/>
      <w:r w:rsidRPr="00107CC9">
        <w:rPr>
          <w:rFonts w:ascii="Verdana" w:hAnsi="Verdana" w:cs="Calibri"/>
          <w:i/>
          <w:sz w:val="20"/>
          <w:szCs w:val="20"/>
          <w:highlight w:val="lightGray"/>
        </w:rPr>
        <w:t>programme</w:t>
      </w:r>
      <w:proofErr w:type="spellEnd"/>
      <w:r w:rsidRPr="00107CC9">
        <w:rPr>
          <w:rFonts w:ascii="Verdana" w:hAnsi="Verdana" w:cs="Calibri"/>
          <w:i/>
          <w:sz w:val="20"/>
          <w:szCs w:val="20"/>
          <w:highlight w:val="lightGray"/>
        </w:rPr>
        <w:t xml:space="preserve"> as best practice) - </w:t>
      </w:r>
      <w:hyperlink r:id="rId24" w:history="1">
        <w:r w:rsidRPr="00107CC9">
          <w:rPr>
            <w:rStyle w:val="Hyperlink"/>
            <w:rFonts w:ascii="Verdana" w:hAnsi="Verdana" w:cs="Calibri"/>
            <w:i/>
            <w:sz w:val="20"/>
            <w:szCs w:val="20"/>
            <w:highlight w:val="lightGray"/>
          </w:rPr>
          <w:t>http://www.asem-education-secretariat.org/en/12184/</w:t>
        </w:r>
      </w:hyperlink>
      <w:r w:rsidRPr="00107CC9">
        <w:rPr>
          <w:rFonts w:ascii="Verdana" w:hAnsi="Verdana" w:cs="Calibri"/>
          <w:i/>
          <w:sz w:val="20"/>
          <w:szCs w:val="20"/>
          <w:highlight w:val="lightGray"/>
        </w:rPr>
        <w:t xml:space="preserve">. The DAAD has also financed Integrated International Double Degree </w:t>
      </w:r>
      <w:proofErr w:type="spellStart"/>
      <w:r w:rsidRPr="00107CC9">
        <w:rPr>
          <w:rFonts w:ascii="Verdana" w:hAnsi="Verdana" w:cs="Calibri"/>
          <w:i/>
          <w:sz w:val="20"/>
          <w:szCs w:val="20"/>
          <w:highlight w:val="lightGray"/>
        </w:rPr>
        <w:t>Programmes</w:t>
      </w:r>
      <w:proofErr w:type="spellEnd"/>
      <w:r w:rsidRPr="00107CC9">
        <w:rPr>
          <w:rFonts w:ascii="Verdana" w:hAnsi="Verdana" w:cs="Calibri"/>
          <w:i/>
          <w:sz w:val="20"/>
          <w:szCs w:val="20"/>
          <w:highlight w:val="lightGray"/>
        </w:rPr>
        <w:t xml:space="preserve"> between German institutions and institutions around the globe, providing additional scholarships for German students to participate in such </w:t>
      </w:r>
      <w:proofErr w:type="spellStart"/>
      <w:r w:rsidRPr="00107CC9">
        <w:rPr>
          <w:rFonts w:ascii="Verdana" w:hAnsi="Verdana" w:cs="Calibri"/>
          <w:i/>
          <w:sz w:val="20"/>
          <w:szCs w:val="20"/>
          <w:highlight w:val="lightGray"/>
        </w:rPr>
        <w:t>programmes</w:t>
      </w:r>
      <w:proofErr w:type="spellEnd"/>
      <w:r w:rsidRPr="00107CC9">
        <w:rPr>
          <w:rFonts w:ascii="Verdana" w:hAnsi="Verdana" w:cs="Calibri"/>
          <w:i/>
          <w:sz w:val="20"/>
          <w:szCs w:val="20"/>
          <w:highlight w:val="lightGray"/>
        </w:rPr>
        <w:t xml:space="preserve"> and undertake a credit mobility abroad.</w:t>
      </w:r>
    </w:p>
    <w:p w:rsidR="00A75E62" w:rsidRPr="00107CC9" w:rsidRDefault="00A75E62" w:rsidP="00A75E62">
      <w:pPr>
        <w:spacing w:line="240" w:lineRule="auto"/>
        <w:jc w:val="both"/>
        <w:rPr>
          <w:rFonts w:ascii="Verdana" w:hAnsi="Verdana" w:cs="Calibri"/>
          <w:b/>
          <w:i/>
          <w:sz w:val="20"/>
          <w:szCs w:val="20"/>
          <w:u w:val="single"/>
        </w:rPr>
      </w:pPr>
      <w:r w:rsidRPr="00107CC9">
        <w:rPr>
          <w:rFonts w:ascii="Verdana" w:hAnsi="Verdana" w:cs="Calibri"/>
          <w:b/>
          <w:i/>
          <w:sz w:val="20"/>
          <w:szCs w:val="20"/>
          <w:highlight w:val="lightGray"/>
          <w:u w:val="single"/>
        </w:rPr>
        <w:t xml:space="preserve">Austria: </w:t>
      </w:r>
      <w:r w:rsidRPr="00107CC9">
        <w:rPr>
          <w:rFonts w:ascii="Verdana" w:hAnsi="Verdana" w:cs="Calibri"/>
          <w:i/>
          <w:sz w:val="20"/>
          <w:szCs w:val="20"/>
          <w:highlight w:val="lightGray"/>
        </w:rPr>
        <w:t xml:space="preserve">Austria has established a number of bilateral agreements and Memoranda of Understanding targeting countries worldwide. Out of the 20 currently active agreements nine are with EU member states, four with associated countries and seven with third countries. In general these agreements are implemented via bilateral calls and cover mobility costs for cooperation projects and aim at enabling new project </w:t>
      </w:r>
      <w:proofErr w:type="spellStart"/>
      <w:r w:rsidRPr="00107CC9">
        <w:rPr>
          <w:rFonts w:ascii="Verdana" w:hAnsi="Verdana" w:cs="Calibri"/>
          <w:i/>
          <w:sz w:val="20"/>
          <w:szCs w:val="20"/>
          <w:highlight w:val="lightGray"/>
        </w:rPr>
        <w:t>cooperations</w:t>
      </w:r>
      <w:proofErr w:type="spellEnd"/>
      <w:r w:rsidRPr="00107CC9">
        <w:rPr>
          <w:rFonts w:ascii="Verdana" w:hAnsi="Verdana" w:cs="Calibri"/>
          <w:i/>
          <w:sz w:val="20"/>
          <w:szCs w:val="20"/>
          <w:highlight w:val="lightGray"/>
        </w:rPr>
        <w:t xml:space="preserve"> and networks. The main funded target groups are researchers within the higher education system, as being based at a university, university of applied sciences or public research institute is an eligibility criterion. In 2013 254 projects with around 1400 in- and outgoing researchers have been funded in total.</w:t>
      </w:r>
      <w:r w:rsidRPr="00107CC9">
        <w:rPr>
          <w:rFonts w:ascii="Verdana" w:hAnsi="Verdana" w:cs="Calibri"/>
          <w:i/>
          <w:sz w:val="20"/>
          <w:szCs w:val="20"/>
        </w:rPr>
        <w:t xml:space="preserve"> </w:t>
      </w:r>
      <w:r w:rsidRPr="00107CC9">
        <w:rPr>
          <w:rFonts w:ascii="Verdana" w:hAnsi="Verdana" w:cs="Calibri"/>
          <w:i/>
          <w:sz w:val="20"/>
          <w:szCs w:val="20"/>
        </w:rPr>
        <w:br/>
      </w:r>
    </w:p>
    <w:p w:rsidR="00A75E62" w:rsidRPr="00107CC9" w:rsidRDefault="00A75E62" w:rsidP="00A75E62">
      <w:pPr>
        <w:spacing w:after="0" w:line="240" w:lineRule="auto"/>
        <w:jc w:val="both"/>
        <w:rPr>
          <w:rFonts w:ascii="Verdana" w:hAnsi="Verdana"/>
          <w:sz w:val="20"/>
          <w:szCs w:val="20"/>
        </w:rPr>
      </w:pPr>
      <w:r w:rsidRPr="00107CC9">
        <w:rPr>
          <w:rFonts w:ascii="Verdana" w:hAnsi="Verdana" w:cs="Calibri"/>
          <w:b/>
          <w:i/>
          <w:sz w:val="20"/>
          <w:szCs w:val="20"/>
          <w:highlight w:val="lightGray"/>
          <w:u w:val="single"/>
        </w:rPr>
        <w:t xml:space="preserve">Spain: </w:t>
      </w:r>
      <w:r w:rsidRPr="00107CC9">
        <w:rPr>
          <w:rFonts w:ascii="Verdana" w:hAnsi="Verdana"/>
          <w:sz w:val="20"/>
          <w:szCs w:val="20"/>
          <w:highlight w:val="lightGray"/>
        </w:rPr>
        <w:t xml:space="preserve">Spanish universities are involved in Joint Master degrees developed under the Erasmus Mundus and Mediterranean Office for Youth </w:t>
      </w:r>
      <w:proofErr w:type="spellStart"/>
      <w:r w:rsidRPr="00107CC9">
        <w:rPr>
          <w:rFonts w:ascii="Verdana" w:hAnsi="Verdana"/>
          <w:sz w:val="20"/>
          <w:szCs w:val="20"/>
          <w:highlight w:val="lightGray"/>
        </w:rPr>
        <w:t>programmes</w:t>
      </w:r>
      <w:proofErr w:type="spellEnd"/>
      <w:r w:rsidRPr="00107CC9">
        <w:rPr>
          <w:rFonts w:ascii="Verdana" w:hAnsi="Verdana"/>
          <w:sz w:val="20"/>
          <w:szCs w:val="20"/>
          <w:highlight w:val="lightGray"/>
        </w:rPr>
        <w:t xml:space="preserve"> with universities of non EHEA countries, mainly Latin American and Southern Mediterranean countries. In addition within the Spanish excellence </w:t>
      </w:r>
      <w:proofErr w:type="spellStart"/>
      <w:r w:rsidRPr="00107CC9">
        <w:rPr>
          <w:rFonts w:ascii="Verdana" w:hAnsi="Verdana"/>
          <w:sz w:val="20"/>
          <w:szCs w:val="20"/>
          <w:highlight w:val="lightGray"/>
        </w:rPr>
        <w:t>programme</w:t>
      </w:r>
      <w:proofErr w:type="spellEnd"/>
      <w:r w:rsidRPr="00107CC9">
        <w:rPr>
          <w:rFonts w:ascii="Verdana" w:hAnsi="Verdana"/>
          <w:sz w:val="20"/>
          <w:szCs w:val="20"/>
          <w:highlight w:val="lightGray"/>
        </w:rPr>
        <w:t xml:space="preserve"> ‘International Campus of Excellence’ (2009 – 2011) specific funding was allocated to establish strategic partnership with foreign universities and </w:t>
      </w:r>
      <w:proofErr w:type="spellStart"/>
      <w:r w:rsidRPr="00107CC9">
        <w:rPr>
          <w:rFonts w:ascii="Verdana" w:hAnsi="Verdana"/>
          <w:sz w:val="20"/>
          <w:szCs w:val="20"/>
          <w:highlight w:val="lightGray"/>
        </w:rPr>
        <w:t>centres</w:t>
      </w:r>
      <w:proofErr w:type="spellEnd"/>
      <w:r w:rsidRPr="00107CC9">
        <w:rPr>
          <w:rFonts w:ascii="Verdana" w:hAnsi="Verdana"/>
          <w:sz w:val="20"/>
          <w:szCs w:val="20"/>
          <w:highlight w:val="lightGray"/>
        </w:rPr>
        <w:t xml:space="preserve"> of excellence worldwide, in countries like USA, China and Latin America. The Spanish Conference of Universities Rectors (CRUE) has established an Observatory on University Cooperation for the Development, accounting for all the university partnerships with third world universities.</w:t>
      </w:r>
      <w:r w:rsidRPr="00107CC9">
        <w:rPr>
          <w:rFonts w:ascii="Verdana" w:hAnsi="Verdana"/>
          <w:sz w:val="20"/>
          <w:szCs w:val="20"/>
        </w:rPr>
        <w:t xml:space="preserve"> </w:t>
      </w:r>
    </w:p>
    <w:p w:rsidR="00A75E62" w:rsidRPr="00107CC9" w:rsidRDefault="00A75E62" w:rsidP="00A75E62">
      <w:pPr>
        <w:spacing w:line="240" w:lineRule="auto"/>
        <w:jc w:val="both"/>
        <w:rPr>
          <w:rFonts w:ascii="Verdana" w:hAnsi="Verdana" w:cs="Calibri"/>
          <w:b/>
          <w:i/>
          <w:sz w:val="20"/>
          <w:szCs w:val="20"/>
          <w:u w:val="single"/>
        </w:rPr>
      </w:pPr>
    </w:p>
    <w:p w:rsidR="00A75E62" w:rsidRPr="00107CC9" w:rsidRDefault="00A75E62" w:rsidP="00A75E62">
      <w:pPr>
        <w:spacing w:line="240" w:lineRule="auto"/>
        <w:jc w:val="both"/>
        <w:rPr>
          <w:rFonts w:ascii="Verdana" w:hAnsi="Verdana" w:cs="Calibri"/>
          <w:sz w:val="20"/>
          <w:szCs w:val="20"/>
        </w:rPr>
      </w:pPr>
      <w:r w:rsidRPr="00107CC9">
        <w:rPr>
          <w:rFonts w:ascii="Verdana" w:hAnsi="Verdana" w:cs="Calibri"/>
          <w:sz w:val="20"/>
          <w:szCs w:val="20"/>
        </w:rPr>
        <w:lastRenderedPageBreak/>
        <w:t xml:space="preserve">Higher education partnerships have also become a feature of development cooperation </w:t>
      </w:r>
      <w:proofErr w:type="spellStart"/>
      <w:r w:rsidRPr="00107CC9">
        <w:rPr>
          <w:rFonts w:ascii="Verdana" w:hAnsi="Verdana" w:cs="Calibri"/>
          <w:sz w:val="20"/>
          <w:szCs w:val="20"/>
        </w:rPr>
        <w:t>programmes</w:t>
      </w:r>
      <w:proofErr w:type="spellEnd"/>
      <w:r w:rsidRPr="00107CC9">
        <w:rPr>
          <w:rFonts w:ascii="Verdana" w:hAnsi="Verdana" w:cs="Calibri"/>
          <w:sz w:val="20"/>
          <w:szCs w:val="20"/>
        </w:rPr>
        <w:t xml:space="preserve"> at national level in several systems. Many European countries now see higher education capacity development as a component not just of development aid, but of the </w:t>
      </w:r>
      <w:proofErr w:type="spellStart"/>
      <w:r w:rsidRPr="00107CC9">
        <w:rPr>
          <w:rFonts w:ascii="Verdana" w:hAnsi="Verdana" w:cs="Calibri"/>
          <w:sz w:val="20"/>
          <w:szCs w:val="20"/>
        </w:rPr>
        <w:t>internationalisation</w:t>
      </w:r>
      <w:proofErr w:type="spellEnd"/>
      <w:r w:rsidRPr="00107CC9">
        <w:rPr>
          <w:rFonts w:ascii="Verdana" w:hAnsi="Verdana" w:cs="Calibri"/>
          <w:sz w:val="20"/>
          <w:szCs w:val="20"/>
        </w:rPr>
        <w:t xml:space="preserve"> of their own HE sectors. This remains true in the Nordic countries – Finland and Norway being current and well-defined examples - and in Germany, where institutional partnership for capacity development has a long tradition and is also a clear strategic objective in the new federal government strategy for HE </w:t>
      </w:r>
      <w:proofErr w:type="spellStart"/>
      <w:r w:rsidRPr="00107CC9">
        <w:rPr>
          <w:rFonts w:ascii="Verdana" w:hAnsi="Verdana" w:cs="Calibri"/>
          <w:sz w:val="20"/>
          <w:szCs w:val="20"/>
        </w:rPr>
        <w:t>internationalisation</w:t>
      </w:r>
      <w:proofErr w:type="spellEnd"/>
      <w:r w:rsidRPr="00107CC9">
        <w:rPr>
          <w:rStyle w:val="FootnoteReference"/>
          <w:rFonts w:ascii="Verdana" w:hAnsi="Verdana" w:cs="Calibri"/>
          <w:sz w:val="20"/>
          <w:szCs w:val="20"/>
        </w:rPr>
        <w:footnoteReference w:id="52"/>
      </w:r>
      <w:r w:rsidRPr="00107CC9">
        <w:rPr>
          <w:rFonts w:ascii="Verdana" w:hAnsi="Verdana" w:cs="Calibri"/>
          <w:sz w:val="20"/>
          <w:szCs w:val="20"/>
        </w:rPr>
        <w:t xml:space="preserve">. These strategies are </w:t>
      </w:r>
      <w:proofErr w:type="spellStart"/>
      <w:r w:rsidRPr="00107CC9">
        <w:rPr>
          <w:rFonts w:ascii="Verdana" w:hAnsi="Verdana" w:cs="Calibri"/>
          <w:sz w:val="20"/>
          <w:szCs w:val="20"/>
        </w:rPr>
        <w:t>realised</w:t>
      </w:r>
      <w:proofErr w:type="spellEnd"/>
      <w:r w:rsidRPr="00107CC9">
        <w:rPr>
          <w:rFonts w:ascii="Verdana" w:hAnsi="Verdana" w:cs="Calibri"/>
          <w:sz w:val="20"/>
          <w:szCs w:val="20"/>
        </w:rPr>
        <w:t xml:space="preserve"> through a number of </w:t>
      </w:r>
      <w:proofErr w:type="spellStart"/>
      <w:r w:rsidRPr="00107CC9">
        <w:rPr>
          <w:rFonts w:ascii="Verdana" w:hAnsi="Verdana" w:cs="Calibri"/>
          <w:sz w:val="20"/>
          <w:szCs w:val="20"/>
        </w:rPr>
        <w:t>programmes</w:t>
      </w:r>
      <w:proofErr w:type="spellEnd"/>
      <w:r w:rsidRPr="00107CC9">
        <w:rPr>
          <w:rFonts w:ascii="Verdana" w:hAnsi="Verdana" w:cs="Calibri"/>
          <w:sz w:val="20"/>
          <w:szCs w:val="20"/>
        </w:rPr>
        <w:t xml:space="preserve"> (for collaborative masters and PhDs and joint institutional projects cultivating long-term partnership). The Netherlands and Belgium also continue to invest in such </w:t>
      </w:r>
      <w:proofErr w:type="spellStart"/>
      <w:r w:rsidRPr="00107CC9">
        <w:rPr>
          <w:rFonts w:ascii="Verdana" w:hAnsi="Verdana" w:cs="Calibri"/>
          <w:sz w:val="20"/>
          <w:szCs w:val="20"/>
        </w:rPr>
        <w:t>programmes</w:t>
      </w:r>
      <w:proofErr w:type="spellEnd"/>
      <w:r w:rsidRPr="00107CC9">
        <w:rPr>
          <w:rFonts w:ascii="Verdana" w:hAnsi="Verdana" w:cs="Calibri"/>
          <w:sz w:val="20"/>
          <w:szCs w:val="20"/>
        </w:rPr>
        <w:t>, albeit with some funding cuts, as does the UK and Ireland</w:t>
      </w:r>
      <w:r w:rsidRPr="00107CC9">
        <w:rPr>
          <w:rStyle w:val="FootnoteReference"/>
          <w:rFonts w:ascii="Verdana" w:hAnsi="Verdana" w:cs="Calibri"/>
          <w:sz w:val="20"/>
          <w:szCs w:val="20"/>
        </w:rPr>
        <w:footnoteReference w:id="53"/>
      </w:r>
      <w:r w:rsidRPr="00107CC9">
        <w:rPr>
          <w:rFonts w:ascii="Verdana" w:hAnsi="Verdana" w:cs="Calibri"/>
          <w:sz w:val="20"/>
          <w:szCs w:val="20"/>
        </w:rPr>
        <w:t>. France is one of the largest contributors to higher education capacity development, particularly in the form of scholarships for students from the developing world, co-</w:t>
      </w:r>
      <w:proofErr w:type="spellStart"/>
      <w:r w:rsidRPr="00107CC9">
        <w:rPr>
          <w:rFonts w:ascii="Verdana" w:hAnsi="Verdana" w:cs="Calibri"/>
          <w:sz w:val="20"/>
          <w:szCs w:val="20"/>
        </w:rPr>
        <w:t>tutelle</w:t>
      </w:r>
      <w:proofErr w:type="spellEnd"/>
      <w:r w:rsidRPr="00107CC9">
        <w:rPr>
          <w:rFonts w:ascii="Verdana" w:hAnsi="Verdana" w:cs="Calibri"/>
          <w:sz w:val="20"/>
          <w:szCs w:val="20"/>
        </w:rPr>
        <w:t xml:space="preserve"> in doctoral education delivery and other structural support measures primarily in Francophone countries but also farther afield. </w:t>
      </w:r>
      <w:proofErr w:type="spellStart"/>
      <w:r w:rsidRPr="00107CC9">
        <w:rPr>
          <w:rFonts w:ascii="Verdana" w:hAnsi="Verdana" w:cs="Calibri"/>
          <w:sz w:val="20"/>
          <w:szCs w:val="20"/>
        </w:rPr>
        <w:t>Incentivising</w:t>
      </w:r>
      <w:proofErr w:type="spellEnd"/>
      <w:r w:rsidRPr="00107CC9">
        <w:rPr>
          <w:rFonts w:ascii="Verdana" w:hAnsi="Verdana" w:cs="Calibri"/>
          <w:sz w:val="20"/>
          <w:szCs w:val="20"/>
        </w:rPr>
        <w:t xml:space="preserve"> more ‘South-South’ cooperation is also an emerging trends; the DAAD, which administers a range of university development cooperation and partnership </w:t>
      </w:r>
      <w:proofErr w:type="spellStart"/>
      <w:r w:rsidRPr="00107CC9">
        <w:rPr>
          <w:rFonts w:ascii="Verdana" w:hAnsi="Verdana" w:cs="Calibri"/>
          <w:sz w:val="20"/>
          <w:szCs w:val="20"/>
        </w:rPr>
        <w:t>programmes</w:t>
      </w:r>
      <w:proofErr w:type="spellEnd"/>
      <w:r w:rsidRPr="00107CC9">
        <w:rPr>
          <w:rFonts w:ascii="Verdana" w:hAnsi="Verdana" w:cs="Calibri"/>
          <w:sz w:val="20"/>
          <w:szCs w:val="20"/>
        </w:rPr>
        <w:t xml:space="preserve">, funds a scholarship </w:t>
      </w:r>
      <w:proofErr w:type="spellStart"/>
      <w:r w:rsidRPr="00107CC9">
        <w:rPr>
          <w:rFonts w:ascii="Verdana" w:hAnsi="Verdana" w:cs="Calibri"/>
          <w:sz w:val="20"/>
          <w:szCs w:val="20"/>
        </w:rPr>
        <w:t>programme</w:t>
      </w:r>
      <w:proofErr w:type="spellEnd"/>
      <w:r w:rsidRPr="00107CC9">
        <w:rPr>
          <w:rFonts w:ascii="Verdana" w:hAnsi="Verdana" w:cs="Calibri"/>
          <w:sz w:val="20"/>
          <w:szCs w:val="20"/>
        </w:rPr>
        <w:t xml:space="preserve"> for African students to take up a study or research period in another African country. Switzerland has funded distinct measures for research collaboration, innovation and ‘south-south’ university-industry partnerships with certain emerging countries.</w:t>
      </w:r>
    </w:p>
    <w:p w:rsidR="00A75E62" w:rsidRPr="00107CC9" w:rsidRDefault="00A75E62" w:rsidP="00A75E62">
      <w:pPr>
        <w:spacing w:line="240" w:lineRule="auto"/>
        <w:jc w:val="both"/>
        <w:rPr>
          <w:rFonts w:ascii="Verdana" w:hAnsi="Verdana"/>
          <w:sz w:val="20"/>
          <w:szCs w:val="20"/>
        </w:rPr>
      </w:pPr>
      <w:r w:rsidRPr="00107CC9">
        <w:rPr>
          <w:rFonts w:ascii="Verdana" w:hAnsi="Verdana" w:cs="Calibri"/>
          <w:sz w:val="20"/>
          <w:szCs w:val="20"/>
        </w:rPr>
        <w:t xml:space="preserve">Despite the fact that development cooperation via institutional partnership has continued to evolve, some countries have seen cuts in these types of </w:t>
      </w:r>
      <w:proofErr w:type="spellStart"/>
      <w:r w:rsidRPr="00107CC9">
        <w:rPr>
          <w:rFonts w:ascii="Verdana" w:hAnsi="Verdana" w:cs="Calibri"/>
          <w:sz w:val="20"/>
          <w:szCs w:val="20"/>
        </w:rPr>
        <w:t>programmes</w:t>
      </w:r>
      <w:proofErr w:type="spellEnd"/>
      <w:r w:rsidRPr="00107CC9">
        <w:rPr>
          <w:rFonts w:ascii="Verdana" w:hAnsi="Verdana" w:cs="Calibri"/>
          <w:sz w:val="20"/>
          <w:szCs w:val="20"/>
        </w:rPr>
        <w:t xml:space="preserve">, a worrying development. This has been particularly true in light of economic stagnation (the grand majority of Spanish funding for HE development cooperation has been cut, for example). However, </w:t>
      </w:r>
      <w:r w:rsidRPr="00107CC9">
        <w:rPr>
          <w:rFonts w:ascii="Verdana" w:hAnsi="Verdana"/>
          <w:sz w:val="20"/>
          <w:szCs w:val="20"/>
        </w:rPr>
        <w:t xml:space="preserve">the picture is a hazy one, as the final balance sheet depends very much on how the budgetary lines between development cooperation and economic partnership are conceived; international cooperation in higher education with BRICs and MICs, for example, is increasingly seen as an economic opportunity. The extent to which this will divert funding from least-developed countries has yet to be seen. It is notable that many countries develop more strategic approaches in choosing the partner countries with which they cooperate in the development sector, reducing them, developing country strategies and focusing on impact. </w:t>
      </w:r>
    </w:p>
    <w:p w:rsidR="00A75E62" w:rsidRPr="00107CC9" w:rsidRDefault="00A75E62" w:rsidP="00A75E62">
      <w:pPr>
        <w:spacing w:line="240" w:lineRule="auto"/>
        <w:jc w:val="both"/>
        <w:rPr>
          <w:rFonts w:ascii="Verdana" w:hAnsi="Verdana" w:cs="Calibri"/>
          <w:sz w:val="20"/>
          <w:szCs w:val="20"/>
        </w:rPr>
      </w:pPr>
      <w:r w:rsidRPr="00107CC9">
        <w:rPr>
          <w:rFonts w:ascii="Verdana" w:hAnsi="Verdana" w:cs="Calibri"/>
          <w:sz w:val="20"/>
          <w:szCs w:val="20"/>
        </w:rPr>
        <w:t xml:space="preserve"> An information group called the </w:t>
      </w:r>
      <w:r w:rsidRPr="00107CC9">
        <w:rPr>
          <w:rFonts w:ascii="Verdana" w:hAnsi="Verdana" w:cs="Calibri"/>
          <w:b/>
          <w:sz w:val="20"/>
          <w:szCs w:val="20"/>
        </w:rPr>
        <w:t xml:space="preserve">‘Donor </w:t>
      </w:r>
      <w:proofErr w:type="spellStart"/>
      <w:r w:rsidRPr="00107CC9">
        <w:rPr>
          <w:rFonts w:ascii="Verdana" w:hAnsi="Verdana" w:cs="Calibri"/>
          <w:b/>
          <w:sz w:val="20"/>
          <w:szCs w:val="20"/>
        </w:rPr>
        <w:t>Harmonisation</w:t>
      </w:r>
      <w:proofErr w:type="spellEnd"/>
      <w:r w:rsidRPr="00107CC9">
        <w:rPr>
          <w:rFonts w:ascii="Verdana" w:hAnsi="Verdana" w:cs="Calibri"/>
          <w:b/>
          <w:sz w:val="20"/>
          <w:szCs w:val="20"/>
        </w:rPr>
        <w:t xml:space="preserve"> group’</w:t>
      </w:r>
      <w:r w:rsidRPr="00107CC9">
        <w:rPr>
          <w:rFonts w:ascii="Verdana" w:hAnsi="Verdana" w:cs="Calibri"/>
          <w:sz w:val="20"/>
          <w:szCs w:val="20"/>
        </w:rPr>
        <w:t xml:space="preserve">, bringing together national agencies in Europe funding higher education development cooperation </w:t>
      </w:r>
      <w:proofErr w:type="spellStart"/>
      <w:r w:rsidRPr="00107CC9">
        <w:rPr>
          <w:rFonts w:ascii="Verdana" w:hAnsi="Verdana" w:cs="Calibri"/>
          <w:sz w:val="20"/>
          <w:szCs w:val="20"/>
        </w:rPr>
        <w:t>programmes</w:t>
      </w:r>
      <w:proofErr w:type="spellEnd"/>
      <w:r w:rsidRPr="00107CC9">
        <w:rPr>
          <w:rFonts w:ascii="Verdana" w:hAnsi="Verdana" w:cs="Calibri"/>
          <w:sz w:val="20"/>
          <w:szCs w:val="20"/>
        </w:rPr>
        <w:t xml:space="preserve"> has met annually since 2010, supported to a large extent by </w:t>
      </w:r>
      <w:proofErr w:type="spellStart"/>
      <w:r w:rsidRPr="00107CC9">
        <w:rPr>
          <w:rFonts w:ascii="Verdana" w:hAnsi="Verdana" w:cs="Calibri"/>
          <w:sz w:val="20"/>
          <w:szCs w:val="20"/>
        </w:rPr>
        <w:t>Nuffic</w:t>
      </w:r>
      <w:proofErr w:type="spellEnd"/>
      <w:r w:rsidRPr="00107CC9">
        <w:rPr>
          <w:rFonts w:ascii="Verdana" w:hAnsi="Verdana" w:cs="Calibri"/>
          <w:sz w:val="20"/>
          <w:szCs w:val="20"/>
        </w:rPr>
        <w:t xml:space="preserve">, SIU (Norway), DAAD and the VLIR-UOS (The development cooperation branch of the Flemish Rectors’ Conference). Annual meetings have been an occasion to share trends in higher education development cooperation </w:t>
      </w:r>
      <w:proofErr w:type="spellStart"/>
      <w:r w:rsidRPr="00107CC9">
        <w:rPr>
          <w:rFonts w:ascii="Verdana" w:hAnsi="Verdana" w:cs="Calibri"/>
          <w:sz w:val="20"/>
          <w:szCs w:val="20"/>
        </w:rPr>
        <w:t>programmes</w:t>
      </w:r>
      <w:proofErr w:type="spellEnd"/>
      <w:r w:rsidRPr="00107CC9">
        <w:rPr>
          <w:rFonts w:ascii="Verdana" w:hAnsi="Verdana" w:cs="Calibri"/>
          <w:sz w:val="20"/>
          <w:szCs w:val="20"/>
        </w:rPr>
        <w:t xml:space="preserve">, map regions where funding is committed and different cooperation models and discuss synergies between countries. </w:t>
      </w:r>
    </w:p>
    <w:p w:rsidR="00A75E62" w:rsidRPr="00107CC9" w:rsidRDefault="00A75E62" w:rsidP="00A75E62">
      <w:pPr>
        <w:spacing w:line="240" w:lineRule="auto"/>
        <w:jc w:val="both"/>
        <w:rPr>
          <w:rFonts w:ascii="Verdana" w:hAnsi="Verdana" w:cs="Calibri"/>
          <w:b/>
          <w:i/>
          <w:sz w:val="20"/>
          <w:szCs w:val="20"/>
        </w:rPr>
      </w:pPr>
      <w:r w:rsidRPr="00107CC9">
        <w:rPr>
          <w:rFonts w:ascii="Verdana" w:hAnsi="Verdana" w:cs="Calibri"/>
          <w:b/>
          <w:i/>
          <w:sz w:val="20"/>
          <w:szCs w:val="20"/>
          <w:highlight w:val="lightGray"/>
          <w:u w:val="single"/>
        </w:rPr>
        <w:t>Germany:</w:t>
      </w:r>
      <w:r w:rsidRPr="00107CC9">
        <w:rPr>
          <w:rFonts w:ascii="Verdana" w:hAnsi="Verdana" w:cs="Calibri"/>
          <w:i/>
          <w:sz w:val="20"/>
          <w:szCs w:val="20"/>
          <w:highlight w:val="lightGray"/>
        </w:rPr>
        <w:t xml:space="preserve"> The DAAD supports Specialized Partnerships with Development Countries as well as a number of structural support measures for HEIs and HE systems in developing countries. One example of the is the DIES </w:t>
      </w:r>
      <w:proofErr w:type="spellStart"/>
      <w:r w:rsidRPr="00107CC9">
        <w:rPr>
          <w:rFonts w:ascii="Verdana" w:hAnsi="Verdana" w:cs="Calibri"/>
          <w:i/>
          <w:sz w:val="20"/>
          <w:szCs w:val="20"/>
          <w:highlight w:val="lightGray"/>
        </w:rPr>
        <w:t>programmes</w:t>
      </w:r>
      <w:proofErr w:type="spellEnd"/>
      <w:r w:rsidRPr="00107CC9">
        <w:rPr>
          <w:rFonts w:ascii="Verdana" w:hAnsi="Verdana" w:cs="Calibri"/>
          <w:i/>
          <w:sz w:val="20"/>
          <w:szCs w:val="20"/>
          <w:highlight w:val="lightGray"/>
        </w:rPr>
        <w:t xml:space="preserve">, which has been applied in Eastern </w:t>
      </w:r>
      <w:r w:rsidRPr="00107CC9">
        <w:rPr>
          <w:rFonts w:ascii="Verdana" w:hAnsi="Verdana" w:cs="Calibri"/>
          <w:i/>
          <w:sz w:val="20"/>
          <w:szCs w:val="20"/>
          <w:highlight w:val="lightGray"/>
        </w:rPr>
        <w:lastRenderedPageBreak/>
        <w:t>Africa and Southeast Asia to build quality management capacity in HEIs and quality assurance agencies.</w:t>
      </w:r>
      <w:r w:rsidRPr="00107CC9">
        <w:rPr>
          <w:rFonts w:ascii="Verdana" w:hAnsi="Verdana" w:cs="Calibri"/>
          <w:i/>
          <w:sz w:val="20"/>
          <w:szCs w:val="20"/>
        </w:rPr>
        <w:t xml:space="preserve"> </w:t>
      </w:r>
    </w:p>
    <w:p w:rsidR="00A75E62" w:rsidRPr="00107CC9" w:rsidRDefault="00A75E62" w:rsidP="00A75E62">
      <w:pPr>
        <w:spacing w:line="240" w:lineRule="auto"/>
        <w:jc w:val="both"/>
        <w:rPr>
          <w:rFonts w:ascii="Verdana" w:hAnsi="Verdana" w:cs="Calibri"/>
          <w:i/>
          <w:sz w:val="20"/>
          <w:szCs w:val="20"/>
        </w:rPr>
      </w:pPr>
    </w:p>
    <w:p w:rsidR="00A75E62" w:rsidRPr="00107CC9" w:rsidRDefault="00A75E62" w:rsidP="00A75E62">
      <w:pPr>
        <w:spacing w:line="240" w:lineRule="auto"/>
        <w:jc w:val="both"/>
        <w:rPr>
          <w:rFonts w:ascii="Verdana" w:hAnsi="Verdana" w:cs="Calibri"/>
          <w:i/>
          <w:sz w:val="20"/>
          <w:szCs w:val="20"/>
        </w:rPr>
      </w:pPr>
      <w:r w:rsidRPr="00107CC9">
        <w:rPr>
          <w:rFonts w:ascii="Verdana" w:hAnsi="Verdana" w:cs="Calibri"/>
          <w:i/>
          <w:sz w:val="20"/>
          <w:szCs w:val="20"/>
        </w:rPr>
        <w:t>Institutional level</w:t>
      </w:r>
    </w:p>
    <w:p w:rsidR="00A75E62" w:rsidRPr="00107CC9" w:rsidRDefault="00A75E62" w:rsidP="00A75E62">
      <w:pPr>
        <w:spacing w:line="240" w:lineRule="auto"/>
        <w:jc w:val="both"/>
        <w:rPr>
          <w:rFonts w:ascii="Verdana" w:hAnsi="Verdana" w:cs="Calibri"/>
          <w:sz w:val="20"/>
          <w:szCs w:val="20"/>
        </w:rPr>
      </w:pPr>
      <w:r w:rsidRPr="00107CC9">
        <w:rPr>
          <w:rFonts w:ascii="Verdana" w:hAnsi="Verdana" w:cs="Calibri"/>
          <w:sz w:val="20"/>
          <w:szCs w:val="20"/>
        </w:rPr>
        <w:t xml:space="preserve">At the institutional level, partnership has become a cornerstone of </w:t>
      </w:r>
      <w:proofErr w:type="spellStart"/>
      <w:r w:rsidRPr="00107CC9">
        <w:rPr>
          <w:rFonts w:ascii="Verdana" w:hAnsi="Verdana" w:cs="Calibri"/>
          <w:sz w:val="20"/>
          <w:szCs w:val="20"/>
        </w:rPr>
        <w:t>internationalisation</w:t>
      </w:r>
      <w:proofErr w:type="spellEnd"/>
      <w:r w:rsidRPr="00107CC9">
        <w:rPr>
          <w:rFonts w:ascii="Verdana" w:hAnsi="Verdana" w:cs="Calibri"/>
          <w:sz w:val="20"/>
          <w:szCs w:val="20"/>
        </w:rPr>
        <w:t xml:space="preserve"> strategies. In a 2013 EUA survey on </w:t>
      </w:r>
      <w:proofErr w:type="spellStart"/>
      <w:r w:rsidRPr="00107CC9">
        <w:rPr>
          <w:rFonts w:ascii="Verdana" w:hAnsi="Verdana" w:cs="Calibri"/>
          <w:sz w:val="20"/>
          <w:szCs w:val="20"/>
        </w:rPr>
        <w:t>Internationalisation</w:t>
      </w:r>
      <w:proofErr w:type="spellEnd"/>
      <w:r w:rsidRPr="00107CC9">
        <w:rPr>
          <w:rFonts w:ascii="Verdana" w:hAnsi="Verdana" w:cs="Calibri"/>
          <w:sz w:val="20"/>
          <w:szCs w:val="20"/>
        </w:rPr>
        <w:t xml:space="preserve"> Strategy Development</w:t>
      </w:r>
      <w:r w:rsidRPr="00107CC9">
        <w:rPr>
          <w:rStyle w:val="FootnoteReference"/>
          <w:rFonts w:ascii="Verdana" w:hAnsi="Verdana" w:cs="Calibri"/>
          <w:sz w:val="20"/>
          <w:szCs w:val="20"/>
        </w:rPr>
        <w:footnoteReference w:id="54"/>
      </w:r>
      <w:r w:rsidRPr="00107CC9">
        <w:rPr>
          <w:rFonts w:ascii="Verdana" w:hAnsi="Verdana" w:cs="Calibri"/>
          <w:sz w:val="20"/>
          <w:szCs w:val="20"/>
        </w:rPr>
        <w:t xml:space="preserve">, 73% of the respondents said that they had ‘developed institutional partnerships with new regions and countries’ as result of their international strategies. 61% said they are developing more joint and double degree </w:t>
      </w:r>
      <w:proofErr w:type="spellStart"/>
      <w:r w:rsidRPr="00107CC9">
        <w:rPr>
          <w:rFonts w:ascii="Verdana" w:hAnsi="Verdana" w:cs="Calibri"/>
          <w:sz w:val="20"/>
          <w:szCs w:val="20"/>
        </w:rPr>
        <w:t>programmes</w:t>
      </w:r>
      <w:proofErr w:type="spellEnd"/>
      <w:r w:rsidRPr="00107CC9">
        <w:rPr>
          <w:rFonts w:ascii="Verdana" w:hAnsi="Verdana" w:cs="Calibri"/>
          <w:sz w:val="20"/>
          <w:szCs w:val="20"/>
        </w:rPr>
        <w:t>. Whereas universities have in the past collected a large number of fairly dormant ‘</w:t>
      </w:r>
      <w:proofErr w:type="spellStart"/>
      <w:r w:rsidRPr="00107CC9">
        <w:rPr>
          <w:rFonts w:ascii="Verdana" w:hAnsi="Verdana" w:cs="Calibri"/>
          <w:sz w:val="20"/>
          <w:szCs w:val="20"/>
        </w:rPr>
        <w:t>MoUs</w:t>
      </w:r>
      <w:proofErr w:type="spellEnd"/>
      <w:r w:rsidRPr="00107CC9">
        <w:rPr>
          <w:rFonts w:ascii="Verdana" w:hAnsi="Verdana" w:cs="Calibri"/>
          <w:sz w:val="20"/>
          <w:szCs w:val="20"/>
        </w:rPr>
        <w:t>’ with partners, these partnerships are becoming more strategic in nature. Many institutions report that they are in fact reducing the number of partnerships they have in the interest of enhancing quality, and ensuring that such partnerships are active. Institutions are also increasingly committed to demonstrating that such partnerships are reciprocal and entail mutual benefits, a cornerstone, of their success rate and sustainability. This has been the premise of the 2010 White Paper ‘Africa-Europe Higher Education Cooperation for Development: Meeting Regional and Global Challenges”</w:t>
      </w:r>
      <w:r w:rsidRPr="00107CC9">
        <w:rPr>
          <w:rStyle w:val="FootnoteReference"/>
          <w:rFonts w:ascii="Verdana" w:hAnsi="Verdana" w:cs="Calibri"/>
          <w:sz w:val="20"/>
          <w:szCs w:val="20"/>
        </w:rPr>
        <w:footnoteReference w:id="55"/>
      </w:r>
      <w:r w:rsidRPr="00107CC9">
        <w:rPr>
          <w:rFonts w:ascii="Verdana" w:hAnsi="Verdana" w:cs="Calibri"/>
          <w:sz w:val="20"/>
          <w:szCs w:val="20"/>
        </w:rPr>
        <w:t xml:space="preserve">, developed jointly by EUA and the Association of African Universities. </w:t>
      </w:r>
    </w:p>
    <w:p w:rsidR="00A75E62" w:rsidRPr="00107CC9" w:rsidRDefault="00A75E62" w:rsidP="00A75E62">
      <w:pPr>
        <w:widowControl w:val="0"/>
        <w:autoSpaceDE w:val="0"/>
        <w:autoSpaceDN w:val="0"/>
        <w:adjustRightInd w:val="0"/>
        <w:spacing w:line="280" w:lineRule="atLeast"/>
        <w:jc w:val="both"/>
        <w:rPr>
          <w:rFonts w:ascii="Verdana" w:hAnsi="Verdana" w:cs="TimesNewRomanPSMT"/>
          <w:i/>
          <w:color w:val="000000"/>
          <w:sz w:val="20"/>
          <w:szCs w:val="20"/>
        </w:rPr>
      </w:pPr>
      <w:r w:rsidRPr="00107CC9">
        <w:rPr>
          <w:rFonts w:ascii="Verdana" w:hAnsi="Verdana" w:cs="TimesNewRomanPSMT"/>
          <w:b/>
          <w:i/>
          <w:color w:val="000000"/>
          <w:sz w:val="20"/>
          <w:szCs w:val="20"/>
          <w:highlight w:val="lightGray"/>
          <w:u w:val="single"/>
        </w:rPr>
        <w:t>Ireland:</w:t>
      </w:r>
      <w:r w:rsidRPr="00107CC9">
        <w:rPr>
          <w:rFonts w:ascii="Verdana" w:hAnsi="Verdana" w:cs="TimesNewRomanPSMT"/>
          <w:i/>
          <w:color w:val="000000"/>
          <w:sz w:val="20"/>
          <w:szCs w:val="20"/>
          <w:highlight w:val="lightGray"/>
        </w:rPr>
        <w:t xml:space="preserve"> With alumni in over 80 countries, a university in Bahrain, two medical schools in Malaysia (at </w:t>
      </w:r>
      <w:proofErr w:type="spellStart"/>
      <w:r w:rsidRPr="00107CC9">
        <w:rPr>
          <w:rFonts w:ascii="Verdana" w:hAnsi="Verdana" w:cs="TimesNewRomanPSMT"/>
          <w:i/>
          <w:color w:val="000000"/>
          <w:sz w:val="20"/>
          <w:szCs w:val="20"/>
          <w:highlight w:val="lightGray"/>
        </w:rPr>
        <w:t>Perdana</w:t>
      </w:r>
      <w:proofErr w:type="spellEnd"/>
      <w:r w:rsidRPr="00107CC9">
        <w:rPr>
          <w:rFonts w:ascii="Verdana" w:hAnsi="Verdana" w:cs="TimesNewRomanPSMT"/>
          <w:i/>
          <w:color w:val="000000"/>
          <w:sz w:val="20"/>
          <w:szCs w:val="20"/>
          <w:highlight w:val="lightGray"/>
        </w:rPr>
        <w:t xml:space="preserve"> University and, jointly with University College Dublin (UCD), at Penang Medical College), and an institute in Dubai, the Royal College of Surgeons in Ireland (RCSI) undoubtedly has the strongest international presence among Irish higher education institutions. However other higher education institutions are also developing a significant global footprint: for example, UCD provides internationally accredited degree </w:t>
      </w:r>
      <w:proofErr w:type="spellStart"/>
      <w:r w:rsidRPr="00107CC9">
        <w:rPr>
          <w:rFonts w:ascii="Verdana" w:hAnsi="Verdana" w:cs="TimesNewRomanPSMT"/>
          <w:i/>
          <w:color w:val="000000"/>
          <w:sz w:val="20"/>
          <w:szCs w:val="20"/>
          <w:highlight w:val="lightGray"/>
        </w:rPr>
        <w:t>programmes</w:t>
      </w:r>
      <w:proofErr w:type="spellEnd"/>
      <w:r w:rsidRPr="00107CC9">
        <w:rPr>
          <w:rFonts w:ascii="Verdana" w:hAnsi="Verdana" w:cs="TimesNewRomanPSMT"/>
          <w:i/>
          <w:color w:val="000000"/>
          <w:sz w:val="20"/>
          <w:szCs w:val="20"/>
          <w:highlight w:val="lightGray"/>
        </w:rPr>
        <w:t xml:space="preserve"> in partnership with providers in Spain, China, Singapore, Malaysia and Sri Lanka; has international offices in New York and Beijing; is partnering with Shenzhen Universit</w:t>
      </w:r>
      <w:bookmarkStart w:id="6" w:name="_GoBack"/>
      <w:bookmarkEnd w:id="6"/>
      <w:r w:rsidRPr="00107CC9">
        <w:rPr>
          <w:rFonts w:ascii="Verdana" w:hAnsi="Verdana" w:cs="TimesNewRomanPSMT"/>
          <w:i/>
          <w:color w:val="000000"/>
          <w:sz w:val="20"/>
          <w:szCs w:val="20"/>
          <w:highlight w:val="lightGray"/>
        </w:rPr>
        <w:t xml:space="preserve">y (SZU) in southern China to establish the Dublin–Shenzhen Institute of Health Science and Innovation, and with Beijing University of Technology (BJUT) to establish the Beijing–Dublin International University; and hosts the UCD Confucius Institute for Ireland in partnership with the Office of Chinese Language Council International and </w:t>
      </w:r>
      <w:proofErr w:type="spellStart"/>
      <w:r w:rsidRPr="00107CC9">
        <w:rPr>
          <w:rFonts w:ascii="Verdana" w:hAnsi="Verdana" w:cs="TimesNewRomanPSMT"/>
          <w:i/>
          <w:color w:val="000000"/>
          <w:sz w:val="20"/>
          <w:szCs w:val="20"/>
          <w:highlight w:val="lightGray"/>
        </w:rPr>
        <w:t>Renmin</w:t>
      </w:r>
      <w:proofErr w:type="spellEnd"/>
      <w:r w:rsidRPr="00107CC9">
        <w:rPr>
          <w:rFonts w:ascii="Verdana" w:hAnsi="Verdana" w:cs="TimesNewRomanPSMT"/>
          <w:i/>
          <w:color w:val="000000"/>
          <w:sz w:val="20"/>
          <w:szCs w:val="20"/>
          <w:highlight w:val="lightGray"/>
        </w:rPr>
        <w:t xml:space="preserve"> University of China. Dublin Institute of Technology offers a range of undergraduate and postgraduate </w:t>
      </w:r>
      <w:proofErr w:type="spellStart"/>
      <w:r w:rsidRPr="00107CC9">
        <w:rPr>
          <w:rFonts w:ascii="Verdana" w:hAnsi="Verdana" w:cs="TimesNewRomanPSMT"/>
          <w:i/>
          <w:color w:val="000000"/>
          <w:sz w:val="20"/>
          <w:szCs w:val="20"/>
          <w:highlight w:val="lightGray"/>
        </w:rPr>
        <w:t>programmes</w:t>
      </w:r>
      <w:proofErr w:type="spellEnd"/>
      <w:r w:rsidRPr="00107CC9">
        <w:rPr>
          <w:rFonts w:ascii="Verdana" w:hAnsi="Verdana" w:cs="TimesNewRomanPSMT"/>
          <w:i/>
          <w:color w:val="000000"/>
          <w:sz w:val="20"/>
          <w:szCs w:val="20"/>
          <w:highlight w:val="lightGray"/>
        </w:rPr>
        <w:t xml:space="preserve"> in partnership with higher education institutions from across the world; and Dublin City University’s Ireland India Institute ‘aims to support collaboration in education, research and knowledge exchange between Ireland and India’ through initiatives such as the Ireland India Institute Research Fund and the Ireland India Institute Scholarships. Trinity College Dublin has Country Advisors based in India and North America, and has signed a partnership agreement with </w:t>
      </w:r>
      <w:proofErr w:type="spellStart"/>
      <w:r w:rsidRPr="00107CC9">
        <w:rPr>
          <w:rFonts w:ascii="Verdana" w:hAnsi="Verdana" w:cs="TimesNewRomanPSMT"/>
          <w:i/>
          <w:color w:val="000000"/>
          <w:sz w:val="20"/>
          <w:szCs w:val="20"/>
          <w:highlight w:val="lightGray"/>
        </w:rPr>
        <w:t>Beihang</w:t>
      </w:r>
      <w:proofErr w:type="spellEnd"/>
      <w:r w:rsidRPr="00107CC9">
        <w:rPr>
          <w:rFonts w:ascii="Verdana" w:hAnsi="Verdana" w:cs="TimesNewRomanPSMT"/>
          <w:i/>
          <w:color w:val="000000"/>
          <w:sz w:val="20"/>
          <w:szCs w:val="20"/>
          <w:highlight w:val="lightGray"/>
        </w:rPr>
        <w:t xml:space="preserve"> University in China to support cooperation in teaching and research, as well as the exchange of staff and students.</w:t>
      </w:r>
    </w:p>
    <w:p w:rsidR="00A75E62" w:rsidRPr="00107CC9" w:rsidRDefault="00A75E62" w:rsidP="00A75E62">
      <w:pPr>
        <w:pStyle w:val="ListParagraph"/>
        <w:autoSpaceDE w:val="0"/>
        <w:autoSpaceDN w:val="0"/>
        <w:adjustRightInd w:val="0"/>
        <w:ind w:left="0"/>
        <w:jc w:val="both"/>
        <w:rPr>
          <w:rFonts w:ascii="Verdana" w:hAnsi="Verdana" w:cs="Calibri"/>
          <w:i/>
          <w:sz w:val="20"/>
          <w:szCs w:val="20"/>
        </w:rPr>
      </w:pPr>
      <w:r w:rsidRPr="00107CC9">
        <w:rPr>
          <w:rFonts w:ascii="Verdana" w:hAnsi="Verdana" w:cs="Calibri"/>
          <w:b/>
          <w:i/>
          <w:sz w:val="20"/>
          <w:szCs w:val="20"/>
          <w:highlight w:val="lightGray"/>
          <w:u w:val="single"/>
        </w:rPr>
        <w:t>France:</w:t>
      </w:r>
      <w:r w:rsidRPr="00107CC9">
        <w:rPr>
          <w:rFonts w:ascii="Verdana" w:hAnsi="Verdana" w:cs="Calibri"/>
          <w:i/>
          <w:sz w:val="20"/>
          <w:szCs w:val="20"/>
          <w:highlight w:val="lightGray"/>
        </w:rPr>
        <w:t xml:space="preserve"> One interesting example of institutional collaboration is the USTH University in </w:t>
      </w:r>
      <w:proofErr w:type="spellStart"/>
      <w:r w:rsidRPr="00107CC9">
        <w:rPr>
          <w:rFonts w:ascii="Verdana" w:hAnsi="Verdana" w:cs="Calibri"/>
          <w:i/>
          <w:sz w:val="20"/>
          <w:szCs w:val="20"/>
          <w:highlight w:val="lightGray"/>
        </w:rPr>
        <w:t>Hanoï</w:t>
      </w:r>
      <w:proofErr w:type="spellEnd"/>
      <w:r w:rsidRPr="00107CC9">
        <w:rPr>
          <w:rFonts w:ascii="Verdana" w:hAnsi="Verdana" w:cs="Calibri"/>
          <w:i/>
          <w:sz w:val="20"/>
          <w:szCs w:val="20"/>
          <w:highlight w:val="lightGray"/>
        </w:rPr>
        <w:t xml:space="preserve"> (USTH standing for “</w:t>
      </w:r>
      <w:proofErr w:type="spellStart"/>
      <w:r w:rsidRPr="00107CC9">
        <w:rPr>
          <w:rFonts w:ascii="Verdana" w:hAnsi="Verdana" w:cs="Calibri"/>
          <w:i/>
          <w:sz w:val="20"/>
          <w:szCs w:val="20"/>
          <w:highlight w:val="lightGray"/>
        </w:rPr>
        <w:t>Université</w:t>
      </w:r>
      <w:proofErr w:type="spellEnd"/>
      <w:r w:rsidRPr="00107CC9">
        <w:rPr>
          <w:rFonts w:ascii="Verdana" w:hAnsi="Verdana" w:cs="Calibri"/>
          <w:i/>
          <w:sz w:val="20"/>
          <w:szCs w:val="20"/>
          <w:highlight w:val="lightGray"/>
        </w:rPr>
        <w:t xml:space="preserve"> </w:t>
      </w:r>
      <w:proofErr w:type="spellStart"/>
      <w:r w:rsidRPr="00107CC9">
        <w:rPr>
          <w:rFonts w:ascii="Verdana" w:hAnsi="Verdana" w:cs="Calibri"/>
          <w:i/>
          <w:sz w:val="20"/>
          <w:szCs w:val="20"/>
          <w:highlight w:val="lightGray"/>
        </w:rPr>
        <w:t>scientifique</w:t>
      </w:r>
      <w:proofErr w:type="spellEnd"/>
      <w:r w:rsidRPr="00107CC9">
        <w:rPr>
          <w:rFonts w:ascii="Verdana" w:hAnsi="Verdana" w:cs="Calibri"/>
          <w:i/>
          <w:sz w:val="20"/>
          <w:szCs w:val="20"/>
          <w:highlight w:val="lightGray"/>
        </w:rPr>
        <w:t xml:space="preserve"> et </w:t>
      </w:r>
      <w:proofErr w:type="spellStart"/>
      <w:r w:rsidRPr="00107CC9">
        <w:rPr>
          <w:rFonts w:ascii="Verdana" w:hAnsi="Verdana" w:cs="Calibri"/>
          <w:i/>
          <w:sz w:val="20"/>
          <w:szCs w:val="20"/>
          <w:highlight w:val="lightGray"/>
        </w:rPr>
        <w:t>technologique</w:t>
      </w:r>
      <w:proofErr w:type="spellEnd"/>
      <w:r w:rsidRPr="00107CC9">
        <w:rPr>
          <w:rFonts w:ascii="Verdana" w:hAnsi="Verdana" w:cs="Calibri"/>
          <w:i/>
          <w:sz w:val="20"/>
          <w:szCs w:val="20"/>
          <w:highlight w:val="lightGray"/>
        </w:rPr>
        <w:t xml:space="preserve"> </w:t>
      </w:r>
      <w:proofErr w:type="spellStart"/>
      <w:r w:rsidRPr="00107CC9">
        <w:rPr>
          <w:rFonts w:ascii="Verdana" w:hAnsi="Verdana" w:cs="Calibri"/>
          <w:i/>
          <w:sz w:val="20"/>
          <w:szCs w:val="20"/>
          <w:highlight w:val="lightGray"/>
        </w:rPr>
        <w:t>d’Hanoï</w:t>
      </w:r>
      <w:proofErr w:type="spellEnd"/>
      <w:r w:rsidRPr="00107CC9">
        <w:rPr>
          <w:rFonts w:ascii="Verdana" w:hAnsi="Verdana" w:cs="Calibri"/>
          <w:i/>
          <w:sz w:val="20"/>
          <w:szCs w:val="20"/>
          <w:highlight w:val="lightGray"/>
        </w:rPr>
        <w:t>”): More than 60 French institutions (universities, “</w:t>
      </w:r>
      <w:proofErr w:type="spellStart"/>
      <w:r w:rsidRPr="00107CC9">
        <w:rPr>
          <w:rFonts w:ascii="Verdana" w:hAnsi="Verdana" w:cs="Calibri"/>
          <w:i/>
          <w:sz w:val="20"/>
          <w:szCs w:val="20"/>
          <w:highlight w:val="lightGray"/>
        </w:rPr>
        <w:t>grandes</w:t>
      </w:r>
      <w:proofErr w:type="spellEnd"/>
      <w:r w:rsidRPr="00107CC9">
        <w:rPr>
          <w:rFonts w:ascii="Verdana" w:hAnsi="Verdana" w:cs="Calibri"/>
          <w:i/>
          <w:sz w:val="20"/>
          <w:szCs w:val="20"/>
          <w:highlight w:val="lightGray"/>
        </w:rPr>
        <w:t xml:space="preserve"> </w:t>
      </w:r>
      <w:proofErr w:type="spellStart"/>
      <w:r w:rsidRPr="00107CC9">
        <w:rPr>
          <w:rFonts w:ascii="Verdana" w:hAnsi="Verdana" w:cs="Calibri"/>
          <w:i/>
          <w:sz w:val="20"/>
          <w:szCs w:val="20"/>
          <w:highlight w:val="lightGray"/>
        </w:rPr>
        <w:t>écoles</w:t>
      </w:r>
      <w:proofErr w:type="spellEnd"/>
      <w:r w:rsidRPr="00107CC9">
        <w:rPr>
          <w:rFonts w:ascii="Verdana" w:hAnsi="Verdana" w:cs="Calibri"/>
          <w:i/>
          <w:sz w:val="20"/>
          <w:szCs w:val="20"/>
          <w:highlight w:val="lightGray"/>
        </w:rPr>
        <w:t xml:space="preserve">”, and research institutes) gathered in the consortium are setting up co-accredited Master’s degrees with the USTH in Vietnam; additionally, they are committed to welcoming more than 400 doctoral candidates in their </w:t>
      </w:r>
      <w:r w:rsidRPr="00107CC9">
        <w:rPr>
          <w:rFonts w:ascii="Verdana" w:hAnsi="Verdana" w:cs="Calibri"/>
          <w:i/>
          <w:sz w:val="20"/>
          <w:szCs w:val="20"/>
          <w:highlight w:val="lightGray"/>
        </w:rPr>
        <w:lastRenderedPageBreak/>
        <w:t>research laboratories, before these PhD candidates become Senior Lecturers in the USTH University.</w:t>
      </w:r>
    </w:p>
    <w:p w:rsidR="00A75E62" w:rsidRPr="00107CC9" w:rsidRDefault="00A75E62" w:rsidP="00A75E62">
      <w:pPr>
        <w:autoSpaceDE w:val="0"/>
        <w:autoSpaceDN w:val="0"/>
        <w:adjustRightInd w:val="0"/>
        <w:spacing w:after="0" w:line="240" w:lineRule="auto"/>
        <w:jc w:val="both"/>
        <w:rPr>
          <w:rFonts w:ascii="Verdana" w:hAnsi="Verdana" w:cs="Calibri"/>
          <w:i/>
          <w:sz w:val="20"/>
          <w:szCs w:val="20"/>
        </w:rPr>
      </w:pPr>
    </w:p>
    <w:p w:rsidR="00A75E62" w:rsidRPr="00107CC9" w:rsidRDefault="00A75E62" w:rsidP="00A75E62">
      <w:pPr>
        <w:spacing w:line="240" w:lineRule="auto"/>
        <w:jc w:val="both"/>
        <w:rPr>
          <w:rFonts w:ascii="Verdana" w:hAnsi="Verdana" w:cs="Calibri"/>
          <w:i/>
          <w:sz w:val="20"/>
          <w:szCs w:val="20"/>
        </w:rPr>
      </w:pPr>
      <w:r w:rsidRPr="00107CC9">
        <w:rPr>
          <w:rFonts w:ascii="Verdana" w:hAnsi="Verdana" w:cs="Calibri"/>
          <w:i/>
          <w:sz w:val="20"/>
          <w:szCs w:val="20"/>
        </w:rPr>
        <w:t xml:space="preserve">European </w:t>
      </w:r>
      <w:proofErr w:type="spellStart"/>
      <w:r w:rsidRPr="00107CC9">
        <w:rPr>
          <w:rFonts w:ascii="Verdana" w:hAnsi="Verdana" w:cs="Calibri"/>
          <w:i/>
          <w:sz w:val="20"/>
          <w:szCs w:val="20"/>
        </w:rPr>
        <w:t>organisations</w:t>
      </w:r>
      <w:proofErr w:type="spellEnd"/>
    </w:p>
    <w:p w:rsidR="00A75E62" w:rsidRPr="00107CC9" w:rsidRDefault="00A75E62" w:rsidP="00A75E62">
      <w:pPr>
        <w:spacing w:line="240" w:lineRule="auto"/>
        <w:jc w:val="both"/>
        <w:rPr>
          <w:rFonts w:ascii="Verdana" w:hAnsi="Verdana" w:cs="Calibri"/>
          <w:sz w:val="20"/>
          <w:szCs w:val="20"/>
        </w:rPr>
      </w:pPr>
      <w:proofErr w:type="spellStart"/>
      <w:r w:rsidRPr="00107CC9">
        <w:rPr>
          <w:rFonts w:ascii="Verdana" w:hAnsi="Verdana" w:cs="Calibri"/>
          <w:sz w:val="20"/>
          <w:szCs w:val="20"/>
        </w:rPr>
        <w:t>Organisations</w:t>
      </w:r>
      <w:proofErr w:type="spellEnd"/>
      <w:r w:rsidRPr="00107CC9">
        <w:rPr>
          <w:rFonts w:ascii="Verdana" w:hAnsi="Verdana" w:cs="Calibri"/>
          <w:sz w:val="20"/>
          <w:szCs w:val="20"/>
        </w:rPr>
        <w:t xml:space="preserve"> like EUA, ENQA, ESU and EURASHE have also increasingly developed international partnerships with non-EHEA </w:t>
      </w:r>
      <w:proofErr w:type="spellStart"/>
      <w:r w:rsidRPr="00107CC9">
        <w:rPr>
          <w:rFonts w:ascii="Verdana" w:hAnsi="Verdana" w:cs="Calibri"/>
          <w:sz w:val="20"/>
          <w:szCs w:val="20"/>
        </w:rPr>
        <w:t>organisations</w:t>
      </w:r>
      <w:proofErr w:type="spellEnd"/>
      <w:r w:rsidRPr="00107CC9">
        <w:rPr>
          <w:rFonts w:ascii="Verdana" w:hAnsi="Verdana" w:cs="Calibri"/>
          <w:sz w:val="20"/>
          <w:szCs w:val="20"/>
        </w:rPr>
        <w:t xml:space="preserve"> in other regions. This deserves mention, as they often contribute to both the governmental and institutional cooperation agendas in the HE sector. Projects have focused on a range of Bologna-related topics, such a quality assurance capacity development, supporting the development of qualifications frameworks, regional mobility and recognition, joint degrees, doctoral education. In general, the premise has been to share the European experience and European tools but also to learn about developments in other systems and how they relate to Europe. Projects have also provided opportunities for policy dialogue and institutional networking and partnership development. </w:t>
      </w:r>
    </w:p>
    <w:p w:rsidR="00A75E62" w:rsidRPr="00107CC9" w:rsidRDefault="00A75E62" w:rsidP="00A75E62">
      <w:pPr>
        <w:spacing w:line="240" w:lineRule="auto"/>
        <w:jc w:val="both"/>
        <w:rPr>
          <w:rStyle w:val="Hyperlink"/>
          <w:rFonts w:ascii="Verdana" w:hAnsi="Verdana"/>
          <w:i/>
          <w:sz w:val="20"/>
          <w:szCs w:val="20"/>
        </w:rPr>
      </w:pPr>
      <w:r w:rsidRPr="00107CC9">
        <w:rPr>
          <w:rFonts w:ascii="Verdana" w:hAnsi="Verdana"/>
          <w:b/>
          <w:i/>
          <w:sz w:val="20"/>
          <w:szCs w:val="20"/>
          <w:highlight w:val="lightGray"/>
        </w:rPr>
        <w:t>ASEA-QA</w:t>
      </w:r>
      <w:r w:rsidRPr="00107CC9">
        <w:rPr>
          <w:rFonts w:ascii="Verdana" w:hAnsi="Verdana"/>
          <w:i/>
          <w:sz w:val="20"/>
          <w:szCs w:val="20"/>
          <w:highlight w:val="lightGray"/>
        </w:rPr>
        <w:t xml:space="preserve"> </w:t>
      </w:r>
      <w:r w:rsidRPr="00107CC9">
        <w:rPr>
          <w:rFonts w:ascii="Verdana" w:hAnsi="Verdana"/>
          <w:sz w:val="20"/>
          <w:szCs w:val="20"/>
          <w:highlight w:val="lightGray"/>
        </w:rPr>
        <w:t>is a collaborative project</w:t>
      </w:r>
      <w:r w:rsidRPr="00107CC9">
        <w:rPr>
          <w:rFonts w:ascii="Verdana" w:hAnsi="Verdana"/>
          <w:i/>
          <w:sz w:val="20"/>
          <w:szCs w:val="20"/>
          <w:highlight w:val="lightGray"/>
        </w:rPr>
        <w:t xml:space="preserve"> </w:t>
      </w:r>
      <w:r w:rsidRPr="00107CC9">
        <w:rPr>
          <w:rFonts w:ascii="Verdana" w:hAnsi="Verdana"/>
          <w:sz w:val="20"/>
          <w:szCs w:val="20"/>
          <w:highlight w:val="lightGray"/>
        </w:rPr>
        <w:t>carried out by the DAAD, HRK, the ASEAN University Network (AUN), the Regional Centre for Higher Education and Development in Southeast Asia (SEAMEO RIHED), ENQA and AQAN (ASEAN Quality Assurance Network).</w:t>
      </w:r>
      <w:r w:rsidRPr="00107CC9">
        <w:rPr>
          <w:rFonts w:ascii="Verdana" w:hAnsi="Verdana"/>
          <w:i/>
          <w:sz w:val="20"/>
          <w:szCs w:val="20"/>
          <w:highlight w:val="lightGray"/>
        </w:rPr>
        <w:t xml:space="preserve"> </w:t>
      </w:r>
      <w:r w:rsidRPr="00107CC9">
        <w:rPr>
          <w:rFonts w:ascii="Verdana" w:hAnsi="Verdana"/>
          <w:sz w:val="20"/>
          <w:szCs w:val="20"/>
          <w:highlight w:val="lightGray"/>
        </w:rPr>
        <w:t xml:space="preserve">It serves as a platform for exchange on internal and external QA procedures and as a means to strengthen regional QA structures in the ASEAN countries. The primary aim of ASEAN-QA Phase I was to assure and enhance the quality of study </w:t>
      </w:r>
      <w:proofErr w:type="spellStart"/>
      <w:r w:rsidRPr="00107CC9">
        <w:rPr>
          <w:rFonts w:ascii="Verdana" w:hAnsi="Verdana"/>
          <w:sz w:val="20"/>
          <w:szCs w:val="20"/>
          <w:highlight w:val="lightGray"/>
        </w:rPr>
        <w:t>programmes</w:t>
      </w:r>
      <w:proofErr w:type="spellEnd"/>
      <w:r w:rsidRPr="00107CC9">
        <w:rPr>
          <w:rFonts w:ascii="Verdana" w:hAnsi="Verdana"/>
          <w:sz w:val="20"/>
          <w:szCs w:val="20"/>
          <w:highlight w:val="lightGray"/>
        </w:rPr>
        <w:t xml:space="preserve"> and to facilitate the recognition of credits and degrees based on shared quality assurance principles and standards.</w:t>
      </w:r>
      <w:r w:rsidRPr="00107CC9">
        <w:rPr>
          <w:rFonts w:ascii="Verdana" w:hAnsi="Verdana"/>
          <w:i/>
          <w:sz w:val="20"/>
          <w:szCs w:val="20"/>
          <w:highlight w:val="lightGray"/>
        </w:rPr>
        <w:t xml:space="preserve"> </w:t>
      </w:r>
      <w:r w:rsidRPr="00107CC9">
        <w:rPr>
          <w:rFonts w:ascii="Verdana" w:hAnsi="Verdana"/>
          <w:sz w:val="20"/>
          <w:szCs w:val="20"/>
          <w:highlight w:val="lightGray"/>
        </w:rPr>
        <w:t xml:space="preserve">The project Phase I included multi-part training courses which were directed at QA coordinators at universities and officers of QA agencies in the ASEAN region. Both groups were trained by a team of international trainers from Europe and Asia. Similar activities and further consolidation of the regional QA framework in ASEAN will be implemented through Phase II. </w:t>
      </w:r>
      <w:hyperlink r:id="rId25" w:tgtFrame="_blank" w:history="1">
        <w:r w:rsidRPr="00107CC9">
          <w:rPr>
            <w:rStyle w:val="Hyperlink"/>
            <w:rFonts w:ascii="Verdana" w:hAnsi="Verdana"/>
            <w:sz w:val="20"/>
            <w:szCs w:val="20"/>
            <w:highlight w:val="lightGray"/>
          </w:rPr>
          <w:t>www.asean-qa.de</w:t>
        </w:r>
      </w:hyperlink>
    </w:p>
    <w:p w:rsidR="00A75E62" w:rsidRPr="00107CC9" w:rsidRDefault="00A75E62" w:rsidP="00A75E62">
      <w:pPr>
        <w:spacing w:after="0" w:line="240" w:lineRule="auto"/>
        <w:jc w:val="both"/>
        <w:rPr>
          <w:rFonts w:ascii="Verdana" w:hAnsi="Verdana"/>
          <w:sz w:val="20"/>
          <w:szCs w:val="20"/>
        </w:rPr>
      </w:pPr>
      <w:r w:rsidRPr="00107CC9">
        <w:rPr>
          <w:rFonts w:ascii="Verdana" w:hAnsi="Verdana"/>
          <w:b/>
          <w:sz w:val="20"/>
          <w:szCs w:val="20"/>
          <w:highlight w:val="lightGray"/>
        </w:rPr>
        <w:t>Alfa PUENTES</w:t>
      </w:r>
      <w:r w:rsidRPr="00107CC9">
        <w:rPr>
          <w:rFonts w:ascii="Verdana" w:hAnsi="Verdana"/>
          <w:sz w:val="20"/>
          <w:szCs w:val="20"/>
          <w:highlight w:val="lightGray"/>
        </w:rPr>
        <w:t xml:space="preserve"> was a three year structural project on the Alfa </w:t>
      </w:r>
      <w:proofErr w:type="spellStart"/>
      <w:r w:rsidRPr="00107CC9">
        <w:rPr>
          <w:rFonts w:ascii="Verdana" w:hAnsi="Verdana"/>
          <w:sz w:val="20"/>
          <w:szCs w:val="20"/>
          <w:highlight w:val="lightGray"/>
        </w:rPr>
        <w:t>programme</w:t>
      </w:r>
      <w:proofErr w:type="spellEnd"/>
      <w:r w:rsidRPr="00107CC9">
        <w:rPr>
          <w:rFonts w:ascii="Verdana" w:hAnsi="Verdana"/>
          <w:sz w:val="20"/>
          <w:szCs w:val="20"/>
          <w:highlight w:val="lightGray"/>
        </w:rPr>
        <w:t xml:space="preserve"> that brought together 23 university associations in Latin America and Europe in a collaborative platform to support higher education integration Latin America. Coordinated by the European University Association (EUA), the project carried out three “sub-regional” initiatives which resulted in a draft higher education qualifications framework for Central America, a pilot joint-</w:t>
      </w:r>
      <w:proofErr w:type="spellStart"/>
      <w:r w:rsidRPr="00107CC9">
        <w:rPr>
          <w:rFonts w:ascii="Verdana" w:hAnsi="Verdana"/>
          <w:sz w:val="20"/>
          <w:szCs w:val="20"/>
          <w:highlight w:val="lightGray"/>
        </w:rPr>
        <w:t>programme</w:t>
      </w:r>
      <w:proofErr w:type="spellEnd"/>
      <w:r w:rsidRPr="00107CC9">
        <w:rPr>
          <w:rFonts w:ascii="Verdana" w:hAnsi="Verdana"/>
          <w:sz w:val="20"/>
          <w:szCs w:val="20"/>
          <w:highlight w:val="lightGray"/>
        </w:rPr>
        <w:t xml:space="preserve"> accreditation process for the Andean countries and mobility strategy for Mercosur. European experience within the EHEA was shared throughout the course of the project and partnerships between European and Latin America associations were fostered. </w:t>
      </w:r>
      <w:hyperlink r:id="rId26" w:history="1">
        <w:r w:rsidRPr="00107CC9">
          <w:rPr>
            <w:rStyle w:val="Hyperlink"/>
            <w:rFonts w:ascii="Verdana" w:hAnsi="Verdana"/>
            <w:sz w:val="20"/>
            <w:szCs w:val="20"/>
            <w:highlight w:val="lightGray"/>
          </w:rPr>
          <w:t>www.alfapuentes.org</w:t>
        </w:r>
      </w:hyperlink>
      <w:r w:rsidRPr="00107CC9">
        <w:rPr>
          <w:rFonts w:ascii="Verdana" w:hAnsi="Verdana"/>
          <w:sz w:val="20"/>
          <w:szCs w:val="20"/>
        </w:rPr>
        <w:t xml:space="preserve"> </w:t>
      </w:r>
    </w:p>
    <w:p w:rsidR="00A75E62" w:rsidRPr="00107CC9" w:rsidRDefault="00A75E62" w:rsidP="00A75E62">
      <w:pPr>
        <w:spacing w:after="0"/>
        <w:jc w:val="both"/>
        <w:rPr>
          <w:rFonts w:ascii="Verdana" w:hAnsi="Verdana"/>
          <w:sz w:val="20"/>
          <w:szCs w:val="20"/>
        </w:rPr>
      </w:pPr>
    </w:p>
    <w:p w:rsidR="00A75E62" w:rsidRPr="00107CC9" w:rsidRDefault="00A75E62" w:rsidP="00A75E62">
      <w:pPr>
        <w:spacing w:line="240" w:lineRule="auto"/>
        <w:jc w:val="both"/>
        <w:rPr>
          <w:rFonts w:ascii="Verdana" w:hAnsi="Verdana" w:cs="Calibri"/>
          <w:i/>
          <w:sz w:val="20"/>
          <w:szCs w:val="20"/>
        </w:rPr>
      </w:pPr>
      <w:r w:rsidRPr="00107CC9">
        <w:rPr>
          <w:rFonts w:ascii="Verdana" w:hAnsi="Verdana" w:cs="Calibri"/>
          <w:i/>
          <w:sz w:val="20"/>
          <w:szCs w:val="20"/>
        </w:rPr>
        <w:t>General remarks:</w:t>
      </w:r>
    </w:p>
    <w:p w:rsidR="00A75E62" w:rsidRPr="00107CC9" w:rsidRDefault="00A75E62" w:rsidP="00A75E62">
      <w:pPr>
        <w:spacing w:line="240" w:lineRule="auto"/>
        <w:jc w:val="both"/>
        <w:rPr>
          <w:rFonts w:ascii="Verdana" w:hAnsi="Verdana" w:cs="Calibri"/>
          <w:sz w:val="20"/>
          <w:szCs w:val="20"/>
        </w:rPr>
      </w:pPr>
      <w:r w:rsidRPr="00107CC9">
        <w:rPr>
          <w:rFonts w:ascii="Verdana" w:hAnsi="Verdana" w:cs="Calibri"/>
          <w:sz w:val="20"/>
          <w:szCs w:val="20"/>
        </w:rPr>
        <w:t xml:space="preserve">Cooperation based on partnership is no doubt a cornerstone of the EHEA. What has been initially ‘European’ </w:t>
      </w:r>
      <w:proofErr w:type="spellStart"/>
      <w:r w:rsidRPr="00107CC9">
        <w:rPr>
          <w:rFonts w:ascii="Verdana" w:hAnsi="Verdana" w:cs="Calibri"/>
          <w:sz w:val="20"/>
          <w:szCs w:val="20"/>
        </w:rPr>
        <w:t>programmes</w:t>
      </w:r>
      <w:proofErr w:type="spellEnd"/>
      <w:r w:rsidRPr="00107CC9">
        <w:rPr>
          <w:rFonts w:ascii="Verdana" w:hAnsi="Verdana" w:cs="Calibri"/>
          <w:sz w:val="20"/>
          <w:szCs w:val="20"/>
        </w:rPr>
        <w:t xml:space="preserve"> and tools for cooperation, such as ECTS, the Erasmus </w:t>
      </w:r>
      <w:proofErr w:type="spellStart"/>
      <w:r w:rsidRPr="00107CC9">
        <w:rPr>
          <w:rFonts w:ascii="Verdana" w:hAnsi="Verdana" w:cs="Calibri"/>
          <w:sz w:val="20"/>
          <w:szCs w:val="20"/>
        </w:rPr>
        <w:t>programme</w:t>
      </w:r>
      <w:proofErr w:type="spellEnd"/>
      <w:r w:rsidRPr="00107CC9">
        <w:rPr>
          <w:rFonts w:ascii="Verdana" w:hAnsi="Verdana" w:cs="Calibri"/>
          <w:sz w:val="20"/>
          <w:szCs w:val="20"/>
        </w:rPr>
        <w:t xml:space="preserve"> and joint degrees, have increasingly ‘gone global’. This is a reflection of the need to foster more globally-oriented partnership for the overall enhancement and competitiveness of European higher education, and to underpin economic and social development objectives. Of importance, development cooperation and capacity building have not been forgotten in this endeavor, and remain a feature of current European and some national strategies and funding </w:t>
      </w:r>
      <w:proofErr w:type="spellStart"/>
      <w:r w:rsidRPr="00107CC9">
        <w:rPr>
          <w:rFonts w:ascii="Verdana" w:hAnsi="Verdana" w:cs="Calibri"/>
          <w:sz w:val="20"/>
          <w:szCs w:val="20"/>
        </w:rPr>
        <w:t>programmes</w:t>
      </w:r>
      <w:proofErr w:type="spellEnd"/>
      <w:r w:rsidRPr="00107CC9">
        <w:rPr>
          <w:rFonts w:ascii="Verdana" w:hAnsi="Verdana" w:cs="Calibri"/>
          <w:sz w:val="20"/>
          <w:szCs w:val="20"/>
        </w:rPr>
        <w:t xml:space="preserve">. There is worry, however, that development cooperation partnerships may not get enough public support at national level, and more dependency on EU </w:t>
      </w:r>
      <w:proofErr w:type="spellStart"/>
      <w:r w:rsidRPr="00107CC9">
        <w:rPr>
          <w:rFonts w:ascii="Verdana" w:hAnsi="Verdana" w:cs="Calibri"/>
          <w:sz w:val="20"/>
          <w:szCs w:val="20"/>
        </w:rPr>
        <w:t>programme</w:t>
      </w:r>
      <w:proofErr w:type="spellEnd"/>
      <w:r w:rsidRPr="00107CC9">
        <w:rPr>
          <w:rFonts w:ascii="Verdana" w:hAnsi="Verdana" w:cs="Calibri"/>
          <w:sz w:val="20"/>
          <w:szCs w:val="20"/>
        </w:rPr>
        <w:t xml:space="preserve"> funding will arise. Many HEIs already complain to this effect, and are weary about the competitiveness of the forthcoming Erasmus+ calls for Capacity Development. In addition, funding for partnerships seems to focus increasingly on </w:t>
      </w:r>
      <w:r w:rsidRPr="00107CC9">
        <w:rPr>
          <w:rFonts w:ascii="Verdana" w:hAnsi="Verdana" w:cs="Calibri"/>
          <w:sz w:val="20"/>
          <w:szCs w:val="20"/>
        </w:rPr>
        <w:lastRenderedPageBreak/>
        <w:t xml:space="preserve">countries that are emerging economic stars, such as the BRICs. From a political perspective, HE partnership is logically linked to current economic interests and can underpin trade relations and </w:t>
      </w:r>
      <w:proofErr w:type="spellStart"/>
      <w:r w:rsidRPr="00107CC9">
        <w:rPr>
          <w:rFonts w:ascii="Verdana" w:hAnsi="Verdana" w:cs="Calibri"/>
          <w:sz w:val="20"/>
          <w:szCs w:val="20"/>
        </w:rPr>
        <w:t>foregin</w:t>
      </w:r>
      <w:proofErr w:type="spellEnd"/>
      <w:r w:rsidRPr="00107CC9">
        <w:rPr>
          <w:rFonts w:ascii="Verdana" w:hAnsi="Verdana" w:cs="Calibri"/>
          <w:sz w:val="20"/>
          <w:szCs w:val="20"/>
        </w:rPr>
        <w:t xml:space="preserve"> policy interests. However other less-developed economies should not be neglected, given the urgent need to development their HE sectors and also the rapidly changing geopolitical landscape. Some universities are recognizing this, and hence developing truly strategic research and teaching partnerships with less-developed countries in Africa, Latin America and South East Asia. However, national political priorities do not always follow-suit. The extent to which national political priorities and funding </w:t>
      </w:r>
      <w:proofErr w:type="spellStart"/>
      <w:r w:rsidRPr="00107CC9">
        <w:rPr>
          <w:rFonts w:ascii="Verdana" w:hAnsi="Verdana" w:cs="Calibri"/>
          <w:sz w:val="20"/>
          <w:szCs w:val="20"/>
        </w:rPr>
        <w:t>programmes</w:t>
      </w:r>
      <w:proofErr w:type="spellEnd"/>
      <w:r w:rsidRPr="00107CC9">
        <w:rPr>
          <w:rFonts w:ascii="Verdana" w:hAnsi="Verdana" w:cs="Calibri"/>
          <w:sz w:val="20"/>
          <w:szCs w:val="20"/>
        </w:rPr>
        <w:t xml:space="preserve"> for HE cooperation enable autonomous HEIs to develop strategic academic and research partnerships is indeed an interesting and important trend to track. A recent report from EUA on alignment of national and institutional mobility policies provides reflections on three countries: France, Lithuania and Hungary.</w:t>
      </w:r>
      <w:r w:rsidRPr="00107CC9">
        <w:rPr>
          <w:rStyle w:val="FootnoteReference"/>
          <w:rFonts w:ascii="Verdana" w:hAnsi="Verdana" w:cs="Calibri"/>
          <w:sz w:val="20"/>
          <w:szCs w:val="20"/>
        </w:rPr>
        <w:footnoteReference w:id="56"/>
      </w:r>
    </w:p>
    <w:p w:rsidR="00A75E62" w:rsidRPr="00107CC9" w:rsidRDefault="00A75E62" w:rsidP="00A75E62">
      <w:pPr>
        <w:spacing w:line="240" w:lineRule="auto"/>
        <w:jc w:val="both"/>
        <w:rPr>
          <w:rFonts w:ascii="Verdana" w:hAnsi="Verdana" w:cs="Calibri"/>
          <w:sz w:val="20"/>
          <w:szCs w:val="20"/>
        </w:rPr>
      </w:pPr>
      <w:r w:rsidRPr="00107CC9">
        <w:rPr>
          <w:rFonts w:ascii="Verdana" w:hAnsi="Verdana" w:cs="Calibri"/>
          <w:sz w:val="20"/>
          <w:szCs w:val="20"/>
        </w:rPr>
        <w:t xml:space="preserve">Funding partnership is a complicated matter, and should entail a variety of investors beyond the public purse. This is also critical for the ultimate sustainability of partnerships. A recent report on Erasmus Mundus Joint </w:t>
      </w:r>
      <w:proofErr w:type="spellStart"/>
      <w:r w:rsidRPr="00107CC9">
        <w:rPr>
          <w:rFonts w:ascii="Verdana" w:hAnsi="Verdana" w:cs="Calibri"/>
          <w:sz w:val="20"/>
          <w:szCs w:val="20"/>
        </w:rPr>
        <w:t>programmes</w:t>
      </w:r>
      <w:proofErr w:type="spellEnd"/>
      <w:r w:rsidRPr="00107CC9">
        <w:rPr>
          <w:rFonts w:ascii="Verdana" w:hAnsi="Verdana" w:cs="Calibri"/>
          <w:sz w:val="20"/>
          <w:szCs w:val="20"/>
        </w:rPr>
        <w:t xml:space="preserve">, for example, cites financial sustainability as key concern, particularly given that such </w:t>
      </w:r>
      <w:proofErr w:type="spellStart"/>
      <w:r w:rsidRPr="00107CC9">
        <w:rPr>
          <w:rFonts w:ascii="Verdana" w:hAnsi="Verdana" w:cs="Calibri"/>
          <w:sz w:val="20"/>
          <w:szCs w:val="20"/>
        </w:rPr>
        <w:t>programmes</w:t>
      </w:r>
      <w:proofErr w:type="spellEnd"/>
      <w:r w:rsidRPr="00107CC9">
        <w:rPr>
          <w:rFonts w:ascii="Verdana" w:hAnsi="Verdana" w:cs="Calibri"/>
          <w:sz w:val="20"/>
          <w:szCs w:val="20"/>
        </w:rPr>
        <w:t xml:space="preserve"> relied to a large extent on the EU scholarships awarded to students</w:t>
      </w:r>
      <w:r w:rsidRPr="00107CC9">
        <w:rPr>
          <w:rStyle w:val="FootnoteReference"/>
          <w:rFonts w:ascii="Verdana" w:hAnsi="Verdana" w:cs="Calibri"/>
          <w:sz w:val="20"/>
          <w:szCs w:val="20"/>
        </w:rPr>
        <w:footnoteReference w:id="57"/>
      </w:r>
      <w:r w:rsidRPr="00107CC9">
        <w:rPr>
          <w:rFonts w:ascii="Verdana" w:hAnsi="Verdana" w:cs="Calibri"/>
          <w:sz w:val="20"/>
          <w:szCs w:val="20"/>
        </w:rPr>
        <w:t xml:space="preserve">. This is one issue to examine going forward. Different and innovative funding models should be shared across the EHEA. </w:t>
      </w:r>
    </w:p>
    <w:p w:rsidR="00A75E62" w:rsidRPr="00107CC9" w:rsidRDefault="00A75E62" w:rsidP="00A75E62">
      <w:pPr>
        <w:spacing w:line="240" w:lineRule="auto"/>
        <w:jc w:val="both"/>
        <w:rPr>
          <w:rFonts w:ascii="Verdana" w:hAnsi="Verdana" w:cs="Calibri"/>
          <w:sz w:val="20"/>
          <w:szCs w:val="20"/>
        </w:rPr>
      </w:pPr>
      <w:r w:rsidRPr="00107CC9">
        <w:rPr>
          <w:rFonts w:ascii="Verdana" w:hAnsi="Verdana" w:cs="Calibri"/>
          <w:sz w:val="20"/>
          <w:szCs w:val="20"/>
        </w:rPr>
        <w:t xml:space="preserve">Of note, partnership between higher education </w:t>
      </w:r>
      <w:proofErr w:type="spellStart"/>
      <w:r w:rsidRPr="00107CC9">
        <w:rPr>
          <w:rFonts w:ascii="Verdana" w:hAnsi="Verdana" w:cs="Calibri"/>
          <w:sz w:val="20"/>
          <w:szCs w:val="20"/>
        </w:rPr>
        <w:t>organisations</w:t>
      </w:r>
      <w:proofErr w:type="spellEnd"/>
      <w:r w:rsidRPr="00107CC9">
        <w:rPr>
          <w:rFonts w:ascii="Verdana" w:hAnsi="Verdana" w:cs="Calibri"/>
          <w:sz w:val="20"/>
          <w:szCs w:val="20"/>
        </w:rPr>
        <w:t xml:space="preserve">, networks and representative bodies is an essential piece of the picture. It creates the conditions and the dialogue necessary to build institutional partnerships and contribute to system development. With EU support, this activity has flourished in the past five years but results need greater visibility. Thus beyond institutional partnerships, the EHEA and subsequently national governments should consider how best to enable stakeholder </w:t>
      </w:r>
      <w:proofErr w:type="spellStart"/>
      <w:r w:rsidRPr="00107CC9">
        <w:rPr>
          <w:rFonts w:ascii="Verdana" w:hAnsi="Verdana" w:cs="Calibri"/>
          <w:sz w:val="20"/>
          <w:szCs w:val="20"/>
        </w:rPr>
        <w:t>organisations</w:t>
      </w:r>
      <w:proofErr w:type="spellEnd"/>
      <w:r w:rsidRPr="00107CC9">
        <w:rPr>
          <w:rFonts w:ascii="Verdana" w:hAnsi="Verdana" w:cs="Calibri"/>
          <w:sz w:val="20"/>
          <w:szCs w:val="20"/>
        </w:rPr>
        <w:t xml:space="preserve"> in the HE sector to contribute to the global partnership agenda. The possibility for associations, </w:t>
      </w:r>
      <w:proofErr w:type="spellStart"/>
      <w:r w:rsidRPr="00107CC9">
        <w:rPr>
          <w:rFonts w:ascii="Verdana" w:hAnsi="Verdana" w:cs="Calibri"/>
          <w:sz w:val="20"/>
          <w:szCs w:val="20"/>
        </w:rPr>
        <w:t>organisations</w:t>
      </w:r>
      <w:proofErr w:type="spellEnd"/>
      <w:r w:rsidRPr="00107CC9">
        <w:rPr>
          <w:rFonts w:ascii="Verdana" w:hAnsi="Verdana" w:cs="Calibri"/>
          <w:sz w:val="20"/>
          <w:szCs w:val="20"/>
        </w:rPr>
        <w:t xml:space="preserve"> and networks within Europe to partner with like-bodies in other parts of the world and support policy dialogue and institutional networking should remain, for example, a feature of the Erasmus+ </w:t>
      </w:r>
      <w:proofErr w:type="spellStart"/>
      <w:r w:rsidRPr="00107CC9">
        <w:rPr>
          <w:rFonts w:ascii="Verdana" w:hAnsi="Verdana" w:cs="Calibri"/>
          <w:sz w:val="20"/>
          <w:szCs w:val="20"/>
        </w:rPr>
        <w:t>programme</w:t>
      </w:r>
      <w:proofErr w:type="spellEnd"/>
      <w:r w:rsidRPr="00107CC9">
        <w:rPr>
          <w:rFonts w:ascii="Verdana" w:hAnsi="Verdana" w:cs="Calibri"/>
          <w:sz w:val="20"/>
          <w:szCs w:val="20"/>
        </w:rPr>
        <w:t xml:space="preserve">. </w:t>
      </w:r>
    </w:p>
    <w:p w:rsidR="00A75E62" w:rsidRPr="00107CC9" w:rsidRDefault="00A75E62" w:rsidP="00A75E62">
      <w:pPr>
        <w:spacing w:line="240" w:lineRule="auto"/>
        <w:jc w:val="both"/>
        <w:rPr>
          <w:rFonts w:ascii="Verdana" w:hAnsi="Verdana" w:cs="Calibri"/>
          <w:sz w:val="20"/>
          <w:szCs w:val="20"/>
        </w:rPr>
      </w:pPr>
      <w:r w:rsidRPr="00107CC9">
        <w:rPr>
          <w:rFonts w:ascii="Verdana" w:hAnsi="Verdana" w:cs="Calibri"/>
          <w:sz w:val="20"/>
          <w:szCs w:val="20"/>
        </w:rPr>
        <w:t xml:space="preserve">In terms of the Global Setting Strategy, partnership should clearly remain a frontal feature, yet it is not clear how and to what extent the EHEA as such can support and monitor partnership in its multitude of forms, beyond what is already being accomplished via European </w:t>
      </w:r>
      <w:proofErr w:type="spellStart"/>
      <w:r w:rsidRPr="00107CC9">
        <w:rPr>
          <w:rFonts w:ascii="Verdana" w:hAnsi="Verdana" w:cs="Calibri"/>
          <w:sz w:val="20"/>
          <w:szCs w:val="20"/>
        </w:rPr>
        <w:t>programmes</w:t>
      </w:r>
      <w:proofErr w:type="spellEnd"/>
      <w:r w:rsidRPr="00107CC9">
        <w:rPr>
          <w:rFonts w:ascii="Verdana" w:hAnsi="Verdana" w:cs="Calibri"/>
          <w:sz w:val="20"/>
          <w:szCs w:val="20"/>
        </w:rPr>
        <w:t xml:space="preserve"> and institutional strategies. This requires a clear understanding of the types of partnerships that exist – whether they be political, organizational or institutional – the levels at which they operate and how they benefit in the HE community. Most importantly, examples of both national policies </w:t>
      </w:r>
      <w:proofErr w:type="spellStart"/>
      <w:r w:rsidRPr="00107CC9">
        <w:rPr>
          <w:rFonts w:ascii="Verdana" w:hAnsi="Verdana" w:cs="Calibri"/>
          <w:sz w:val="20"/>
          <w:szCs w:val="20"/>
        </w:rPr>
        <w:t>favouring</w:t>
      </w:r>
      <w:proofErr w:type="spellEnd"/>
      <w:r w:rsidRPr="00107CC9">
        <w:rPr>
          <w:rFonts w:ascii="Verdana" w:hAnsi="Verdana" w:cs="Calibri"/>
          <w:sz w:val="20"/>
          <w:szCs w:val="20"/>
        </w:rPr>
        <w:t xml:space="preserve"> partnerships and institutional practices should be brought to the surface and shared. This would enable greater synergies between national funding </w:t>
      </w:r>
      <w:proofErr w:type="spellStart"/>
      <w:r w:rsidRPr="00107CC9">
        <w:rPr>
          <w:rFonts w:ascii="Verdana" w:hAnsi="Verdana" w:cs="Calibri"/>
          <w:sz w:val="20"/>
          <w:szCs w:val="20"/>
        </w:rPr>
        <w:t>programmes</w:t>
      </w:r>
      <w:proofErr w:type="spellEnd"/>
      <w:r w:rsidRPr="00107CC9">
        <w:rPr>
          <w:rFonts w:ascii="Verdana" w:hAnsi="Verdana" w:cs="Calibri"/>
          <w:sz w:val="20"/>
          <w:szCs w:val="20"/>
        </w:rPr>
        <w:t xml:space="preserve"> targeted at certain Partner countries and regions. It would also help to demonstrate the current experimentation and innovation with regards to different partnership models and their effect on higher education institutions in the EHEA and beyond. </w:t>
      </w:r>
    </w:p>
    <w:p w:rsidR="00A75E62" w:rsidRPr="00107CC9" w:rsidRDefault="00A75E62" w:rsidP="00A75E62">
      <w:pPr>
        <w:spacing w:line="240" w:lineRule="auto"/>
        <w:jc w:val="both"/>
        <w:rPr>
          <w:rFonts w:ascii="Verdana" w:hAnsi="Verdana" w:cs="Calibri"/>
          <w:sz w:val="20"/>
          <w:szCs w:val="20"/>
        </w:rPr>
      </w:pPr>
      <w:r w:rsidRPr="00107CC9">
        <w:rPr>
          <w:rFonts w:ascii="Verdana" w:hAnsi="Verdana" w:cs="Calibri"/>
          <w:sz w:val="20"/>
          <w:szCs w:val="20"/>
        </w:rPr>
        <w:t xml:space="preserve">Finally, the dynamic nature of partnerships must be studied going forward; institutions are no longer simply partnering with each other in a global context, but also with </w:t>
      </w:r>
      <w:proofErr w:type="spellStart"/>
      <w:r w:rsidRPr="00107CC9">
        <w:rPr>
          <w:rFonts w:ascii="Verdana" w:hAnsi="Verdana" w:cs="Calibri"/>
          <w:sz w:val="20"/>
          <w:szCs w:val="20"/>
        </w:rPr>
        <w:t>multl</w:t>
      </w:r>
      <w:proofErr w:type="spellEnd"/>
      <w:r w:rsidRPr="00107CC9">
        <w:rPr>
          <w:rFonts w:ascii="Verdana" w:hAnsi="Verdana" w:cs="Calibri"/>
          <w:sz w:val="20"/>
          <w:szCs w:val="20"/>
        </w:rPr>
        <w:t xml:space="preserve">-national companies, international </w:t>
      </w:r>
      <w:proofErr w:type="spellStart"/>
      <w:r w:rsidRPr="00107CC9">
        <w:rPr>
          <w:rFonts w:ascii="Verdana" w:hAnsi="Verdana" w:cs="Calibri"/>
          <w:sz w:val="20"/>
          <w:szCs w:val="20"/>
        </w:rPr>
        <w:t>organisations</w:t>
      </w:r>
      <w:proofErr w:type="spellEnd"/>
      <w:r w:rsidRPr="00107CC9">
        <w:rPr>
          <w:rFonts w:ascii="Verdana" w:hAnsi="Verdana" w:cs="Calibri"/>
          <w:sz w:val="20"/>
          <w:szCs w:val="20"/>
        </w:rPr>
        <w:t xml:space="preserve"> and other entities. Delivering higher education and </w:t>
      </w:r>
      <w:r w:rsidRPr="00107CC9">
        <w:rPr>
          <w:rFonts w:ascii="Verdana" w:hAnsi="Verdana" w:cs="Calibri"/>
          <w:sz w:val="20"/>
          <w:szCs w:val="20"/>
        </w:rPr>
        <w:lastRenderedPageBreak/>
        <w:t xml:space="preserve">research through such dynamic arrangements will be an important development to consider in the EHEA global setting agenda in the future.  </w:t>
      </w:r>
    </w:p>
    <w:p w:rsidR="00A75E62" w:rsidRPr="00107CC9" w:rsidRDefault="00A75E62" w:rsidP="00A75E62">
      <w:pPr>
        <w:pStyle w:val="ListParagraph"/>
        <w:autoSpaceDE w:val="0"/>
        <w:autoSpaceDN w:val="0"/>
        <w:adjustRightInd w:val="0"/>
        <w:ind w:left="0"/>
        <w:jc w:val="both"/>
        <w:rPr>
          <w:rFonts w:ascii="Verdana" w:hAnsi="Verdana" w:cs="Calibri"/>
          <w:b/>
          <w:color w:val="C00000"/>
          <w:sz w:val="20"/>
          <w:szCs w:val="20"/>
        </w:rPr>
      </w:pPr>
    </w:p>
    <w:p w:rsidR="00A75E62" w:rsidRPr="00107CC9" w:rsidRDefault="00A75E62" w:rsidP="00A75E62">
      <w:pPr>
        <w:pStyle w:val="Heading1"/>
        <w:jc w:val="both"/>
        <w:rPr>
          <w:rFonts w:ascii="Verdana" w:hAnsi="Verdana"/>
          <w:sz w:val="20"/>
          <w:szCs w:val="20"/>
        </w:rPr>
      </w:pPr>
      <w:r w:rsidRPr="00107CC9">
        <w:rPr>
          <w:rFonts w:ascii="Verdana" w:hAnsi="Verdana"/>
          <w:sz w:val="20"/>
          <w:szCs w:val="20"/>
          <w:lang w:val="en-US"/>
        </w:rPr>
        <w:t xml:space="preserve"> </w:t>
      </w:r>
      <w:bookmarkStart w:id="7" w:name="_Toc397091168"/>
      <w:r w:rsidRPr="00107CC9">
        <w:rPr>
          <w:rFonts w:ascii="Verdana" w:hAnsi="Verdana"/>
          <w:sz w:val="20"/>
          <w:szCs w:val="20"/>
          <w:lang w:val="en-US"/>
        </w:rPr>
        <w:t xml:space="preserve">Intensifying </w:t>
      </w:r>
      <w:r w:rsidRPr="00107CC9">
        <w:rPr>
          <w:rFonts w:ascii="Verdana" w:hAnsi="Verdana"/>
          <w:sz w:val="20"/>
          <w:szCs w:val="20"/>
        </w:rPr>
        <w:t>Policy Dialogue</w:t>
      </w:r>
      <w:bookmarkEnd w:id="7"/>
    </w:p>
    <w:p w:rsidR="00A75E62" w:rsidRPr="00107CC9" w:rsidRDefault="00A75E62" w:rsidP="00A75E62">
      <w:pPr>
        <w:pStyle w:val="ListParagraph"/>
        <w:autoSpaceDE w:val="0"/>
        <w:autoSpaceDN w:val="0"/>
        <w:adjustRightInd w:val="0"/>
        <w:jc w:val="both"/>
        <w:rPr>
          <w:rFonts w:ascii="Verdana" w:hAnsi="Verdana" w:cs="Calibri"/>
          <w:sz w:val="20"/>
          <w:szCs w:val="20"/>
          <w:lang w:val="en-GB"/>
        </w:rPr>
      </w:pPr>
    </w:p>
    <w:p w:rsidR="00A75E62" w:rsidRPr="00107CC9" w:rsidRDefault="00A75E62" w:rsidP="00A75E62">
      <w:pPr>
        <w:spacing w:line="240" w:lineRule="auto"/>
        <w:jc w:val="both"/>
        <w:rPr>
          <w:rFonts w:ascii="Verdana" w:hAnsi="Verdana" w:cs="Calibri"/>
          <w:i/>
          <w:sz w:val="20"/>
          <w:szCs w:val="20"/>
        </w:rPr>
      </w:pPr>
      <w:r w:rsidRPr="00107CC9">
        <w:rPr>
          <w:rFonts w:ascii="Verdana" w:hAnsi="Verdana" w:cs="Calibri"/>
          <w:i/>
          <w:sz w:val="20"/>
          <w:szCs w:val="20"/>
        </w:rPr>
        <w:t xml:space="preserve">“It would be useful to </w:t>
      </w:r>
      <w:proofErr w:type="spellStart"/>
      <w:r w:rsidRPr="00107CC9">
        <w:rPr>
          <w:rFonts w:ascii="Verdana" w:hAnsi="Verdana" w:cs="Calibri"/>
          <w:i/>
          <w:sz w:val="20"/>
          <w:szCs w:val="20"/>
        </w:rPr>
        <w:t>systematise</w:t>
      </w:r>
      <w:proofErr w:type="spellEnd"/>
      <w:r w:rsidRPr="00107CC9">
        <w:rPr>
          <w:rFonts w:ascii="Verdana" w:hAnsi="Verdana" w:cs="Calibri"/>
          <w:i/>
          <w:sz w:val="20"/>
          <w:szCs w:val="20"/>
        </w:rPr>
        <w:t xml:space="preserve"> and broaden policy dialogue already initiated with non-EHEA country governments and stakeholders regarding the introduction of higher education reforms and innovation in order to exchange new ideas and share good practice.”</w:t>
      </w:r>
    </w:p>
    <w:p w:rsidR="00A75E62" w:rsidRPr="00107CC9" w:rsidRDefault="00A75E62" w:rsidP="00A75E62">
      <w:pPr>
        <w:spacing w:line="240" w:lineRule="auto"/>
        <w:jc w:val="both"/>
        <w:rPr>
          <w:rFonts w:ascii="Verdana" w:hAnsi="Verdana" w:cs="Calibri"/>
          <w:i/>
          <w:sz w:val="20"/>
          <w:szCs w:val="20"/>
        </w:rPr>
      </w:pPr>
      <w:r w:rsidRPr="00107CC9">
        <w:rPr>
          <w:rFonts w:ascii="Verdana" w:hAnsi="Verdana" w:cs="Calibri"/>
          <w:i/>
          <w:sz w:val="20"/>
          <w:szCs w:val="20"/>
        </w:rPr>
        <w:t>Actions: Creation of a higher education policy forum, Participation of international participants in Bologna seminars and conferences, Bologna consultation and advice</w:t>
      </w:r>
    </w:p>
    <w:p w:rsidR="00A75E62" w:rsidRPr="00107CC9" w:rsidRDefault="00A75E62" w:rsidP="00A75E62">
      <w:pPr>
        <w:spacing w:line="240" w:lineRule="auto"/>
        <w:jc w:val="both"/>
        <w:rPr>
          <w:rFonts w:ascii="Verdana" w:hAnsi="Verdana" w:cs="Calibri"/>
          <w:sz w:val="20"/>
          <w:szCs w:val="20"/>
        </w:rPr>
      </w:pPr>
      <w:r w:rsidRPr="00107CC9">
        <w:rPr>
          <w:rFonts w:ascii="Verdana" w:hAnsi="Verdana" w:cs="Calibri"/>
          <w:sz w:val="20"/>
          <w:szCs w:val="20"/>
        </w:rPr>
        <w:t xml:space="preserve">For this particular aspect of the Global Setting Strategy, the objectives are quite broad; however the recommended actions are rather specific. While policy dialogue on higher education can and does take place in a range of fora, various measures have taken place specifically in the Bologna Process context: Three Bologna Policy Forums (BPF) have been </w:t>
      </w:r>
      <w:proofErr w:type="spellStart"/>
      <w:r w:rsidRPr="00107CC9">
        <w:rPr>
          <w:rFonts w:ascii="Verdana" w:hAnsi="Verdana" w:cs="Calibri"/>
          <w:sz w:val="20"/>
          <w:szCs w:val="20"/>
        </w:rPr>
        <w:t>organised</w:t>
      </w:r>
      <w:proofErr w:type="spellEnd"/>
      <w:r w:rsidRPr="00107CC9">
        <w:rPr>
          <w:rFonts w:ascii="Verdana" w:hAnsi="Verdana" w:cs="Calibri"/>
          <w:sz w:val="20"/>
          <w:szCs w:val="20"/>
        </w:rPr>
        <w:t xml:space="preserve"> in conjunction with the ministerial conferences of 2009, 2010 and 2012. </w:t>
      </w:r>
      <w:proofErr w:type="spellStart"/>
      <w:r w:rsidRPr="00107CC9">
        <w:rPr>
          <w:rFonts w:ascii="Verdana" w:hAnsi="Verdana" w:cs="Calibri"/>
          <w:sz w:val="20"/>
          <w:szCs w:val="20"/>
        </w:rPr>
        <w:t>Organised</w:t>
      </w:r>
      <w:proofErr w:type="spellEnd"/>
      <w:r w:rsidRPr="00107CC9">
        <w:rPr>
          <w:rFonts w:ascii="Verdana" w:hAnsi="Verdana" w:cs="Calibri"/>
          <w:sz w:val="20"/>
          <w:szCs w:val="20"/>
        </w:rPr>
        <w:t xml:space="preserve"> by the Bologna Secretariats, in consultation with the BFUG, education ministers from around the globe have been invited to attend and even observe the deliberations of the Bologna Process ministerial summits, celebrate the launch of the EHEA and dialogue on current issues of mutual interest. While the BPF have been relatively popular in terms of participation, one could dispute their actual impact. They have been exclusive, invite-only events, targeting both ministers and senior officials in partner countries with an interest in Bologna.  Stakeholder </w:t>
      </w:r>
      <w:proofErr w:type="spellStart"/>
      <w:r w:rsidRPr="00107CC9">
        <w:rPr>
          <w:rFonts w:ascii="Verdana" w:hAnsi="Verdana" w:cs="Calibri"/>
          <w:sz w:val="20"/>
          <w:szCs w:val="20"/>
        </w:rPr>
        <w:t>organisation</w:t>
      </w:r>
      <w:proofErr w:type="spellEnd"/>
      <w:r w:rsidRPr="00107CC9">
        <w:rPr>
          <w:rFonts w:ascii="Verdana" w:hAnsi="Verdana" w:cs="Calibri"/>
          <w:sz w:val="20"/>
          <w:szCs w:val="20"/>
        </w:rPr>
        <w:t xml:space="preserve"> participation from non-EHEA countries has been limited (though encouraged when inviting ministerial delegates). The format has varied, though efforts have been made to </w:t>
      </w:r>
      <w:proofErr w:type="spellStart"/>
      <w:r w:rsidRPr="00107CC9">
        <w:rPr>
          <w:rFonts w:ascii="Verdana" w:hAnsi="Verdana" w:cs="Calibri"/>
          <w:sz w:val="20"/>
          <w:szCs w:val="20"/>
        </w:rPr>
        <w:t>maximise</w:t>
      </w:r>
      <w:proofErr w:type="spellEnd"/>
      <w:r w:rsidRPr="00107CC9">
        <w:rPr>
          <w:rFonts w:ascii="Verdana" w:hAnsi="Verdana" w:cs="Calibri"/>
          <w:sz w:val="20"/>
          <w:szCs w:val="20"/>
        </w:rPr>
        <w:t xml:space="preserve"> contact between EHEA and non-EHEA ministers and to select a number of key themes for discussions. Three declarations have been produced, albeit rather general in nature. They have basically stressed the need for increased dialogue and heightened participation of non-EHEA officials and stakeholders in Bologna related events. Little follow-up has taken place, despite the efforts of the Bologna Secretariat to maintain a list of contact points in non-EHEA ministries. Some discussion has taken place in the BFUG as to how and in what capacity non-EHEA experts and individuals should be invited to official Bologna seminars and even to BFUG working groups, for example, but this is still not done systematically. While seminars are consistently published on the EHEA website, participation beyond Europe has been limited. A handful of ‘global dialogue’ events have been </w:t>
      </w:r>
      <w:proofErr w:type="spellStart"/>
      <w:r w:rsidRPr="00107CC9">
        <w:rPr>
          <w:rFonts w:ascii="Verdana" w:hAnsi="Verdana" w:cs="Calibri"/>
          <w:sz w:val="20"/>
          <w:szCs w:val="20"/>
        </w:rPr>
        <w:t>organised</w:t>
      </w:r>
      <w:proofErr w:type="spellEnd"/>
      <w:r w:rsidRPr="00107CC9">
        <w:rPr>
          <w:rFonts w:ascii="Verdana" w:hAnsi="Verdana" w:cs="Calibri"/>
          <w:sz w:val="20"/>
          <w:szCs w:val="20"/>
        </w:rPr>
        <w:t xml:space="preserve"> in the Bologna framework, including an international conference on quality assurance </w:t>
      </w:r>
      <w:proofErr w:type="spellStart"/>
      <w:r w:rsidRPr="00107CC9">
        <w:rPr>
          <w:rFonts w:ascii="Verdana" w:hAnsi="Verdana" w:cs="Calibri"/>
          <w:sz w:val="20"/>
          <w:szCs w:val="20"/>
        </w:rPr>
        <w:t>organised</w:t>
      </w:r>
      <w:proofErr w:type="spellEnd"/>
      <w:r w:rsidRPr="00107CC9">
        <w:rPr>
          <w:rFonts w:ascii="Verdana" w:hAnsi="Verdana" w:cs="Calibri"/>
          <w:sz w:val="20"/>
          <w:szCs w:val="20"/>
        </w:rPr>
        <w:t xml:space="preserve"> by the European Commission and the Flemish ministry of education in 2011. </w:t>
      </w:r>
    </w:p>
    <w:p w:rsidR="00A75E62" w:rsidRPr="00107CC9" w:rsidRDefault="00A75E62" w:rsidP="00A75E62">
      <w:pPr>
        <w:spacing w:line="240" w:lineRule="auto"/>
        <w:jc w:val="both"/>
        <w:rPr>
          <w:rFonts w:ascii="Verdana" w:hAnsi="Verdana" w:cs="Calibri"/>
          <w:sz w:val="20"/>
          <w:szCs w:val="20"/>
        </w:rPr>
      </w:pPr>
      <w:r w:rsidRPr="00107CC9">
        <w:rPr>
          <w:rFonts w:ascii="Verdana" w:hAnsi="Verdana" w:cs="Calibri"/>
          <w:sz w:val="20"/>
          <w:szCs w:val="20"/>
        </w:rPr>
        <w:t xml:space="preserve">However, global policy dialogue is by no means scarce; a tremendous amount has happened at the EU, stakeholder and national government level, albeit in different concentric and sometimes overlapping circles. The policy dialogue component of the Global Setting Strategy thus needs to be evaluated on multiple levels, beyond the simple </w:t>
      </w:r>
      <w:proofErr w:type="spellStart"/>
      <w:r w:rsidRPr="00107CC9">
        <w:rPr>
          <w:rFonts w:ascii="Verdana" w:hAnsi="Verdana" w:cs="Calibri"/>
          <w:sz w:val="20"/>
          <w:szCs w:val="20"/>
        </w:rPr>
        <w:t>organisation</w:t>
      </w:r>
      <w:proofErr w:type="spellEnd"/>
      <w:r w:rsidRPr="00107CC9">
        <w:rPr>
          <w:rFonts w:ascii="Verdana" w:hAnsi="Verdana" w:cs="Calibri"/>
          <w:sz w:val="20"/>
          <w:szCs w:val="20"/>
        </w:rPr>
        <w:t xml:space="preserve"> of Bologna Policy Fora and related Bologna events. </w:t>
      </w:r>
    </w:p>
    <w:p w:rsidR="00A75E62" w:rsidRPr="00107CC9" w:rsidRDefault="00A75E62" w:rsidP="00A75E62">
      <w:pPr>
        <w:spacing w:line="240" w:lineRule="auto"/>
        <w:jc w:val="both"/>
        <w:rPr>
          <w:rFonts w:ascii="Verdana" w:hAnsi="Verdana" w:cs="Calibri"/>
          <w:i/>
          <w:sz w:val="20"/>
          <w:szCs w:val="20"/>
        </w:rPr>
      </w:pPr>
      <w:r w:rsidRPr="00107CC9">
        <w:rPr>
          <w:rFonts w:ascii="Verdana" w:hAnsi="Verdana" w:cs="Calibri"/>
          <w:i/>
          <w:sz w:val="20"/>
          <w:szCs w:val="20"/>
        </w:rPr>
        <w:t>European level</w:t>
      </w:r>
    </w:p>
    <w:p w:rsidR="00A75E62" w:rsidRPr="00107CC9" w:rsidRDefault="00A75E62" w:rsidP="00A75E62">
      <w:pPr>
        <w:pStyle w:val="ListParagraph"/>
        <w:autoSpaceDE w:val="0"/>
        <w:autoSpaceDN w:val="0"/>
        <w:adjustRightInd w:val="0"/>
        <w:ind w:left="0"/>
        <w:jc w:val="both"/>
        <w:rPr>
          <w:rFonts w:ascii="Verdana" w:hAnsi="Verdana" w:cs="Calibri"/>
          <w:sz w:val="20"/>
          <w:szCs w:val="20"/>
        </w:rPr>
      </w:pPr>
      <w:r w:rsidRPr="00107CC9">
        <w:rPr>
          <w:rFonts w:ascii="Verdana" w:hAnsi="Verdana" w:cs="Calibri"/>
          <w:sz w:val="20"/>
          <w:szCs w:val="20"/>
        </w:rPr>
        <w:t xml:space="preserve">In the past five years, the Directorate General of Education and Culture of the European Commission has initiated a number of bi-lateral policy dialogues with countries and regions outside the EU, including </w:t>
      </w:r>
      <w:hyperlink r:id="rId27" w:history="1">
        <w:r w:rsidRPr="00107CC9">
          <w:rPr>
            <w:rFonts w:ascii="Verdana" w:hAnsi="Verdana" w:cs="Calibri"/>
            <w:sz w:val="20"/>
            <w:szCs w:val="20"/>
            <w:lang w:val="en-GB"/>
          </w:rPr>
          <w:t>Australia</w:t>
        </w:r>
      </w:hyperlink>
      <w:r w:rsidRPr="00107CC9">
        <w:rPr>
          <w:rFonts w:ascii="Verdana" w:hAnsi="Verdana" w:cs="Calibri"/>
          <w:sz w:val="20"/>
          <w:szCs w:val="20"/>
          <w:lang w:val="en-GB"/>
        </w:rPr>
        <w:t xml:space="preserve">, </w:t>
      </w:r>
      <w:hyperlink r:id="rId28" w:history="1">
        <w:r w:rsidRPr="00107CC9">
          <w:rPr>
            <w:rFonts w:ascii="Verdana" w:hAnsi="Verdana" w:cs="Calibri"/>
            <w:sz w:val="20"/>
            <w:szCs w:val="20"/>
            <w:lang w:val="en-GB"/>
          </w:rPr>
          <w:t>Brazil</w:t>
        </w:r>
      </w:hyperlink>
      <w:r w:rsidRPr="00107CC9">
        <w:rPr>
          <w:rFonts w:ascii="Verdana" w:hAnsi="Verdana" w:cs="Calibri"/>
          <w:sz w:val="20"/>
          <w:szCs w:val="20"/>
          <w:lang w:val="en-GB"/>
        </w:rPr>
        <w:t xml:space="preserve">, </w:t>
      </w:r>
      <w:hyperlink r:id="rId29" w:history="1">
        <w:r w:rsidRPr="00107CC9">
          <w:rPr>
            <w:rFonts w:ascii="Verdana" w:hAnsi="Verdana" w:cs="Calibri"/>
            <w:sz w:val="20"/>
            <w:szCs w:val="20"/>
            <w:lang w:val="en-GB"/>
          </w:rPr>
          <w:t>China</w:t>
        </w:r>
      </w:hyperlink>
      <w:r w:rsidRPr="00107CC9">
        <w:rPr>
          <w:rFonts w:ascii="Verdana" w:hAnsi="Verdana" w:cs="Calibri"/>
          <w:sz w:val="20"/>
          <w:szCs w:val="20"/>
          <w:lang w:val="en-GB"/>
        </w:rPr>
        <w:t xml:space="preserve">, </w:t>
      </w:r>
      <w:hyperlink r:id="rId30" w:history="1">
        <w:r w:rsidRPr="00107CC9">
          <w:rPr>
            <w:rFonts w:ascii="Verdana" w:hAnsi="Verdana" w:cs="Calibri"/>
            <w:sz w:val="20"/>
            <w:szCs w:val="20"/>
            <w:lang w:val="en-GB"/>
          </w:rPr>
          <w:t>India</w:t>
        </w:r>
      </w:hyperlink>
      <w:r w:rsidRPr="00107CC9">
        <w:rPr>
          <w:rFonts w:ascii="Verdana" w:hAnsi="Verdana" w:cs="Calibri"/>
          <w:sz w:val="20"/>
          <w:szCs w:val="20"/>
          <w:lang w:val="en-GB"/>
        </w:rPr>
        <w:t xml:space="preserve">, </w:t>
      </w:r>
      <w:hyperlink r:id="rId31" w:history="1">
        <w:r w:rsidRPr="00107CC9">
          <w:rPr>
            <w:rFonts w:ascii="Verdana" w:hAnsi="Verdana" w:cs="Calibri"/>
            <w:sz w:val="20"/>
            <w:szCs w:val="20"/>
            <w:lang w:val="en-GB"/>
          </w:rPr>
          <w:t>Mexico</w:t>
        </w:r>
      </w:hyperlink>
      <w:r w:rsidRPr="00107CC9">
        <w:rPr>
          <w:rFonts w:ascii="Verdana" w:hAnsi="Verdana" w:cs="Calibri"/>
          <w:sz w:val="20"/>
          <w:szCs w:val="20"/>
          <w:lang w:val="en-GB"/>
        </w:rPr>
        <w:t xml:space="preserve">, South Africa, </w:t>
      </w:r>
      <w:hyperlink r:id="rId32" w:history="1">
        <w:r w:rsidRPr="00107CC9">
          <w:rPr>
            <w:rFonts w:ascii="Verdana" w:hAnsi="Verdana" w:cs="Calibri"/>
            <w:sz w:val="20"/>
            <w:szCs w:val="20"/>
            <w:lang w:val="en-GB"/>
          </w:rPr>
          <w:t>South Korea</w:t>
        </w:r>
      </w:hyperlink>
      <w:r w:rsidRPr="00107CC9">
        <w:rPr>
          <w:rFonts w:ascii="Verdana" w:hAnsi="Verdana" w:cs="Calibri"/>
          <w:sz w:val="20"/>
          <w:szCs w:val="20"/>
          <w:lang w:val="en-GB"/>
        </w:rPr>
        <w:t xml:space="preserve"> and Africa (as a regional dialogue). </w:t>
      </w:r>
      <w:r w:rsidRPr="00107CC9">
        <w:rPr>
          <w:rFonts w:ascii="Verdana" w:hAnsi="Verdana" w:cs="Calibri"/>
          <w:sz w:val="20"/>
          <w:szCs w:val="20"/>
        </w:rPr>
        <w:t xml:space="preserve">Several policy dialogue events have taken place, </w:t>
      </w:r>
      <w:r w:rsidRPr="00107CC9">
        <w:rPr>
          <w:rFonts w:ascii="Verdana" w:hAnsi="Verdana" w:cs="Calibri"/>
          <w:sz w:val="20"/>
          <w:szCs w:val="20"/>
        </w:rPr>
        <w:lastRenderedPageBreak/>
        <w:t xml:space="preserve">targeting senior officials from education ministries and select stakeholders. Priorities for cooperation have been defined and the various EU higher education </w:t>
      </w:r>
      <w:proofErr w:type="spellStart"/>
      <w:r w:rsidRPr="00107CC9">
        <w:rPr>
          <w:rFonts w:ascii="Verdana" w:hAnsi="Verdana" w:cs="Calibri"/>
          <w:sz w:val="20"/>
          <w:szCs w:val="20"/>
        </w:rPr>
        <w:t>programmes</w:t>
      </w:r>
      <w:proofErr w:type="spellEnd"/>
      <w:r w:rsidRPr="00107CC9">
        <w:rPr>
          <w:rFonts w:ascii="Verdana" w:hAnsi="Verdana" w:cs="Calibri"/>
          <w:sz w:val="20"/>
          <w:szCs w:val="20"/>
        </w:rPr>
        <w:t xml:space="preserve"> have been used as tools to follow them up. The EU uses these dialogues to understand where policies align, exchange best practice, increase cooperation and, in some cases, support the partner country or regions in their efforts to reform higher education. It is intended that EU policy dialogue in higher education should pave the way for increased cooperation and mobility between the EU and partner countries/regions</w:t>
      </w:r>
      <w:r w:rsidRPr="00107CC9">
        <w:rPr>
          <w:rStyle w:val="FootnoteReference"/>
          <w:rFonts w:ascii="Verdana" w:hAnsi="Verdana" w:cs="Calibri"/>
          <w:sz w:val="20"/>
          <w:szCs w:val="20"/>
        </w:rPr>
        <w:footnoteReference w:id="58"/>
      </w:r>
      <w:r w:rsidRPr="00107CC9">
        <w:rPr>
          <w:rFonts w:ascii="Verdana" w:hAnsi="Verdana" w:cs="Calibri"/>
          <w:sz w:val="20"/>
          <w:szCs w:val="20"/>
        </w:rPr>
        <w:t>.</w:t>
      </w:r>
    </w:p>
    <w:p w:rsidR="00A75E62" w:rsidRPr="00107CC9" w:rsidRDefault="00A75E62" w:rsidP="00A75E62">
      <w:pPr>
        <w:pStyle w:val="ListParagraph"/>
        <w:autoSpaceDE w:val="0"/>
        <w:autoSpaceDN w:val="0"/>
        <w:adjustRightInd w:val="0"/>
        <w:ind w:left="0"/>
        <w:jc w:val="both"/>
        <w:rPr>
          <w:rFonts w:ascii="Verdana" w:hAnsi="Verdana" w:cs="Calibri"/>
          <w:sz w:val="20"/>
          <w:szCs w:val="20"/>
          <w:lang w:val="en-GB"/>
        </w:rPr>
      </w:pPr>
    </w:p>
    <w:p w:rsidR="00A75E62" w:rsidRPr="00107CC9" w:rsidRDefault="00A75E62" w:rsidP="00A75E62">
      <w:pPr>
        <w:pStyle w:val="ListParagraph"/>
        <w:autoSpaceDE w:val="0"/>
        <w:autoSpaceDN w:val="0"/>
        <w:adjustRightInd w:val="0"/>
        <w:ind w:left="0"/>
        <w:jc w:val="both"/>
        <w:rPr>
          <w:rFonts w:ascii="Verdana" w:hAnsi="Verdana" w:cs="Calibri"/>
          <w:sz w:val="20"/>
          <w:szCs w:val="20"/>
          <w:lang w:val="en-GB"/>
        </w:rPr>
      </w:pPr>
      <w:r w:rsidRPr="00107CC9">
        <w:rPr>
          <w:rFonts w:ascii="Verdana" w:hAnsi="Verdana" w:cs="Calibri"/>
          <w:sz w:val="20"/>
          <w:szCs w:val="20"/>
          <w:lang w:val="en-GB"/>
        </w:rPr>
        <w:t>Beyond, higher education has increasingly featured in general bi-regional dialogue processes that the European Union entertains with other regions, an element of its external relations. This includes, for example, the EU-CELAC process</w:t>
      </w:r>
      <w:r w:rsidRPr="00107CC9">
        <w:rPr>
          <w:rStyle w:val="FootnoteReference"/>
          <w:rFonts w:ascii="Verdana" w:hAnsi="Verdana" w:cs="Calibri"/>
          <w:sz w:val="20"/>
          <w:szCs w:val="20"/>
          <w:lang w:val="en-GB"/>
        </w:rPr>
        <w:footnoteReference w:id="59"/>
      </w:r>
      <w:r w:rsidRPr="00107CC9">
        <w:rPr>
          <w:rFonts w:ascii="Verdana" w:hAnsi="Verdana" w:cs="Calibri"/>
          <w:sz w:val="20"/>
          <w:szCs w:val="20"/>
          <w:lang w:val="en-GB"/>
        </w:rPr>
        <w:t>, the Euro-Mediterranean Partnership</w:t>
      </w:r>
      <w:r w:rsidRPr="00107CC9">
        <w:rPr>
          <w:rStyle w:val="FootnoteReference"/>
          <w:rFonts w:ascii="Verdana" w:hAnsi="Verdana" w:cs="Calibri"/>
          <w:sz w:val="20"/>
          <w:szCs w:val="20"/>
          <w:lang w:val="en-GB"/>
        </w:rPr>
        <w:footnoteReference w:id="60"/>
      </w:r>
      <w:r w:rsidRPr="00107CC9">
        <w:rPr>
          <w:rFonts w:ascii="Verdana" w:hAnsi="Verdana" w:cs="Calibri"/>
          <w:sz w:val="20"/>
          <w:szCs w:val="20"/>
          <w:lang w:val="en-GB"/>
        </w:rPr>
        <w:t xml:space="preserve"> and the EU-Africa Strategic Partnership</w:t>
      </w:r>
      <w:r w:rsidRPr="00107CC9">
        <w:rPr>
          <w:rStyle w:val="FootnoteReference"/>
          <w:rFonts w:ascii="Verdana" w:hAnsi="Verdana" w:cs="Calibri"/>
          <w:sz w:val="20"/>
          <w:szCs w:val="20"/>
          <w:lang w:val="en-GB"/>
        </w:rPr>
        <w:footnoteReference w:id="61"/>
      </w:r>
      <w:r w:rsidRPr="00107CC9">
        <w:rPr>
          <w:rFonts w:ascii="Verdana" w:hAnsi="Verdana" w:cs="Calibri"/>
          <w:sz w:val="20"/>
          <w:szCs w:val="20"/>
          <w:lang w:val="en-GB"/>
        </w:rPr>
        <w:t xml:space="preserve">. In the latter, for example, the EC and the African Union Commission, in partnership with stakeholders, have organised specific ‘side-events’ on higher education the run up to the 2010 and 2013 summits. The focus has been on regional integration in HE, and more specifically on sharing experience and building capacity on issues like joint quality assurance frameworks and aligning course curricula (such as via the ‘Tuning’ initiative). </w:t>
      </w:r>
    </w:p>
    <w:p w:rsidR="00A75E62" w:rsidRPr="00107CC9" w:rsidRDefault="00A75E62" w:rsidP="00A75E62">
      <w:pPr>
        <w:pStyle w:val="ListParagraph"/>
        <w:autoSpaceDE w:val="0"/>
        <w:autoSpaceDN w:val="0"/>
        <w:adjustRightInd w:val="0"/>
        <w:ind w:left="0"/>
        <w:jc w:val="both"/>
        <w:rPr>
          <w:rFonts w:ascii="Verdana" w:hAnsi="Verdana" w:cs="Calibri"/>
          <w:sz w:val="20"/>
          <w:szCs w:val="20"/>
          <w:lang w:val="en-GB"/>
        </w:rPr>
      </w:pPr>
    </w:p>
    <w:p w:rsidR="00A75E62" w:rsidRPr="00107CC9" w:rsidRDefault="00A75E62" w:rsidP="00A75E62">
      <w:pPr>
        <w:pStyle w:val="CommentText"/>
        <w:jc w:val="both"/>
        <w:rPr>
          <w:rFonts w:ascii="Verdana" w:hAnsi="Verdana"/>
        </w:rPr>
      </w:pPr>
      <w:r w:rsidRPr="00107CC9">
        <w:rPr>
          <w:rFonts w:ascii="Verdana" w:hAnsi="Verdana" w:cs="Calibri"/>
        </w:rPr>
        <w:t>Relatedly, the Asia-Europe Meeting Process (ASEM Process) launched in 2009 an official sub-track, the</w:t>
      </w:r>
      <w:r w:rsidRPr="00107CC9">
        <w:rPr>
          <w:rFonts w:ascii="Verdana" w:hAnsi="Verdana" w:cs="Calibri"/>
          <w:b/>
        </w:rPr>
        <w:t xml:space="preserve"> ‘ASEM Education Process’</w:t>
      </w:r>
      <w:r w:rsidRPr="00107CC9">
        <w:rPr>
          <w:rStyle w:val="FootnoteReference"/>
          <w:rFonts w:ascii="Verdana" w:hAnsi="Verdana" w:cs="Calibri"/>
          <w:b/>
        </w:rPr>
        <w:footnoteReference w:id="62"/>
      </w:r>
      <w:r w:rsidRPr="00107CC9">
        <w:rPr>
          <w:rFonts w:ascii="Verdana" w:hAnsi="Verdana" w:cs="Calibri"/>
          <w:b/>
        </w:rPr>
        <w:t xml:space="preserve">, </w:t>
      </w:r>
      <w:r w:rsidRPr="00107CC9">
        <w:rPr>
          <w:rFonts w:ascii="Verdana" w:hAnsi="Verdana" w:cs="Calibri"/>
        </w:rPr>
        <w:t>which consists of bi-annual summits</w:t>
      </w:r>
      <w:r w:rsidRPr="00107CC9">
        <w:rPr>
          <w:rFonts w:ascii="Verdana" w:hAnsi="Verdana" w:cs="Calibri"/>
          <w:b/>
        </w:rPr>
        <w:t xml:space="preserve"> </w:t>
      </w:r>
      <w:r w:rsidRPr="00107CC9">
        <w:rPr>
          <w:rFonts w:ascii="Verdana" w:hAnsi="Verdana" w:cs="Calibri"/>
        </w:rPr>
        <w:t>gathering education ministers</w:t>
      </w:r>
      <w:r w:rsidRPr="00107CC9">
        <w:rPr>
          <w:rFonts w:ascii="Verdana" w:hAnsi="Verdana" w:cs="Calibri"/>
          <w:b/>
        </w:rPr>
        <w:t xml:space="preserve">. </w:t>
      </w:r>
      <w:r w:rsidRPr="00107CC9">
        <w:rPr>
          <w:rFonts w:ascii="Verdana" w:hAnsi="Verdana" w:cs="Calibri"/>
        </w:rPr>
        <w:t>An</w:t>
      </w:r>
      <w:r w:rsidRPr="00107CC9">
        <w:rPr>
          <w:rFonts w:ascii="Verdana" w:hAnsi="Verdana" w:cs="Calibri"/>
          <w:b/>
        </w:rPr>
        <w:t xml:space="preserve"> ASEM Education Secretariat (AES) </w:t>
      </w:r>
      <w:r w:rsidRPr="00107CC9">
        <w:rPr>
          <w:rFonts w:ascii="Verdana" w:hAnsi="Verdana" w:cs="Calibri"/>
        </w:rPr>
        <w:t>was also established and</w:t>
      </w:r>
      <w:r w:rsidRPr="00107CC9">
        <w:rPr>
          <w:rFonts w:ascii="Verdana" w:hAnsi="Verdana" w:cs="Calibri"/>
          <w:b/>
        </w:rPr>
        <w:t xml:space="preserve"> </w:t>
      </w:r>
      <w:r w:rsidRPr="00107CC9">
        <w:rPr>
          <w:rFonts w:ascii="Verdana" w:hAnsi="Verdana" w:cs="Calibri"/>
        </w:rPr>
        <w:t xml:space="preserve">hosted by DAAD until 2013, before being handed over to the Indonesian ministry. In this context, various events have been </w:t>
      </w:r>
      <w:proofErr w:type="spellStart"/>
      <w:r w:rsidRPr="00107CC9">
        <w:rPr>
          <w:rFonts w:ascii="Verdana" w:hAnsi="Verdana" w:cs="Calibri"/>
        </w:rPr>
        <w:t>organised</w:t>
      </w:r>
      <w:proofErr w:type="spellEnd"/>
      <w:r w:rsidRPr="00107CC9">
        <w:rPr>
          <w:rFonts w:ascii="Verdana" w:hAnsi="Verdana" w:cs="Calibri"/>
        </w:rPr>
        <w:t xml:space="preserve"> on European-Asian higher education cooperation, including on such priority themes as credit transfer, recognition conventions, vocational training, university-business collaboration, mobility and lifelong learning. The </w:t>
      </w:r>
      <w:r w:rsidRPr="00107CC9">
        <w:rPr>
          <w:rFonts w:ascii="Verdana" w:hAnsi="Verdana"/>
        </w:rPr>
        <w:t xml:space="preserve">ASEM-Education Process has designed a roadmap with well-identified priority areas of cooperation for which ASEM-Education countries volunteer to contribute. However, challenges remain, in particular in terms of the consistency of the commitments taken by those countries that are engaged in various cooperation processes. This is especially the case for EU Member States, who are engaged in both in the Bologna Process and the ASEM-Education Process. </w:t>
      </w:r>
    </w:p>
    <w:p w:rsidR="00A75E62" w:rsidRPr="00107CC9" w:rsidRDefault="00A75E62" w:rsidP="00A75E62">
      <w:pPr>
        <w:pStyle w:val="ListParagraph"/>
        <w:autoSpaceDE w:val="0"/>
        <w:autoSpaceDN w:val="0"/>
        <w:adjustRightInd w:val="0"/>
        <w:ind w:left="0"/>
        <w:jc w:val="both"/>
        <w:rPr>
          <w:rFonts w:ascii="Verdana" w:hAnsi="Verdana" w:cs="Calibri"/>
          <w:sz w:val="20"/>
          <w:szCs w:val="20"/>
        </w:rPr>
      </w:pPr>
    </w:p>
    <w:p w:rsidR="00A75E62" w:rsidRPr="00107CC9" w:rsidRDefault="00A75E62" w:rsidP="00A75E62">
      <w:pPr>
        <w:pStyle w:val="ListParagraph"/>
        <w:autoSpaceDE w:val="0"/>
        <w:autoSpaceDN w:val="0"/>
        <w:adjustRightInd w:val="0"/>
        <w:ind w:left="0"/>
        <w:jc w:val="both"/>
        <w:rPr>
          <w:rFonts w:ascii="Verdana" w:hAnsi="Verdana" w:cs="Calibri"/>
          <w:i/>
          <w:sz w:val="20"/>
          <w:szCs w:val="20"/>
        </w:rPr>
      </w:pPr>
      <w:r w:rsidRPr="00107CC9">
        <w:rPr>
          <w:rFonts w:ascii="Verdana" w:hAnsi="Verdana" w:cs="Calibri"/>
          <w:i/>
          <w:sz w:val="20"/>
          <w:szCs w:val="20"/>
        </w:rPr>
        <w:t>National Level</w:t>
      </w:r>
    </w:p>
    <w:p w:rsidR="00A75E62" w:rsidRPr="00107CC9" w:rsidRDefault="00A75E62" w:rsidP="00A75E62">
      <w:pPr>
        <w:pStyle w:val="ListParagraph"/>
        <w:autoSpaceDE w:val="0"/>
        <w:autoSpaceDN w:val="0"/>
        <w:adjustRightInd w:val="0"/>
        <w:ind w:left="0"/>
        <w:jc w:val="both"/>
        <w:rPr>
          <w:rFonts w:ascii="Verdana" w:hAnsi="Verdana" w:cs="Calibri"/>
          <w:sz w:val="20"/>
          <w:szCs w:val="20"/>
        </w:rPr>
      </w:pPr>
    </w:p>
    <w:p w:rsidR="00A75E62" w:rsidRPr="00107CC9" w:rsidRDefault="00A75E62" w:rsidP="00A75E62">
      <w:pPr>
        <w:pStyle w:val="ListParagraph"/>
        <w:autoSpaceDE w:val="0"/>
        <w:autoSpaceDN w:val="0"/>
        <w:adjustRightInd w:val="0"/>
        <w:ind w:left="0"/>
        <w:jc w:val="both"/>
        <w:rPr>
          <w:rFonts w:ascii="Verdana" w:hAnsi="Verdana" w:cs="Calibri"/>
          <w:sz w:val="20"/>
          <w:szCs w:val="20"/>
        </w:rPr>
      </w:pPr>
      <w:r w:rsidRPr="00107CC9">
        <w:rPr>
          <w:rFonts w:ascii="Verdana" w:hAnsi="Verdana" w:cs="Calibri"/>
          <w:sz w:val="20"/>
          <w:szCs w:val="20"/>
        </w:rPr>
        <w:t>At the national level in Europe, policy dialogues have also bene initiated to prepare, support and evaluate intergovernmental agreements on higher education and research. Below are several examples:</w:t>
      </w:r>
    </w:p>
    <w:p w:rsidR="00A75E62" w:rsidRPr="00107CC9" w:rsidRDefault="00A75E62" w:rsidP="00A75E62">
      <w:pPr>
        <w:pStyle w:val="ListParagraph"/>
        <w:autoSpaceDE w:val="0"/>
        <w:autoSpaceDN w:val="0"/>
        <w:adjustRightInd w:val="0"/>
        <w:ind w:left="0"/>
        <w:jc w:val="both"/>
        <w:rPr>
          <w:rStyle w:val="Hyperlink"/>
          <w:rFonts w:ascii="Verdana" w:hAnsi="Verdana" w:cs="Calibri"/>
          <w:b/>
          <w:i/>
          <w:sz w:val="20"/>
          <w:szCs w:val="20"/>
          <w:lang w:val="en-GB"/>
        </w:rPr>
      </w:pPr>
    </w:p>
    <w:p w:rsidR="00A75E62" w:rsidRPr="00107CC9" w:rsidRDefault="00A75E62" w:rsidP="00A75E62">
      <w:pPr>
        <w:pStyle w:val="ListParagraph"/>
        <w:autoSpaceDE w:val="0"/>
        <w:autoSpaceDN w:val="0"/>
        <w:adjustRightInd w:val="0"/>
        <w:ind w:left="0"/>
        <w:jc w:val="both"/>
        <w:rPr>
          <w:rFonts w:ascii="Verdana" w:hAnsi="Verdana" w:cs="Calibri"/>
          <w:b/>
          <w:i/>
          <w:sz w:val="20"/>
          <w:szCs w:val="20"/>
          <w:u w:val="single"/>
        </w:rPr>
      </w:pPr>
      <w:r w:rsidRPr="00107CC9">
        <w:rPr>
          <w:rStyle w:val="Hyperlink"/>
          <w:rFonts w:ascii="Verdana" w:hAnsi="Verdana" w:cs="Calibri"/>
          <w:b/>
          <w:i/>
          <w:sz w:val="20"/>
          <w:szCs w:val="20"/>
          <w:highlight w:val="lightGray"/>
        </w:rPr>
        <w:t xml:space="preserve">France: </w:t>
      </w:r>
      <w:r w:rsidRPr="00107CC9">
        <w:rPr>
          <w:rFonts w:ascii="Verdana" w:hAnsi="Verdana" w:cs="Calibri"/>
          <w:i/>
          <w:sz w:val="20"/>
          <w:szCs w:val="20"/>
          <w:highlight w:val="lightGray"/>
        </w:rPr>
        <w:t xml:space="preserve">Policy dialogue based on cooperation with partner countries and regions round the world is a long tradition for France and has often targeted Francophone countries and regions. With Africa, the main action line for cooperation is capacity building. One of the main challenges for France is to welcome students from Africa (nearly 1/2 foreign students is African while EHEA foreign students in France are represent only one quarter). Over the last 10 years, an increasing focus has been on “BRICS” countries, and with the </w:t>
      </w:r>
      <w:r w:rsidRPr="00107CC9">
        <w:rPr>
          <w:rFonts w:ascii="Verdana" w:hAnsi="Verdana" w:cs="Calibri"/>
          <w:i/>
          <w:sz w:val="20"/>
          <w:szCs w:val="20"/>
          <w:highlight w:val="lightGray"/>
        </w:rPr>
        <w:lastRenderedPageBreak/>
        <w:t>Mediterranean region as well. Student mobility, degree recognition and scientific exchanges are the main pillars of this policy dialogue in higher education.</w:t>
      </w:r>
    </w:p>
    <w:p w:rsidR="00A75E62" w:rsidRPr="00107CC9" w:rsidRDefault="00A75E62" w:rsidP="00A75E62">
      <w:pPr>
        <w:pStyle w:val="ListParagraph"/>
        <w:autoSpaceDE w:val="0"/>
        <w:autoSpaceDN w:val="0"/>
        <w:adjustRightInd w:val="0"/>
        <w:ind w:left="0"/>
        <w:jc w:val="both"/>
        <w:rPr>
          <w:rFonts w:ascii="Verdana" w:hAnsi="Verdana" w:cs="Calibri"/>
          <w:sz w:val="20"/>
          <w:szCs w:val="20"/>
        </w:rPr>
      </w:pPr>
    </w:p>
    <w:p w:rsidR="00A75E62" w:rsidRPr="00107CC9" w:rsidRDefault="00A75E62" w:rsidP="00A75E62">
      <w:pPr>
        <w:widowControl w:val="0"/>
        <w:autoSpaceDE w:val="0"/>
        <w:autoSpaceDN w:val="0"/>
        <w:adjustRightInd w:val="0"/>
        <w:spacing w:line="280" w:lineRule="atLeast"/>
        <w:jc w:val="both"/>
        <w:rPr>
          <w:rFonts w:ascii="Verdana" w:hAnsi="Verdana" w:cs="TimesNewRomanPSMT"/>
          <w:i/>
          <w:color w:val="000000"/>
          <w:sz w:val="20"/>
          <w:szCs w:val="20"/>
        </w:rPr>
      </w:pPr>
      <w:r w:rsidRPr="00107CC9">
        <w:rPr>
          <w:rFonts w:ascii="Verdana" w:hAnsi="Verdana" w:cs="TimesNewRomanPSMT"/>
          <w:b/>
          <w:i/>
          <w:color w:val="000000"/>
          <w:sz w:val="20"/>
          <w:szCs w:val="20"/>
          <w:highlight w:val="lightGray"/>
        </w:rPr>
        <w:t xml:space="preserve">Ireland: </w:t>
      </w:r>
      <w:r w:rsidRPr="00107CC9">
        <w:rPr>
          <w:rFonts w:ascii="Verdana" w:hAnsi="Verdana" w:cs="TimesNewRomanPSMT"/>
          <w:i/>
          <w:color w:val="000000"/>
          <w:sz w:val="20"/>
          <w:szCs w:val="20"/>
          <w:highlight w:val="lightGray"/>
        </w:rPr>
        <w:t>Ireland’s Presidency of the Council of the European Union (January–June 2013) provided an opportunity to build on this leadership and to promote the European Higher Education Area (EHEA). The key higher education events of the 2013 Irish Presidency, which were opened to a global audience, were: ‘Rankings &amp; the Visibility of Quality Outcomes in the European Higher Education Area’ international conference, 30</w:t>
      </w:r>
      <w:r w:rsidRPr="00107CC9">
        <w:rPr>
          <w:rFonts w:ascii="Verdana" w:hAnsi="Verdana" w:cs="TimesNewRomanPSMT"/>
          <w:i/>
          <w:color w:val="000000"/>
          <w:sz w:val="20"/>
          <w:szCs w:val="20"/>
          <w:highlight w:val="lightGray"/>
          <w:vertAlign w:val="superscript"/>
        </w:rPr>
        <w:t>th</w:t>
      </w:r>
      <w:r w:rsidRPr="00107CC9">
        <w:rPr>
          <w:rFonts w:ascii="Verdana" w:hAnsi="Verdana" w:cs="TimesNewRomanPSMT"/>
          <w:i/>
          <w:color w:val="000000"/>
          <w:sz w:val="20"/>
          <w:szCs w:val="20"/>
          <w:highlight w:val="lightGray"/>
        </w:rPr>
        <w:t>–31</w:t>
      </w:r>
      <w:r w:rsidRPr="00107CC9">
        <w:rPr>
          <w:rFonts w:ascii="Verdana" w:hAnsi="Verdana" w:cs="TimesNewRomanPSMT"/>
          <w:i/>
          <w:color w:val="000000"/>
          <w:sz w:val="20"/>
          <w:szCs w:val="20"/>
          <w:highlight w:val="lightGray"/>
          <w:vertAlign w:val="superscript"/>
        </w:rPr>
        <w:t>st</w:t>
      </w:r>
      <w:r w:rsidRPr="00107CC9">
        <w:rPr>
          <w:rFonts w:ascii="Verdana" w:hAnsi="Verdana" w:cs="TimesNewRomanPSMT"/>
          <w:i/>
          <w:color w:val="000000"/>
          <w:sz w:val="20"/>
          <w:szCs w:val="20"/>
          <w:highlight w:val="lightGray"/>
        </w:rPr>
        <w:t xml:space="preserve"> January, ‘Integration, Innovation and Improvement: The Professional Identity of Teacher Educators’ conference, 18</w:t>
      </w:r>
      <w:r w:rsidRPr="00107CC9">
        <w:rPr>
          <w:rFonts w:ascii="Verdana" w:hAnsi="Verdana" w:cs="TimesNewRomanPSMT"/>
          <w:i/>
          <w:color w:val="000000"/>
          <w:sz w:val="20"/>
          <w:szCs w:val="20"/>
          <w:highlight w:val="lightGray"/>
          <w:vertAlign w:val="superscript"/>
        </w:rPr>
        <w:t>th</w:t>
      </w:r>
      <w:r w:rsidRPr="00107CC9">
        <w:rPr>
          <w:rFonts w:ascii="Verdana" w:hAnsi="Verdana" w:cs="TimesNewRomanPSMT"/>
          <w:i/>
          <w:color w:val="000000"/>
          <w:sz w:val="20"/>
          <w:szCs w:val="20"/>
          <w:highlight w:val="lightGray"/>
        </w:rPr>
        <w:t>–19</w:t>
      </w:r>
      <w:r w:rsidRPr="00107CC9">
        <w:rPr>
          <w:rFonts w:ascii="Verdana" w:hAnsi="Verdana" w:cs="TimesNewRomanPSMT"/>
          <w:i/>
          <w:color w:val="000000"/>
          <w:sz w:val="20"/>
          <w:szCs w:val="20"/>
          <w:highlight w:val="lightGray"/>
          <w:vertAlign w:val="superscript"/>
        </w:rPr>
        <w:t>th</w:t>
      </w:r>
      <w:r w:rsidRPr="00107CC9">
        <w:rPr>
          <w:rFonts w:ascii="Verdana" w:hAnsi="Verdana" w:cs="TimesNewRomanPSMT"/>
          <w:i/>
          <w:color w:val="000000"/>
          <w:sz w:val="20"/>
          <w:szCs w:val="20"/>
          <w:highlight w:val="lightGray"/>
        </w:rPr>
        <w:t xml:space="preserve"> February, ‘Quality Assurance in Quality Frameworks’ conference, 12</w:t>
      </w:r>
      <w:r w:rsidRPr="00107CC9">
        <w:rPr>
          <w:rFonts w:ascii="Verdana" w:hAnsi="Verdana" w:cs="TimesNewRomanPSMT"/>
          <w:i/>
          <w:color w:val="000000"/>
          <w:sz w:val="20"/>
          <w:szCs w:val="20"/>
          <w:highlight w:val="lightGray"/>
          <w:vertAlign w:val="superscript"/>
        </w:rPr>
        <w:t>th</w:t>
      </w:r>
      <w:r w:rsidRPr="00107CC9">
        <w:rPr>
          <w:rFonts w:ascii="Verdana" w:hAnsi="Verdana" w:cs="TimesNewRomanPSMT"/>
          <w:i/>
          <w:color w:val="000000"/>
          <w:sz w:val="20"/>
          <w:szCs w:val="20"/>
          <w:highlight w:val="lightGray"/>
        </w:rPr>
        <w:t>–13</w:t>
      </w:r>
      <w:r w:rsidRPr="00107CC9">
        <w:rPr>
          <w:rFonts w:ascii="Verdana" w:hAnsi="Verdana" w:cs="TimesNewRomanPSMT"/>
          <w:i/>
          <w:color w:val="000000"/>
          <w:sz w:val="20"/>
          <w:szCs w:val="20"/>
          <w:highlight w:val="lightGray"/>
          <w:vertAlign w:val="superscript"/>
        </w:rPr>
        <w:t>th</w:t>
      </w:r>
      <w:r w:rsidRPr="00107CC9">
        <w:rPr>
          <w:rFonts w:ascii="Verdana" w:hAnsi="Verdana" w:cs="TimesNewRomanPSMT"/>
          <w:i/>
          <w:color w:val="000000"/>
          <w:sz w:val="20"/>
          <w:szCs w:val="20"/>
          <w:highlight w:val="lightGray"/>
        </w:rPr>
        <w:t xml:space="preserve"> March</w:t>
      </w:r>
      <w:r w:rsidRPr="00107CC9">
        <w:rPr>
          <w:rFonts w:ascii="Verdana" w:hAnsi="Verdana" w:cs="Symbol"/>
          <w:i/>
          <w:color w:val="000000"/>
          <w:sz w:val="20"/>
          <w:szCs w:val="20"/>
          <w:highlight w:val="lightGray"/>
        </w:rPr>
        <w:t></w:t>
      </w:r>
      <w:r w:rsidRPr="00107CC9">
        <w:rPr>
          <w:rFonts w:ascii="Verdana" w:hAnsi="Verdana" w:cs="Symbol"/>
          <w:i/>
          <w:color w:val="000000"/>
          <w:sz w:val="20"/>
          <w:szCs w:val="20"/>
          <w:highlight w:val="lightGray"/>
        </w:rPr>
        <w:t></w:t>
      </w:r>
    </w:p>
    <w:p w:rsidR="00A75E62" w:rsidRPr="00107CC9" w:rsidRDefault="00A75E62" w:rsidP="00A75E62">
      <w:pPr>
        <w:keepNext/>
        <w:keepLines/>
        <w:jc w:val="both"/>
        <w:rPr>
          <w:rFonts w:ascii="Verdana" w:hAnsi="Verdana"/>
          <w:i/>
          <w:sz w:val="20"/>
          <w:szCs w:val="20"/>
        </w:rPr>
      </w:pPr>
      <w:r w:rsidRPr="00107CC9">
        <w:rPr>
          <w:rFonts w:ascii="Verdana" w:hAnsi="Verdana"/>
          <w:i/>
          <w:sz w:val="20"/>
          <w:szCs w:val="20"/>
        </w:rPr>
        <w:t xml:space="preserve">Level of European </w:t>
      </w:r>
      <w:proofErr w:type="spellStart"/>
      <w:r w:rsidRPr="00107CC9">
        <w:rPr>
          <w:rFonts w:ascii="Verdana" w:hAnsi="Verdana"/>
          <w:i/>
          <w:sz w:val="20"/>
          <w:szCs w:val="20"/>
        </w:rPr>
        <w:t>organisations</w:t>
      </w:r>
      <w:proofErr w:type="spellEnd"/>
    </w:p>
    <w:p w:rsidR="00A75E62" w:rsidRPr="00107CC9" w:rsidRDefault="00A75E62" w:rsidP="00A75E62">
      <w:pPr>
        <w:widowControl w:val="0"/>
        <w:autoSpaceDE w:val="0"/>
        <w:autoSpaceDN w:val="0"/>
        <w:adjustRightInd w:val="0"/>
        <w:spacing w:line="280" w:lineRule="atLeast"/>
        <w:jc w:val="both"/>
        <w:rPr>
          <w:rFonts w:ascii="Verdana" w:hAnsi="Verdana" w:cs="TimesNewRomanPS-ItalicMT"/>
          <w:iCs/>
          <w:color w:val="000000"/>
          <w:sz w:val="20"/>
          <w:szCs w:val="20"/>
        </w:rPr>
      </w:pPr>
      <w:r w:rsidRPr="00107CC9">
        <w:rPr>
          <w:rFonts w:ascii="Verdana" w:hAnsi="Verdana" w:cs="TimesNewRomanPS-ItalicMT"/>
          <w:iCs/>
          <w:color w:val="000000"/>
          <w:sz w:val="20"/>
          <w:szCs w:val="20"/>
        </w:rPr>
        <w:t xml:space="preserve">Higher education </w:t>
      </w:r>
      <w:proofErr w:type="spellStart"/>
      <w:r w:rsidRPr="00107CC9">
        <w:rPr>
          <w:rFonts w:ascii="Verdana" w:hAnsi="Verdana" w:cs="TimesNewRomanPS-ItalicMT"/>
          <w:iCs/>
          <w:color w:val="000000"/>
          <w:sz w:val="20"/>
          <w:szCs w:val="20"/>
        </w:rPr>
        <w:t>organisations</w:t>
      </w:r>
      <w:proofErr w:type="spellEnd"/>
      <w:r w:rsidRPr="00107CC9">
        <w:rPr>
          <w:rFonts w:ascii="Verdana" w:hAnsi="Verdana" w:cs="TimesNewRomanPS-ItalicMT"/>
          <w:iCs/>
          <w:color w:val="000000"/>
          <w:sz w:val="20"/>
          <w:szCs w:val="20"/>
        </w:rPr>
        <w:t xml:space="preserve"> and networks have also convened policy dialogues with partners across the global in an attempt to define cooperation agendas and influence political processes. EUA, for example, has </w:t>
      </w:r>
      <w:proofErr w:type="spellStart"/>
      <w:r w:rsidRPr="00107CC9">
        <w:rPr>
          <w:rFonts w:ascii="Verdana" w:hAnsi="Verdana" w:cs="TimesNewRomanPS-ItalicMT"/>
          <w:iCs/>
          <w:color w:val="000000"/>
          <w:sz w:val="20"/>
          <w:szCs w:val="20"/>
        </w:rPr>
        <w:t>organised</w:t>
      </w:r>
      <w:proofErr w:type="spellEnd"/>
      <w:r w:rsidRPr="00107CC9">
        <w:rPr>
          <w:rFonts w:ascii="Verdana" w:hAnsi="Verdana" w:cs="TimesNewRomanPS-ItalicMT"/>
          <w:iCs/>
          <w:color w:val="000000"/>
          <w:sz w:val="20"/>
          <w:szCs w:val="20"/>
        </w:rPr>
        <w:t xml:space="preserve"> bi-regional meetings with different national and regional university associations across the globe for more than a decade, targeting university leadership and covering a range of topics of mutual interest. One current example is the </w:t>
      </w:r>
      <w:r w:rsidRPr="00107CC9">
        <w:rPr>
          <w:rFonts w:ascii="Verdana" w:hAnsi="Verdana" w:cs="TimesNewRomanPS-ItalicMT"/>
          <w:b/>
          <w:iCs/>
          <w:color w:val="000000"/>
          <w:sz w:val="20"/>
          <w:szCs w:val="20"/>
        </w:rPr>
        <w:t>Arab Europe Higher Education Conferences (AECHE)</w:t>
      </w:r>
      <w:r w:rsidRPr="00107CC9">
        <w:rPr>
          <w:rStyle w:val="FootnoteReference"/>
          <w:rFonts w:ascii="Verdana" w:hAnsi="Verdana" w:cs="TimesNewRomanPS-ItalicMT"/>
          <w:b/>
          <w:iCs/>
          <w:color w:val="000000"/>
          <w:sz w:val="20"/>
          <w:szCs w:val="20"/>
        </w:rPr>
        <w:footnoteReference w:id="63"/>
      </w:r>
      <w:r w:rsidRPr="00107CC9">
        <w:rPr>
          <w:rFonts w:ascii="Verdana" w:hAnsi="Verdana" w:cs="TimesNewRomanPS-ItalicMT"/>
          <w:iCs/>
          <w:color w:val="000000"/>
          <w:sz w:val="20"/>
          <w:szCs w:val="20"/>
        </w:rPr>
        <w:t xml:space="preserve">, </w:t>
      </w:r>
      <w:proofErr w:type="spellStart"/>
      <w:r w:rsidRPr="00107CC9">
        <w:rPr>
          <w:rFonts w:ascii="Verdana" w:hAnsi="Verdana" w:cs="TimesNewRomanPS-ItalicMT"/>
          <w:iCs/>
          <w:color w:val="000000"/>
          <w:sz w:val="20"/>
          <w:szCs w:val="20"/>
        </w:rPr>
        <w:t>organised</w:t>
      </w:r>
      <w:proofErr w:type="spellEnd"/>
      <w:r w:rsidRPr="00107CC9">
        <w:rPr>
          <w:rFonts w:ascii="Verdana" w:hAnsi="Verdana" w:cs="TimesNewRomanPS-ItalicMT"/>
          <w:iCs/>
          <w:color w:val="000000"/>
          <w:sz w:val="20"/>
          <w:szCs w:val="20"/>
        </w:rPr>
        <w:t xml:space="preserve"> with the Association of Arab Universities in 2013 and 2014. The most recent meeting focused on the role of mobility </w:t>
      </w:r>
      <w:proofErr w:type="spellStart"/>
      <w:r w:rsidRPr="00107CC9">
        <w:rPr>
          <w:rFonts w:ascii="Verdana" w:hAnsi="Verdana" w:cs="TimesNewRomanPS-ItalicMT"/>
          <w:iCs/>
          <w:color w:val="000000"/>
          <w:sz w:val="20"/>
          <w:szCs w:val="20"/>
        </w:rPr>
        <w:t>programmes</w:t>
      </w:r>
      <w:proofErr w:type="spellEnd"/>
      <w:r w:rsidRPr="00107CC9">
        <w:rPr>
          <w:rFonts w:ascii="Verdana" w:hAnsi="Verdana" w:cs="TimesNewRomanPS-ItalicMT"/>
          <w:iCs/>
          <w:color w:val="000000"/>
          <w:sz w:val="20"/>
          <w:szCs w:val="20"/>
        </w:rPr>
        <w:t xml:space="preserve"> in fostering regional integration and has set as one of its objectives the eventual establishment of an internal Arab country mobility scheme, based on the European experience. In partnership with the European Commission, EUA has also supported the </w:t>
      </w:r>
      <w:proofErr w:type="spellStart"/>
      <w:r w:rsidRPr="00107CC9">
        <w:rPr>
          <w:rFonts w:ascii="Verdana" w:hAnsi="Verdana" w:cs="TimesNewRomanPS-ItalicMT"/>
          <w:iCs/>
          <w:color w:val="000000"/>
          <w:sz w:val="20"/>
          <w:szCs w:val="20"/>
        </w:rPr>
        <w:t>organisation</w:t>
      </w:r>
      <w:proofErr w:type="spellEnd"/>
      <w:r w:rsidRPr="00107CC9">
        <w:rPr>
          <w:rFonts w:ascii="Verdana" w:hAnsi="Verdana" w:cs="TimesNewRomanPS-ItalicMT"/>
          <w:iCs/>
          <w:color w:val="000000"/>
          <w:sz w:val="20"/>
          <w:szCs w:val="20"/>
        </w:rPr>
        <w:t xml:space="preserve"> of university leadership dialogue with both Brazil and China, events that have taken place in conjunction with high level political dialogue between the EU and these countries </w:t>
      </w:r>
    </w:p>
    <w:p w:rsidR="00A75E62" w:rsidRPr="00107CC9" w:rsidRDefault="00A75E62" w:rsidP="00A75E62">
      <w:pPr>
        <w:spacing w:after="0" w:line="259" w:lineRule="auto"/>
        <w:jc w:val="both"/>
        <w:rPr>
          <w:rFonts w:ascii="Verdana" w:hAnsi="Verdana"/>
          <w:sz w:val="20"/>
          <w:szCs w:val="20"/>
        </w:rPr>
      </w:pPr>
      <w:r w:rsidRPr="00107CC9">
        <w:rPr>
          <w:rFonts w:ascii="Verdana" w:hAnsi="Verdana" w:cs="TimesNewRomanPS-ItalicMT"/>
          <w:iCs/>
          <w:color w:val="000000"/>
          <w:sz w:val="20"/>
          <w:szCs w:val="20"/>
        </w:rPr>
        <w:t xml:space="preserve">ENQA participates in global policy dialogue between quality assurances agencies and has also been engaged in a number of projects furthering this aim. For example, The </w:t>
      </w:r>
      <w:r w:rsidRPr="00107CC9">
        <w:rPr>
          <w:rFonts w:ascii="Verdana" w:hAnsi="Verdana"/>
          <w:i/>
          <w:sz w:val="20"/>
          <w:szCs w:val="20"/>
        </w:rPr>
        <w:t xml:space="preserve">QACHE </w:t>
      </w:r>
      <w:r w:rsidRPr="00107CC9">
        <w:rPr>
          <w:rFonts w:ascii="Verdana" w:hAnsi="Verdana"/>
          <w:sz w:val="20"/>
          <w:szCs w:val="20"/>
        </w:rPr>
        <w:t>project</w:t>
      </w:r>
      <w:r w:rsidRPr="00107CC9">
        <w:rPr>
          <w:rStyle w:val="FootnoteReference"/>
          <w:rFonts w:ascii="Verdana" w:hAnsi="Verdana"/>
          <w:sz w:val="20"/>
          <w:szCs w:val="20"/>
        </w:rPr>
        <w:footnoteReference w:id="64"/>
      </w:r>
      <w:r w:rsidRPr="00107CC9">
        <w:rPr>
          <w:rFonts w:ascii="Verdana" w:hAnsi="Verdana"/>
          <w:sz w:val="20"/>
          <w:szCs w:val="20"/>
        </w:rPr>
        <w:t xml:space="preserve"> (carried out with the national QA agencies of the UK, France, Spain, Germany, Australia and the QA Network of  Arab countries- TEQSA and the Asian Pacific QA Network) aims to address, in terms of information and practical support, the quality assurance of cross-border higher education (CBHE) by looking closely into different ways in which European QA agencies and HEIs address the accreditation and quality assurance of the </w:t>
      </w:r>
      <w:proofErr w:type="spellStart"/>
      <w:r w:rsidRPr="00107CC9">
        <w:rPr>
          <w:rFonts w:ascii="Verdana" w:hAnsi="Verdana"/>
          <w:sz w:val="20"/>
          <w:szCs w:val="20"/>
        </w:rPr>
        <w:t>programmes</w:t>
      </w:r>
      <w:proofErr w:type="spellEnd"/>
      <w:r w:rsidRPr="00107CC9">
        <w:rPr>
          <w:rFonts w:ascii="Verdana" w:hAnsi="Verdana"/>
          <w:sz w:val="20"/>
          <w:szCs w:val="20"/>
        </w:rPr>
        <w:t xml:space="preserve"> delivered outside of their countries. It is creating a common European quality assurance approach to cross-border higher education which will contribute to the promotion of European higher education in other parts of the world. One of the main components of the project is to enhance policy dialogue within European countries and between Europe and other world regions on quality assurance of CBHE, and enhance thus mutual understanding of different approaches to CBHE and different methods in quality assurance. </w:t>
      </w:r>
    </w:p>
    <w:p w:rsidR="00A75E62" w:rsidRPr="00107CC9" w:rsidRDefault="00A75E62" w:rsidP="00A75E62">
      <w:pPr>
        <w:pStyle w:val="ListParagraph"/>
        <w:autoSpaceDE w:val="0"/>
        <w:autoSpaceDN w:val="0"/>
        <w:adjustRightInd w:val="0"/>
        <w:ind w:left="0"/>
        <w:jc w:val="both"/>
        <w:rPr>
          <w:rFonts w:ascii="Verdana" w:hAnsi="Verdana" w:cs="Calibri"/>
          <w:sz w:val="20"/>
          <w:szCs w:val="20"/>
        </w:rPr>
      </w:pPr>
    </w:p>
    <w:p w:rsidR="00A75E62" w:rsidRPr="00107CC9" w:rsidRDefault="00A75E62" w:rsidP="00A75E62">
      <w:pPr>
        <w:pStyle w:val="ListParagraph"/>
        <w:autoSpaceDE w:val="0"/>
        <w:autoSpaceDN w:val="0"/>
        <w:adjustRightInd w:val="0"/>
        <w:ind w:left="0"/>
        <w:jc w:val="both"/>
        <w:rPr>
          <w:rFonts w:ascii="Verdana" w:hAnsi="Verdana" w:cs="Calibri"/>
          <w:i/>
          <w:sz w:val="20"/>
          <w:szCs w:val="20"/>
        </w:rPr>
      </w:pPr>
      <w:r w:rsidRPr="00107CC9">
        <w:rPr>
          <w:rFonts w:ascii="Verdana" w:hAnsi="Verdana" w:cs="Calibri"/>
          <w:i/>
          <w:sz w:val="20"/>
          <w:szCs w:val="20"/>
        </w:rPr>
        <w:t>General remarks</w:t>
      </w:r>
    </w:p>
    <w:p w:rsidR="00A75E62" w:rsidRPr="00107CC9" w:rsidRDefault="00A75E62" w:rsidP="00A75E62">
      <w:pPr>
        <w:pStyle w:val="ListParagraph"/>
        <w:autoSpaceDE w:val="0"/>
        <w:autoSpaceDN w:val="0"/>
        <w:adjustRightInd w:val="0"/>
        <w:ind w:left="0"/>
        <w:jc w:val="both"/>
        <w:rPr>
          <w:rFonts w:ascii="Verdana" w:hAnsi="Verdana" w:cs="Calibri"/>
          <w:i/>
          <w:sz w:val="20"/>
          <w:szCs w:val="20"/>
        </w:rPr>
      </w:pPr>
    </w:p>
    <w:p w:rsidR="00A75E62" w:rsidRPr="00107CC9" w:rsidRDefault="00A75E62" w:rsidP="00A75E62">
      <w:pPr>
        <w:spacing w:line="240" w:lineRule="auto"/>
        <w:jc w:val="both"/>
        <w:rPr>
          <w:rFonts w:ascii="Verdana" w:hAnsi="Verdana" w:cs="Calibri"/>
          <w:sz w:val="20"/>
          <w:szCs w:val="20"/>
        </w:rPr>
      </w:pPr>
      <w:r w:rsidRPr="00107CC9">
        <w:rPr>
          <w:rFonts w:ascii="Verdana" w:hAnsi="Verdana" w:cs="Calibri"/>
          <w:sz w:val="20"/>
          <w:szCs w:val="20"/>
        </w:rPr>
        <w:t xml:space="preserve">Policy dialogue is key to both communicating European higher education reform in the world and to seeking common approaches with non-EHEA partner countries, regions and </w:t>
      </w:r>
      <w:r w:rsidRPr="00107CC9">
        <w:rPr>
          <w:rFonts w:ascii="Verdana" w:hAnsi="Verdana" w:cs="Calibri"/>
          <w:sz w:val="20"/>
          <w:szCs w:val="20"/>
        </w:rPr>
        <w:lastRenderedPageBreak/>
        <w:t xml:space="preserve">institutions. It also underpins partnership and recognition, two other pillars of the EHEA Global Setting Strategy. In the context of the Bologna Process as such, focus has been placed on the Bologna Policy Forum, a high-level event that intends to bring ministers from non-EHEA countries into the EHEA ministerial summits. However it is clear that this type of policy dialogue has its limitations and is only one piece of a multi-faceted policy dialogue process that has to take place a various levels- European, national and stakeholder level.  If the Bologna Policy Forum is to continue and remain a feature of the EHEA in a Global Setting Strategy, then it must be considered what value it adds to existing policy dialogue that already is taking place, driven on European level by the EU and European-level stakeholders. The proposed regional focus on the Southern Mediterranean in the upcoming BPF in </w:t>
      </w:r>
      <w:smartTag w:uri="urn:schemas-microsoft-com:office:smarttags" w:element="metricconverter">
        <w:smartTagPr>
          <w:attr w:name="ProductID" w:val="2015 in"/>
        </w:smartTagPr>
        <w:r w:rsidRPr="00107CC9">
          <w:rPr>
            <w:rFonts w:ascii="Verdana" w:hAnsi="Verdana" w:cs="Calibri"/>
            <w:sz w:val="20"/>
            <w:szCs w:val="20"/>
          </w:rPr>
          <w:t>2015 in</w:t>
        </w:r>
      </w:smartTag>
      <w:r w:rsidRPr="00107CC9">
        <w:rPr>
          <w:rFonts w:ascii="Verdana" w:hAnsi="Verdana" w:cs="Calibri"/>
          <w:sz w:val="20"/>
          <w:szCs w:val="20"/>
        </w:rPr>
        <w:t xml:space="preserve"> Yerevan would have been a good start, however it has been reported that such a targeted geographic approach will unfortunately not be pursued in the end. Beyond specific bi-regional dialogue,  focusing on topics that are specific to the EHEA and to Bologna as a regional integration </w:t>
      </w:r>
      <w:r w:rsidRPr="00107CC9">
        <w:rPr>
          <w:rFonts w:ascii="Verdana" w:hAnsi="Verdana" w:cs="Calibri"/>
          <w:i/>
          <w:sz w:val="20"/>
          <w:szCs w:val="20"/>
        </w:rPr>
        <w:t>process</w:t>
      </w:r>
      <w:r w:rsidRPr="00107CC9">
        <w:rPr>
          <w:rFonts w:ascii="Verdana" w:hAnsi="Verdana" w:cs="Calibri"/>
          <w:sz w:val="20"/>
          <w:szCs w:val="20"/>
        </w:rPr>
        <w:t xml:space="preserve"> would be a means to ensure the BPF are distinct and do not replicating other high-level global fora for political dialogue on HE, of which there are many. It could have been an excellent opportunity to use the upcoming Yerevan Summit to </w:t>
      </w:r>
      <w:proofErr w:type="spellStart"/>
      <w:r w:rsidRPr="00107CC9">
        <w:rPr>
          <w:rFonts w:ascii="Verdana" w:hAnsi="Verdana" w:cs="Calibri"/>
          <w:sz w:val="20"/>
          <w:szCs w:val="20"/>
        </w:rPr>
        <w:t>contextualise</w:t>
      </w:r>
      <w:proofErr w:type="spellEnd"/>
      <w:r w:rsidRPr="00107CC9">
        <w:rPr>
          <w:rFonts w:ascii="Verdana" w:hAnsi="Verdana" w:cs="Calibri"/>
          <w:sz w:val="20"/>
          <w:szCs w:val="20"/>
        </w:rPr>
        <w:t xml:space="preserve"> European cooperation with the Southern Med region that is already taking place (for example, the European Commission’s Southern Med dialogue and the Arab-Euro Higher Education Conferences (AECHE), a forum university leaders). </w:t>
      </w:r>
      <w:proofErr w:type="spellStart"/>
      <w:r w:rsidRPr="00107CC9">
        <w:rPr>
          <w:rFonts w:ascii="Verdana" w:hAnsi="Verdana" w:cs="Calibri"/>
          <w:sz w:val="20"/>
          <w:szCs w:val="20"/>
        </w:rPr>
        <w:t>Optimising</w:t>
      </w:r>
      <w:proofErr w:type="spellEnd"/>
      <w:r w:rsidRPr="00107CC9">
        <w:rPr>
          <w:rFonts w:ascii="Verdana" w:hAnsi="Verdana" w:cs="Calibri"/>
          <w:sz w:val="20"/>
          <w:szCs w:val="20"/>
        </w:rPr>
        <w:t xml:space="preserve"> policy dialogue synergies in the future - with or without the existence of BPF - will be essential if they are to have a larger and sustained impact. </w:t>
      </w:r>
    </w:p>
    <w:p w:rsidR="00A75E62" w:rsidRPr="00107CC9" w:rsidRDefault="00A75E62" w:rsidP="00A75E62">
      <w:pPr>
        <w:pStyle w:val="ListParagraph"/>
        <w:autoSpaceDE w:val="0"/>
        <w:autoSpaceDN w:val="0"/>
        <w:adjustRightInd w:val="0"/>
        <w:ind w:left="0"/>
        <w:jc w:val="both"/>
        <w:rPr>
          <w:rFonts w:ascii="Verdana" w:hAnsi="Verdana" w:cs="Calibri"/>
          <w:sz w:val="20"/>
          <w:szCs w:val="20"/>
          <w:lang w:val="en-GB"/>
        </w:rPr>
      </w:pPr>
    </w:p>
    <w:p w:rsidR="00A75E62" w:rsidRPr="00107CC9" w:rsidRDefault="00A75E62" w:rsidP="00A75E62">
      <w:pPr>
        <w:pStyle w:val="Heading1"/>
        <w:jc w:val="both"/>
        <w:rPr>
          <w:rFonts w:ascii="Verdana" w:hAnsi="Verdana"/>
          <w:sz w:val="20"/>
          <w:szCs w:val="20"/>
        </w:rPr>
      </w:pPr>
      <w:bookmarkStart w:id="8" w:name="_Toc397091169"/>
      <w:r w:rsidRPr="00107CC9">
        <w:rPr>
          <w:rFonts w:ascii="Verdana" w:hAnsi="Verdana"/>
          <w:sz w:val="20"/>
          <w:szCs w:val="20"/>
        </w:rPr>
        <w:t>Recognition of Qualifications</w:t>
      </w:r>
      <w:bookmarkEnd w:id="8"/>
    </w:p>
    <w:p w:rsidR="00A75E62" w:rsidRPr="00107CC9" w:rsidRDefault="00A75E62" w:rsidP="00A75E62">
      <w:pPr>
        <w:spacing w:line="240" w:lineRule="auto"/>
        <w:jc w:val="both"/>
        <w:rPr>
          <w:rFonts w:ascii="Verdana" w:hAnsi="Verdana" w:cs="Calibri"/>
          <w:i/>
          <w:sz w:val="20"/>
          <w:szCs w:val="20"/>
        </w:rPr>
      </w:pPr>
    </w:p>
    <w:p w:rsidR="00A75E62" w:rsidRPr="00107CC9" w:rsidRDefault="00A75E62" w:rsidP="00A75E62">
      <w:pPr>
        <w:spacing w:line="240" w:lineRule="auto"/>
        <w:jc w:val="both"/>
        <w:rPr>
          <w:rFonts w:ascii="Verdana" w:hAnsi="Verdana" w:cs="Calibri"/>
          <w:i/>
          <w:sz w:val="20"/>
          <w:szCs w:val="20"/>
        </w:rPr>
      </w:pPr>
      <w:r w:rsidRPr="00107CC9">
        <w:rPr>
          <w:rFonts w:ascii="Verdana" w:hAnsi="Verdana" w:cs="Calibri"/>
          <w:i/>
          <w:sz w:val="20"/>
          <w:szCs w:val="20"/>
        </w:rPr>
        <w:t>“Developing policies and practices furthering the recognition of qualifications is a key element of the European Higher Education in a Global Setting Strategy.”</w:t>
      </w:r>
    </w:p>
    <w:p w:rsidR="00A75E62" w:rsidRPr="00107CC9" w:rsidRDefault="00A75E62" w:rsidP="00A75E62">
      <w:pPr>
        <w:spacing w:line="240" w:lineRule="auto"/>
        <w:jc w:val="both"/>
        <w:rPr>
          <w:rFonts w:ascii="Verdana" w:hAnsi="Verdana" w:cs="Calibri"/>
          <w:i/>
          <w:sz w:val="20"/>
          <w:szCs w:val="20"/>
        </w:rPr>
      </w:pPr>
      <w:r w:rsidRPr="00107CC9">
        <w:rPr>
          <w:rFonts w:ascii="Verdana" w:hAnsi="Verdana" w:cs="Calibri"/>
          <w:i/>
          <w:sz w:val="20"/>
          <w:szCs w:val="20"/>
        </w:rPr>
        <w:t>Actions: Promoting understanding of the overarching framework of the EHEA in other parts of the world, promoting cooperation between ENIC/NARIC networks and networks from other regions, revision of regional recognition conventions, promotion of use of compatibility of European tools, enhancing readability of national quality assessment documents and decisions, intensifying cooperation regarding cross-border education</w:t>
      </w:r>
    </w:p>
    <w:p w:rsidR="00A75E62" w:rsidRPr="00107CC9" w:rsidRDefault="00A75E62" w:rsidP="00A75E62">
      <w:pPr>
        <w:spacing w:line="240" w:lineRule="auto"/>
        <w:jc w:val="both"/>
        <w:rPr>
          <w:rFonts w:ascii="Verdana" w:hAnsi="Verdana" w:cs="Calibri"/>
          <w:sz w:val="20"/>
          <w:szCs w:val="20"/>
        </w:rPr>
      </w:pPr>
      <w:r w:rsidRPr="00107CC9">
        <w:rPr>
          <w:rFonts w:ascii="Verdana" w:hAnsi="Verdana" w:cs="Calibri"/>
          <w:sz w:val="20"/>
          <w:szCs w:val="20"/>
        </w:rPr>
        <w:t xml:space="preserve">Recognition is perhaps one of the most challenging elements of the Global Setting Strategy. Already between EHEA countries, recognition agreements and principles have been far slower to </w:t>
      </w:r>
      <w:proofErr w:type="spellStart"/>
      <w:r w:rsidRPr="00107CC9">
        <w:rPr>
          <w:rFonts w:ascii="Verdana" w:hAnsi="Verdana" w:cs="Calibri"/>
          <w:sz w:val="20"/>
          <w:szCs w:val="20"/>
        </w:rPr>
        <w:t>realise</w:t>
      </w:r>
      <w:proofErr w:type="spellEnd"/>
      <w:r w:rsidRPr="00107CC9">
        <w:rPr>
          <w:rFonts w:ascii="Verdana" w:hAnsi="Verdana" w:cs="Calibri"/>
          <w:sz w:val="20"/>
          <w:szCs w:val="20"/>
        </w:rPr>
        <w:t xml:space="preserve"> in practice then hoped or intended. Though structures have been put in place to facilitate recognition of degrees and credits across borders, recognition decisions are taken in different ways across different countries and institutions. In a global context, this becomes even more complex. At the macro-level, recognition conventions exist, however are often loosely applied in practice. In addition, there is a growing trend to develop tools to potentially enhance the transparency of systems and facilitate recognition, such as qualifications frameworks (QF). QFs for the entire educational cycle and in some instances just for higher education have been developed in different countries and regions over the past years, many of which have taken some inspiration from the European model yet also been inspired by other models. A number of international projects and events have facilitated this: The European Training Foundation (ETF) is currently supporting the development of national qualifications frameworks (NQF) in partner countries with a specific focus on vocational training, learning outcomes, </w:t>
      </w:r>
      <w:proofErr w:type="spellStart"/>
      <w:r w:rsidRPr="00107CC9">
        <w:rPr>
          <w:rFonts w:ascii="Verdana" w:hAnsi="Verdana" w:cs="Calibri"/>
          <w:sz w:val="20"/>
          <w:szCs w:val="20"/>
        </w:rPr>
        <w:t>labour</w:t>
      </w:r>
      <w:proofErr w:type="spellEnd"/>
      <w:r w:rsidRPr="00107CC9">
        <w:rPr>
          <w:rFonts w:ascii="Verdana" w:hAnsi="Verdana" w:cs="Calibri"/>
          <w:sz w:val="20"/>
          <w:szCs w:val="20"/>
        </w:rPr>
        <w:t xml:space="preserve"> market insertion and lifelong learning. The Australian/New Zealand development cooperation has supported ASEAN </w:t>
      </w:r>
      <w:r w:rsidRPr="00107CC9">
        <w:rPr>
          <w:rFonts w:ascii="Verdana" w:hAnsi="Verdana" w:cs="Calibri"/>
          <w:sz w:val="20"/>
          <w:szCs w:val="20"/>
        </w:rPr>
        <w:lastRenderedPageBreak/>
        <w:t>countries to develop an ASEAN Regional Qualifications Reference Framework</w:t>
      </w:r>
      <w:r w:rsidRPr="00107CC9">
        <w:rPr>
          <w:rStyle w:val="FootnoteReference"/>
          <w:rFonts w:ascii="Verdana" w:hAnsi="Verdana" w:cs="Calibri"/>
          <w:sz w:val="20"/>
          <w:szCs w:val="20"/>
        </w:rPr>
        <w:footnoteReference w:id="65"/>
      </w:r>
      <w:r w:rsidRPr="00107CC9">
        <w:rPr>
          <w:rFonts w:ascii="Verdana" w:hAnsi="Verdana" w:cs="Calibri"/>
          <w:sz w:val="20"/>
          <w:szCs w:val="20"/>
        </w:rPr>
        <w:t xml:space="preserve">. This will be further evaluated and piloted with the support of European Commission funds between 2015 and </w:t>
      </w:r>
      <w:smartTag w:uri="urn:schemas-microsoft-com:office:smarttags" w:element="metricconverter">
        <w:smartTagPr>
          <w:attr w:name="ProductID" w:val="2018 in"/>
        </w:smartTagPr>
        <w:r w:rsidRPr="00107CC9">
          <w:rPr>
            <w:rFonts w:ascii="Verdana" w:hAnsi="Verdana" w:cs="Calibri"/>
            <w:sz w:val="20"/>
            <w:szCs w:val="20"/>
          </w:rPr>
          <w:t>2018 in</w:t>
        </w:r>
      </w:smartTag>
      <w:r w:rsidRPr="00107CC9">
        <w:rPr>
          <w:rFonts w:ascii="Verdana" w:hAnsi="Verdana" w:cs="Calibri"/>
          <w:sz w:val="20"/>
          <w:szCs w:val="20"/>
        </w:rPr>
        <w:t xml:space="preserve"> a development cooperation project entitled EU-SHARE</w:t>
      </w:r>
      <w:r w:rsidRPr="00107CC9">
        <w:rPr>
          <w:rStyle w:val="FootnoteReference"/>
          <w:rFonts w:ascii="Verdana" w:hAnsi="Verdana" w:cs="Calibri"/>
          <w:sz w:val="20"/>
          <w:szCs w:val="20"/>
        </w:rPr>
        <w:footnoteReference w:id="66"/>
      </w:r>
      <w:r w:rsidRPr="00107CC9">
        <w:rPr>
          <w:rFonts w:ascii="Verdana" w:hAnsi="Verdana" w:cs="Calibri"/>
          <w:sz w:val="20"/>
          <w:szCs w:val="20"/>
        </w:rPr>
        <w:t>. In Central America, the Central American University Council (CSUCA), in the context of the EU-supported/EUA coordinated project Alfa PUENTES, has developed a proposal for a higher education QF for the region that it will be further piloted in conjunction with the national university associations</w:t>
      </w:r>
      <w:r w:rsidRPr="00107CC9">
        <w:rPr>
          <w:rStyle w:val="FootnoteReference"/>
          <w:rFonts w:ascii="Verdana" w:hAnsi="Verdana" w:cs="Calibri"/>
          <w:sz w:val="20"/>
          <w:szCs w:val="20"/>
        </w:rPr>
        <w:footnoteReference w:id="67"/>
      </w:r>
      <w:r w:rsidRPr="00107CC9">
        <w:rPr>
          <w:rFonts w:ascii="Verdana" w:hAnsi="Verdana" w:cs="Calibri"/>
          <w:sz w:val="20"/>
          <w:szCs w:val="20"/>
        </w:rPr>
        <w:t>. The European Commission has facilitated a number of policy dialogue events on QFs, as well as a Joint study with Australia in 2011 exploring the similarities and differences between EQF and the AQF</w:t>
      </w:r>
      <w:r w:rsidRPr="00107CC9">
        <w:rPr>
          <w:rStyle w:val="FootnoteReference"/>
          <w:rFonts w:ascii="Verdana" w:hAnsi="Verdana" w:cs="Calibri"/>
          <w:sz w:val="20"/>
          <w:szCs w:val="20"/>
        </w:rPr>
        <w:footnoteReference w:id="68"/>
      </w:r>
      <w:r w:rsidRPr="00107CC9">
        <w:rPr>
          <w:rFonts w:ascii="Verdana" w:hAnsi="Verdana" w:cs="Calibri"/>
          <w:sz w:val="20"/>
          <w:szCs w:val="20"/>
        </w:rPr>
        <w:t xml:space="preserve">. QFs have clearly gained global interest as they create a framework for classifying degrees and also create transparency between systems. That said, it still remains to be seen to what extent they facilitate recognition of degrees and credits in practice. </w:t>
      </w:r>
    </w:p>
    <w:p w:rsidR="00A75E62" w:rsidRPr="00107CC9" w:rsidRDefault="00A75E62" w:rsidP="00A75E62">
      <w:pPr>
        <w:spacing w:line="240" w:lineRule="auto"/>
        <w:jc w:val="both"/>
        <w:rPr>
          <w:rFonts w:ascii="Verdana" w:hAnsi="Verdana" w:cs="Calibri"/>
          <w:b/>
          <w:sz w:val="20"/>
          <w:szCs w:val="20"/>
        </w:rPr>
      </w:pPr>
      <w:r w:rsidRPr="00107CC9">
        <w:rPr>
          <w:rFonts w:ascii="Verdana" w:hAnsi="Verdana" w:cs="Calibri"/>
          <w:sz w:val="20"/>
          <w:szCs w:val="20"/>
        </w:rPr>
        <w:t xml:space="preserve">However, a number of concrete initiatives and projects have also been carried out to support recognition on the ground, between HEIs and systems around the globe. For example, in the context of the ASEM Process, an </w:t>
      </w:r>
      <w:r w:rsidRPr="00107CC9">
        <w:rPr>
          <w:rFonts w:ascii="Verdana" w:hAnsi="Verdana" w:cs="Calibri"/>
          <w:b/>
          <w:sz w:val="20"/>
          <w:szCs w:val="20"/>
        </w:rPr>
        <w:t>Information guide on "Quality Assurance and Recognition"</w:t>
      </w:r>
      <w:r w:rsidRPr="00107CC9">
        <w:rPr>
          <w:rStyle w:val="FootnoteReference"/>
          <w:rFonts w:ascii="Verdana" w:hAnsi="Verdana" w:cs="Calibri"/>
          <w:b/>
          <w:sz w:val="20"/>
          <w:szCs w:val="20"/>
        </w:rPr>
        <w:footnoteReference w:id="69"/>
      </w:r>
      <w:r w:rsidRPr="00107CC9">
        <w:rPr>
          <w:rFonts w:ascii="Verdana" w:hAnsi="Verdana" w:cs="Calibri"/>
          <w:b/>
          <w:sz w:val="20"/>
          <w:szCs w:val="20"/>
        </w:rPr>
        <w:t xml:space="preserve"> </w:t>
      </w:r>
      <w:r w:rsidRPr="00107CC9">
        <w:rPr>
          <w:rFonts w:ascii="Verdana" w:hAnsi="Verdana" w:cs="Calibri"/>
          <w:sz w:val="20"/>
          <w:szCs w:val="20"/>
        </w:rPr>
        <w:t xml:space="preserve">was produced by the ASEM Education Secretariat that includes glossaries, institutions, principles, and procedures for recognition in both regions. In addition to this, and in order to meet the demand of transparency of existing credit systems in ASEM countries, a guide was produced on </w:t>
      </w:r>
      <w:r w:rsidRPr="00107CC9">
        <w:rPr>
          <w:rFonts w:ascii="Verdana" w:hAnsi="Verdana" w:cs="Calibri"/>
          <w:b/>
          <w:sz w:val="20"/>
          <w:szCs w:val="20"/>
        </w:rPr>
        <w:t>“Credit Systems and Learning Outcomes in ASEM Member Countries”</w:t>
      </w:r>
      <w:r w:rsidRPr="00107CC9">
        <w:rPr>
          <w:rStyle w:val="FootnoteReference"/>
          <w:rFonts w:ascii="Verdana" w:hAnsi="Verdana" w:cs="Calibri"/>
          <w:b/>
          <w:sz w:val="20"/>
          <w:szCs w:val="20"/>
        </w:rPr>
        <w:footnoteReference w:id="70"/>
      </w:r>
      <w:r w:rsidRPr="00107CC9">
        <w:rPr>
          <w:rFonts w:ascii="Verdana" w:hAnsi="Verdana" w:cs="Calibri"/>
          <w:b/>
          <w:sz w:val="20"/>
          <w:szCs w:val="20"/>
        </w:rPr>
        <w:t>:</w:t>
      </w:r>
      <w:r w:rsidRPr="00107CC9" w:rsidDel="00343B3D">
        <w:rPr>
          <w:rFonts w:ascii="Verdana" w:hAnsi="Verdana" w:cs="Calibri"/>
          <w:b/>
          <w:sz w:val="20"/>
          <w:szCs w:val="20"/>
        </w:rPr>
        <w:t xml:space="preserve"> </w:t>
      </w:r>
    </w:p>
    <w:p w:rsidR="00A75E62" w:rsidRPr="00107CC9" w:rsidRDefault="00A75E62" w:rsidP="00A75E62">
      <w:pPr>
        <w:spacing w:line="240" w:lineRule="auto"/>
        <w:jc w:val="both"/>
        <w:rPr>
          <w:rFonts w:ascii="Verdana" w:hAnsi="Verdana" w:cs="Calibri"/>
          <w:sz w:val="20"/>
          <w:szCs w:val="20"/>
        </w:rPr>
      </w:pPr>
      <w:r w:rsidRPr="00107CC9">
        <w:rPr>
          <w:rFonts w:ascii="Verdana" w:hAnsi="Verdana" w:cs="Calibri"/>
          <w:sz w:val="20"/>
          <w:szCs w:val="20"/>
        </w:rPr>
        <w:t>Beyond, the Bologna Experts in various countries as well as the network of Higher Education Reform Experts (HERE) in Neighboring countries have also worked on this issue. Several country and regional seminars have been held to the effect</w:t>
      </w:r>
      <w:r w:rsidRPr="00107CC9">
        <w:rPr>
          <w:rStyle w:val="FootnoteReference"/>
          <w:rFonts w:ascii="Verdana" w:hAnsi="Verdana" w:cs="Calibri"/>
          <w:sz w:val="20"/>
          <w:szCs w:val="20"/>
        </w:rPr>
        <w:footnoteReference w:id="71"/>
      </w:r>
      <w:r w:rsidRPr="00107CC9">
        <w:rPr>
          <w:rFonts w:ascii="Verdana" w:hAnsi="Verdana" w:cs="Calibri"/>
          <w:sz w:val="20"/>
          <w:szCs w:val="20"/>
        </w:rPr>
        <w:t xml:space="preserve">. </w:t>
      </w:r>
    </w:p>
    <w:p w:rsidR="00A75E62" w:rsidRPr="00107CC9" w:rsidRDefault="00A75E62" w:rsidP="00A75E62">
      <w:pPr>
        <w:spacing w:line="240" w:lineRule="auto"/>
        <w:jc w:val="both"/>
        <w:rPr>
          <w:rFonts w:ascii="Verdana" w:hAnsi="Verdana" w:cs="Calibri"/>
          <w:sz w:val="20"/>
          <w:szCs w:val="20"/>
        </w:rPr>
      </w:pPr>
      <w:r w:rsidRPr="00107CC9">
        <w:rPr>
          <w:rFonts w:ascii="Verdana" w:hAnsi="Verdana" w:cs="Calibri"/>
          <w:sz w:val="20"/>
          <w:szCs w:val="20"/>
        </w:rPr>
        <w:t xml:space="preserve">ENIC/NARICs – a network of national recognition </w:t>
      </w:r>
      <w:proofErr w:type="spellStart"/>
      <w:r w:rsidRPr="00107CC9">
        <w:rPr>
          <w:rFonts w:ascii="Verdana" w:hAnsi="Verdana" w:cs="Calibri"/>
          <w:sz w:val="20"/>
          <w:szCs w:val="20"/>
        </w:rPr>
        <w:t>centres</w:t>
      </w:r>
      <w:proofErr w:type="spellEnd"/>
      <w:r w:rsidRPr="00107CC9">
        <w:rPr>
          <w:rFonts w:ascii="Verdana" w:hAnsi="Verdana" w:cs="Calibri"/>
          <w:sz w:val="20"/>
          <w:szCs w:val="20"/>
        </w:rPr>
        <w:t xml:space="preserve"> - continue to be active and have been instrumental in promoting recognition within the EHEA and globally. The refreshed website of the network provides extensive information on different world regions, the recognition conventions that govern them as well as useful links and contact point on recognition matters (</w:t>
      </w:r>
      <w:hyperlink r:id="rId33" w:history="1">
        <w:r w:rsidRPr="00107CC9">
          <w:rPr>
            <w:rStyle w:val="Hyperlink"/>
            <w:rFonts w:ascii="Verdana" w:hAnsi="Verdana" w:cs="Calibri"/>
            <w:sz w:val="20"/>
            <w:szCs w:val="20"/>
          </w:rPr>
          <w:t>http://www.enic-naric.net/</w:t>
        </w:r>
      </w:hyperlink>
      <w:r w:rsidRPr="00107CC9">
        <w:rPr>
          <w:rFonts w:ascii="Verdana" w:hAnsi="Verdana" w:cs="Calibri"/>
          <w:sz w:val="20"/>
          <w:szCs w:val="20"/>
        </w:rPr>
        <w:t xml:space="preserve">). Through several NARIC projects funded by the European Commission as well as initiatives taken by individual </w:t>
      </w:r>
      <w:proofErr w:type="spellStart"/>
      <w:r w:rsidRPr="00107CC9">
        <w:rPr>
          <w:rFonts w:ascii="Verdana" w:hAnsi="Verdana" w:cs="Calibri"/>
          <w:sz w:val="20"/>
          <w:szCs w:val="20"/>
        </w:rPr>
        <w:t>centres</w:t>
      </w:r>
      <w:proofErr w:type="spellEnd"/>
      <w:r w:rsidRPr="00107CC9">
        <w:rPr>
          <w:rFonts w:ascii="Verdana" w:hAnsi="Verdana" w:cs="Calibri"/>
          <w:sz w:val="20"/>
          <w:szCs w:val="20"/>
        </w:rPr>
        <w:t>, new instruments and tools have been recently developed to implement the main principles of the Lisbon Recognition Convention. The EAR Manual (</w:t>
      </w:r>
      <w:hyperlink r:id="rId34" w:history="1">
        <w:r w:rsidRPr="00107CC9">
          <w:rPr>
            <w:rStyle w:val="Hyperlink"/>
            <w:rFonts w:ascii="Verdana" w:hAnsi="Verdana" w:cs="Calibri"/>
            <w:sz w:val="20"/>
            <w:szCs w:val="20"/>
          </w:rPr>
          <w:t>http://eurorecognition.eu/manual</w:t>
        </w:r>
      </w:hyperlink>
      <w:r w:rsidRPr="00107CC9">
        <w:rPr>
          <w:rFonts w:ascii="Verdana" w:hAnsi="Verdana" w:cs="Calibri"/>
          <w:sz w:val="20"/>
          <w:szCs w:val="20"/>
        </w:rPr>
        <w:t xml:space="preserve">), for example – solicited directly by European Ministers in the Bucharest Communiqué – is a recent advancement. On the global front, it is worth underlining that the Networks have improved their outreach to the various stakeholders involved in recognition, in particular HEIs, professional bodies, employers, </w:t>
      </w:r>
      <w:proofErr w:type="spellStart"/>
      <w:r w:rsidRPr="00107CC9">
        <w:rPr>
          <w:rFonts w:ascii="Verdana" w:hAnsi="Verdana" w:cs="Calibri"/>
          <w:sz w:val="20"/>
          <w:szCs w:val="20"/>
        </w:rPr>
        <w:t>etc</w:t>
      </w:r>
      <w:proofErr w:type="spellEnd"/>
      <w:r w:rsidRPr="00107CC9">
        <w:rPr>
          <w:rFonts w:ascii="Verdana" w:hAnsi="Verdana" w:cs="Calibri"/>
          <w:sz w:val="20"/>
          <w:szCs w:val="20"/>
        </w:rPr>
        <w:t xml:space="preserve"> and continue to intensify their cooperation with other regions. Since 2010, experts from outside Europe are systematically invited to ENIC/NARIC events to present their HE system, their recognition procedures and practices </w:t>
      </w:r>
      <w:r w:rsidRPr="00107CC9">
        <w:rPr>
          <w:rFonts w:ascii="Verdana" w:hAnsi="Verdana" w:cs="Calibri"/>
          <w:sz w:val="20"/>
          <w:szCs w:val="20"/>
        </w:rPr>
        <w:lastRenderedPageBreak/>
        <w:t xml:space="preserve">as well as the recent developments in HE (China, India, Mexico, South Africa, Brazil, Jordan, etc.). Several projects have been launched to support the establishment of similar recognition </w:t>
      </w:r>
      <w:proofErr w:type="spellStart"/>
      <w:r w:rsidRPr="00107CC9">
        <w:rPr>
          <w:rFonts w:ascii="Verdana" w:hAnsi="Verdana" w:cs="Calibri"/>
          <w:sz w:val="20"/>
          <w:szCs w:val="20"/>
        </w:rPr>
        <w:t>centres</w:t>
      </w:r>
      <w:proofErr w:type="spellEnd"/>
      <w:r w:rsidRPr="00107CC9">
        <w:rPr>
          <w:rFonts w:ascii="Verdana" w:hAnsi="Verdana" w:cs="Calibri"/>
          <w:sz w:val="20"/>
          <w:szCs w:val="20"/>
        </w:rPr>
        <w:t xml:space="preserve"> in partner countries</w:t>
      </w:r>
      <w:r w:rsidRPr="00107CC9">
        <w:rPr>
          <w:rStyle w:val="FootnoteReference"/>
          <w:rFonts w:ascii="Verdana" w:hAnsi="Verdana" w:cs="Calibri"/>
          <w:sz w:val="20"/>
          <w:szCs w:val="20"/>
        </w:rPr>
        <w:footnoteReference w:id="72"/>
      </w:r>
      <w:r w:rsidRPr="00107CC9">
        <w:rPr>
          <w:rFonts w:ascii="Verdana" w:hAnsi="Verdana" w:cs="Calibri"/>
          <w:sz w:val="20"/>
          <w:szCs w:val="20"/>
        </w:rPr>
        <w:t xml:space="preserve">. The Networks are also contributing to the current discussions on the possible development of a Global Convention on Recognition under the UNESCO coordination. </w:t>
      </w:r>
    </w:p>
    <w:p w:rsidR="00A75E62" w:rsidRPr="00107CC9" w:rsidRDefault="00A75E62" w:rsidP="00A75E62">
      <w:pPr>
        <w:spacing w:line="240" w:lineRule="auto"/>
        <w:jc w:val="both"/>
        <w:rPr>
          <w:rFonts w:ascii="Verdana" w:hAnsi="Verdana" w:cs="Calibri"/>
          <w:sz w:val="20"/>
          <w:szCs w:val="20"/>
        </w:rPr>
      </w:pPr>
      <w:r w:rsidRPr="00107CC9">
        <w:rPr>
          <w:rFonts w:ascii="Verdana" w:hAnsi="Verdana" w:cs="Calibri"/>
          <w:sz w:val="20"/>
          <w:szCs w:val="20"/>
        </w:rPr>
        <w:t xml:space="preserve">At the level of </w:t>
      </w:r>
      <w:r w:rsidRPr="00107CC9">
        <w:rPr>
          <w:rFonts w:ascii="Verdana" w:hAnsi="Verdana" w:cs="Calibri"/>
          <w:b/>
          <w:sz w:val="20"/>
          <w:szCs w:val="20"/>
        </w:rPr>
        <w:t>institutions</w:t>
      </w:r>
      <w:r w:rsidRPr="00107CC9">
        <w:rPr>
          <w:rFonts w:ascii="Verdana" w:hAnsi="Verdana" w:cs="Calibri"/>
          <w:sz w:val="20"/>
          <w:szCs w:val="20"/>
        </w:rPr>
        <w:t xml:space="preserve">, recognition with non-EHEA countries is being advanced in various ways, albeit often via bi-lateral and somewhat truncated approaches. For example, there are examples of national rectors conferences that are signing recognition agreements with sister </w:t>
      </w:r>
      <w:proofErr w:type="spellStart"/>
      <w:r w:rsidRPr="00107CC9">
        <w:rPr>
          <w:rFonts w:ascii="Verdana" w:hAnsi="Verdana" w:cs="Calibri"/>
          <w:sz w:val="20"/>
          <w:szCs w:val="20"/>
        </w:rPr>
        <w:t>organisations</w:t>
      </w:r>
      <w:proofErr w:type="spellEnd"/>
      <w:r w:rsidRPr="00107CC9">
        <w:rPr>
          <w:rFonts w:ascii="Verdana" w:hAnsi="Verdana" w:cs="Calibri"/>
          <w:sz w:val="20"/>
          <w:szCs w:val="20"/>
        </w:rPr>
        <w:t xml:space="preserve"> in specific countries where degree recognition in particular has been identified as problematic. The HRK (German Rectors’ Conference) has concluded </w:t>
      </w:r>
      <w:r w:rsidRPr="00107CC9">
        <w:rPr>
          <w:rFonts w:ascii="Verdana" w:hAnsi="Verdana"/>
          <w:b/>
          <w:sz w:val="20"/>
          <w:szCs w:val="20"/>
        </w:rPr>
        <w:t>Framework Agreements for Cooperation in Higher Education</w:t>
      </w:r>
      <w:r w:rsidRPr="00107CC9">
        <w:rPr>
          <w:rStyle w:val="FootnoteReference"/>
          <w:rFonts w:ascii="Verdana" w:hAnsi="Verdana"/>
          <w:b/>
          <w:sz w:val="20"/>
          <w:szCs w:val="20"/>
        </w:rPr>
        <w:footnoteReference w:id="73"/>
      </w:r>
      <w:r w:rsidRPr="00107CC9">
        <w:rPr>
          <w:rFonts w:ascii="Verdana" w:hAnsi="Verdana"/>
          <w:sz w:val="20"/>
          <w:szCs w:val="20"/>
        </w:rPr>
        <w:t xml:space="preserve"> with partner </w:t>
      </w:r>
      <w:proofErr w:type="spellStart"/>
      <w:r w:rsidRPr="00107CC9">
        <w:rPr>
          <w:rFonts w:ascii="Verdana" w:hAnsi="Verdana"/>
          <w:sz w:val="20"/>
          <w:szCs w:val="20"/>
        </w:rPr>
        <w:t>organisations</w:t>
      </w:r>
      <w:proofErr w:type="spellEnd"/>
      <w:r w:rsidRPr="00107CC9">
        <w:rPr>
          <w:rFonts w:ascii="Verdana" w:hAnsi="Verdana"/>
          <w:sz w:val="20"/>
          <w:szCs w:val="20"/>
        </w:rPr>
        <w:t xml:space="preserve"> in 11 non-European countries that contain mutual recommendations regarding the admission and enrolment of students at different levels of study and access to doctoral degree </w:t>
      </w:r>
      <w:proofErr w:type="spellStart"/>
      <w:r w:rsidRPr="00107CC9">
        <w:rPr>
          <w:rFonts w:ascii="Verdana" w:hAnsi="Verdana"/>
          <w:sz w:val="20"/>
          <w:szCs w:val="20"/>
        </w:rPr>
        <w:t>programmes</w:t>
      </w:r>
      <w:proofErr w:type="spellEnd"/>
      <w:r w:rsidRPr="00107CC9">
        <w:rPr>
          <w:rFonts w:ascii="Verdana" w:hAnsi="Verdana"/>
          <w:sz w:val="20"/>
          <w:szCs w:val="20"/>
        </w:rPr>
        <w:t>.</w:t>
      </w:r>
      <w:r w:rsidRPr="00107CC9">
        <w:rPr>
          <w:rFonts w:ascii="Verdana" w:hAnsi="Verdana" w:cs="Calibri"/>
          <w:sz w:val="20"/>
          <w:szCs w:val="20"/>
        </w:rPr>
        <w:t xml:space="preserve"> In 2012 the HRK (through its project Nexus) also published guidelines for HEI on how to implement the principles of the Lisbon Recognition Convention in institutional recognition procedures</w:t>
      </w:r>
      <w:r w:rsidRPr="00107CC9">
        <w:rPr>
          <w:rStyle w:val="FootnoteReference"/>
          <w:rFonts w:ascii="Verdana" w:hAnsi="Verdana" w:cs="Calibri"/>
          <w:sz w:val="20"/>
          <w:szCs w:val="20"/>
        </w:rPr>
        <w:footnoteReference w:id="74"/>
      </w:r>
      <w:r w:rsidRPr="00107CC9">
        <w:rPr>
          <w:rFonts w:ascii="Verdana" w:hAnsi="Verdana" w:cs="Calibri"/>
          <w:sz w:val="20"/>
          <w:szCs w:val="20"/>
        </w:rPr>
        <w:t xml:space="preserve">. </w:t>
      </w:r>
      <w:r w:rsidRPr="00107CC9">
        <w:rPr>
          <w:rFonts w:ascii="Verdana" w:hAnsi="Verdana"/>
          <w:sz w:val="20"/>
          <w:szCs w:val="20"/>
        </w:rPr>
        <w:br/>
      </w:r>
      <w:r w:rsidRPr="00107CC9">
        <w:rPr>
          <w:rFonts w:ascii="Verdana" w:hAnsi="Verdana" w:cs="Calibri"/>
          <w:sz w:val="20"/>
          <w:szCs w:val="20"/>
        </w:rPr>
        <w:t xml:space="preserve">Bi-lateral recognition agreements have also been concluded between the French Rectors Conference and the rectors’ conferences/QA authorities of Colombia, Argentina and Mexico. The Portuguese Rectors’ Conference (CRUP) has sought for quite some time to solve problems regarding the recognition of the three years bachelor in Brazil and the subsequent access of Brazilian first cycle graduates to the second and third cycles in Portugal. An agreement was recently signed between CRUP and the Association of Federal Universities in Brazil (ANDIFES) whereby recognition in certain </w:t>
      </w:r>
      <w:proofErr w:type="spellStart"/>
      <w:r w:rsidRPr="00107CC9">
        <w:rPr>
          <w:rFonts w:ascii="Verdana" w:hAnsi="Verdana" w:cs="Calibri"/>
          <w:sz w:val="20"/>
          <w:szCs w:val="20"/>
        </w:rPr>
        <w:t>programmes</w:t>
      </w:r>
      <w:proofErr w:type="spellEnd"/>
      <w:r w:rsidRPr="00107CC9">
        <w:rPr>
          <w:rFonts w:ascii="Verdana" w:hAnsi="Verdana" w:cs="Calibri"/>
          <w:sz w:val="20"/>
          <w:szCs w:val="20"/>
        </w:rPr>
        <w:t xml:space="preserve">, once agreed between one Portuguese and one Brazilian federal university, would be agreed by all in CRUIP/ANDIFES membership. Agreements of this nature have had some tangible impacts when it comes to university cooperation and student exchange. The fact that they are owned by the rectors’ conferences implies a more direct institutional buy in. Though the agreements are applied to varying degrees, they are an important first steps in addressing problems that can arise between two specific systems.  </w:t>
      </w:r>
    </w:p>
    <w:p w:rsidR="00A75E62" w:rsidRPr="00107CC9" w:rsidRDefault="00A75E62" w:rsidP="00A75E62">
      <w:pPr>
        <w:spacing w:line="240" w:lineRule="auto"/>
        <w:jc w:val="both"/>
        <w:rPr>
          <w:rFonts w:ascii="Verdana" w:hAnsi="Verdana" w:cs="Calibri"/>
          <w:sz w:val="20"/>
          <w:szCs w:val="20"/>
        </w:rPr>
      </w:pPr>
      <w:r w:rsidRPr="00107CC9">
        <w:rPr>
          <w:rFonts w:ascii="Verdana" w:hAnsi="Verdana" w:cs="Calibri"/>
          <w:sz w:val="20"/>
          <w:szCs w:val="20"/>
        </w:rPr>
        <w:t xml:space="preserve">Of note, recognition is also being tackled in the context of </w:t>
      </w:r>
      <w:r w:rsidRPr="00107CC9">
        <w:rPr>
          <w:rFonts w:ascii="Verdana" w:hAnsi="Verdana" w:cs="Calibri"/>
          <w:b/>
          <w:sz w:val="20"/>
          <w:szCs w:val="20"/>
        </w:rPr>
        <w:t xml:space="preserve">joint </w:t>
      </w:r>
      <w:proofErr w:type="spellStart"/>
      <w:r w:rsidRPr="00107CC9">
        <w:rPr>
          <w:rFonts w:ascii="Verdana" w:hAnsi="Verdana" w:cs="Calibri"/>
          <w:b/>
          <w:sz w:val="20"/>
          <w:szCs w:val="20"/>
        </w:rPr>
        <w:t>programmes</w:t>
      </w:r>
      <w:proofErr w:type="spellEnd"/>
      <w:r w:rsidRPr="00107CC9">
        <w:rPr>
          <w:rFonts w:ascii="Verdana" w:hAnsi="Verdana" w:cs="Calibri"/>
          <w:sz w:val="20"/>
          <w:szCs w:val="20"/>
        </w:rPr>
        <w:t xml:space="preserve">. For example, the former Erasmus Mundus Action 2 funded large consortia of institutions in Europe and other targeted world regions to exchange students and staff in a structured manner. The pre-conditions for the exchange were that recognition of credits should be guaranteed amongst the institutions in the partnership. This has helped to build </w:t>
      </w:r>
      <w:proofErr w:type="spellStart"/>
      <w:r w:rsidRPr="00107CC9">
        <w:rPr>
          <w:rFonts w:ascii="Verdana" w:hAnsi="Verdana" w:cs="Calibri"/>
          <w:sz w:val="20"/>
          <w:szCs w:val="20"/>
        </w:rPr>
        <w:t>traust</w:t>
      </w:r>
      <w:proofErr w:type="spellEnd"/>
      <w:r w:rsidRPr="00107CC9">
        <w:rPr>
          <w:rFonts w:ascii="Verdana" w:hAnsi="Verdana" w:cs="Calibri"/>
          <w:sz w:val="20"/>
          <w:szCs w:val="20"/>
        </w:rPr>
        <w:t xml:space="preserve"> and recognition between a number of European institutions and their non-European partners. </w:t>
      </w:r>
    </w:p>
    <w:p w:rsidR="00A75E62" w:rsidRPr="00107CC9" w:rsidRDefault="00A75E62" w:rsidP="00A75E62">
      <w:pPr>
        <w:pStyle w:val="ListParagraph"/>
        <w:autoSpaceDE w:val="0"/>
        <w:autoSpaceDN w:val="0"/>
        <w:adjustRightInd w:val="0"/>
        <w:ind w:left="0"/>
        <w:jc w:val="both"/>
        <w:rPr>
          <w:rFonts w:ascii="Verdana" w:hAnsi="Verdana" w:cs="Calibri"/>
          <w:sz w:val="20"/>
          <w:szCs w:val="20"/>
        </w:rPr>
      </w:pPr>
    </w:p>
    <w:p w:rsidR="00A75E62" w:rsidRPr="00107CC9" w:rsidRDefault="00A75E62" w:rsidP="00A75E62">
      <w:pPr>
        <w:pStyle w:val="ListParagraph"/>
        <w:autoSpaceDE w:val="0"/>
        <w:autoSpaceDN w:val="0"/>
        <w:adjustRightInd w:val="0"/>
        <w:ind w:left="1134"/>
        <w:jc w:val="both"/>
        <w:rPr>
          <w:rFonts w:ascii="Verdana" w:hAnsi="Verdana" w:cs="Calibri"/>
          <w:sz w:val="20"/>
          <w:szCs w:val="20"/>
        </w:rPr>
      </w:pPr>
    </w:p>
    <w:p w:rsidR="00A75E62" w:rsidRPr="00107CC9" w:rsidRDefault="00A75E62" w:rsidP="00A75E62">
      <w:pPr>
        <w:spacing w:line="240" w:lineRule="auto"/>
        <w:jc w:val="both"/>
        <w:rPr>
          <w:rFonts w:ascii="Verdana" w:hAnsi="Verdana"/>
          <w:i/>
          <w:sz w:val="20"/>
          <w:szCs w:val="20"/>
          <w:highlight w:val="lightGray"/>
          <w:lang w:eastAsia="fr-FR"/>
        </w:rPr>
      </w:pPr>
      <w:r w:rsidRPr="00107CC9">
        <w:rPr>
          <w:rFonts w:ascii="Verdana" w:hAnsi="Verdana" w:cs="Calibri"/>
          <w:b/>
          <w:i/>
          <w:sz w:val="20"/>
          <w:szCs w:val="20"/>
          <w:highlight w:val="lightGray"/>
          <w:u w:val="single"/>
        </w:rPr>
        <w:t>France</w:t>
      </w:r>
      <w:r w:rsidRPr="00107CC9">
        <w:rPr>
          <w:rFonts w:ascii="Verdana" w:hAnsi="Verdana" w:cs="Calibri"/>
          <w:b/>
          <w:i/>
          <w:sz w:val="20"/>
          <w:szCs w:val="20"/>
          <w:highlight w:val="lightGray"/>
        </w:rPr>
        <w:t xml:space="preserve">: </w:t>
      </w:r>
      <w:r w:rsidRPr="00107CC9">
        <w:rPr>
          <w:rFonts w:ascii="Verdana" w:hAnsi="Verdana"/>
          <w:i/>
          <w:sz w:val="20"/>
          <w:szCs w:val="20"/>
          <w:highlight w:val="lightGray"/>
        </w:rPr>
        <w:t>France is developing bilateral recognition agreements with EHEA countries and with countries outside the EHEA. Among these, there are EU partners (Portugal, Germany, Spain …), EHEA partners (Russia), and other countries around the world (</w:t>
      </w:r>
      <w:r w:rsidRPr="00107CC9">
        <w:rPr>
          <w:rFonts w:ascii="Verdana" w:hAnsi="Verdana"/>
          <w:bCs/>
          <w:i/>
          <w:iCs/>
          <w:sz w:val="20"/>
          <w:szCs w:val="20"/>
          <w:highlight w:val="lightGray"/>
        </w:rPr>
        <w:t>for instance, with Columbia, Mexico, Argentina).</w:t>
      </w:r>
      <w:r w:rsidRPr="00107CC9">
        <w:rPr>
          <w:rFonts w:ascii="Verdana" w:hAnsi="Verdana" w:cs="Calibri"/>
          <w:b/>
          <w:i/>
          <w:sz w:val="20"/>
          <w:szCs w:val="20"/>
          <w:highlight w:val="lightGray"/>
        </w:rPr>
        <w:t xml:space="preserve"> </w:t>
      </w:r>
      <w:r w:rsidRPr="00107CC9">
        <w:rPr>
          <w:rFonts w:ascii="Verdana" w:hAnsi="Verdana"/>
          <w:i/>
          <w:sz w:val="20"/>
          <w:szCs w:val="20"/>
          <w:highlight w:val="lightGray"/>
          <w:lang w:eastAsia="fr-FR"/>
        </w:rPr>
        <w:t xml:space="preserve">One concrete project has been with the French “ENIC-NARIC” that actively contributed to the creation of the “MERIC” network - recognition/information </w:t>
      </w:r>
      <w:proofErr w:type="spellStart"/>
      <w:r w:rsidRPr="00107CC9">
        <w:rPr>
          <w:rFonts w:ascii="Verdana" w:hAnsi="Verdana"/>
          <w:i/>
          <w:sz w:val="20"/>
          <w:szCs w:val="20"/>
          <w:highlight w:val="lightGray"/>
          <w:lang w:eastAsia="fr-FR"/>
        </w:rPr>
        <w:t>centres</w:t>
      </w:r>
      <w:proofErr w:type="spellEnd"/>
      <w:r w:rsidRPr="00107CC9">
        <w:rPr>
          <w:rFonts w:ascii="Verdana" w:hAnsi="Verdana"/>
          <w:i/>
          <w:sz w:val="20"/>
          <w:szCs w:val="20"/>
          <w:highlight w:val="lightGray"/>
          <w:lang w:eastAsia="fr-FR"/>
        </w:rPr>
        <w:t xml:space="preserve"> in countries around the Mediterranean Sea.</w:t>
      </w:r>
    </w:p>
    <w:p w:rsidR="00A75E62" w:rsidRPr="00107CC9" w:rsidRDefault="00A75E62" w:rsidP="00A75E62">
      <w:pPr>
        <w:spacing w:line="240" w:lineRule="auto"/>
        <w:jc w:val="both"/>
        <w:rPr>
          <w:rFonts w:ascii="Verdana" w:hAnsi="Verdana" w:cs="Calibri"/>
          <w:b/>
          <w:i/>
          <w:sz w:val="20"/>
          <w:szCs w:val="20"/>
        </w:rPr>
      </w:pPr>
      <w:r w:rsidRPr="00107CC9">
        <w:rPr>
          <w:rFonts w:ascii="Verdana" w:hAnsi="Verdana" w:cs="Calibri"/>
          <w:b/>
          <w:i/>
          <w:sz w:val="20"/>
          <w:szCs w:val="20"/>
          <w:highlight w:val="lightGray"/>
        </w:rPr>
        <w:lastRenderedPageBreak/>
        <w:t xml:space="preserve">Ireland: </w:t>
      </w:r>
      <w:r w:rsidRPr="00107CC9">
        <w:rPr>
          <w:rFonts w:ascii="Verdana" w:hAnsi="Verdana" w:cs="TimesNewRomanPSMT"/>
          <w:i/>
          <w:color w:val="000000"/>
          <w:sz w:val="20"/>
          <w:szCs w:val="20"/>
          <w:highlight w:val="lightGray"/>
        </w:rPr>
        <w:t xml:space="preserve">Ireland’s National Framework of Qualifications (NFQ; </w:t>
      </w:r>
      <w:hyperlink r:id="rId35" w:history="1">
        <w:r w:rsidRPr="00107CC9">
          <w:rPr>
            <w:rFonts w:ascii="Verdana" w:hAnsi="Verdana" w:cs="TimesNewRomanPSMT"/>
            <w:i/>
            <w:color w:val="0563C1"/>
            <w:sz w:val="20"/>
            <w:szCs w:val="20"/>
            <w:highlight w:val="lightGray"/>
            <w:u w:val="single" w:color="0563C1"/>
          </w:rPr>
          <w:t>www.nfq.ie</w:t>
        </w:r>
      </w:hyperlink>
      <w:r w:rsidRPr="00107CC9">
        <w:rPr>
          <w:rFonts w:ascii="Verdana" w:hAnsi="Verdana" w:cs="TimesNewRomanPSMT"/>
          <w:i/>
          <w:color w:val="000000"/>
          <w:sz w:val="20"/>
          <w:szCs w:val="20"/>
          <w:highlight w:val="lightGray"/>
        </w:rPr>
        <w:t xml:space="preserve">) facilities the international recognition of Irish qualifications. As per the Qualifications and Quality Assurance (Education and Training) Act, 2012, the newly formed Quality and Qualifications Ireland (QQI)’s statutory responsibilities include establishing a code of practice for the provision of </w:t>
      </w:r>
      <w:proofErr w:type="spellStart"/>
      <w:r w:rsidRPr="00107CC9">
        <w:rPr>
          <w:rFonts w:ascii="Verdana" w:hAnsi="Verdana" w:cs="TimesNewRomanPSMT"/>
          <w:i/>
          <w:color w:val="000000"/>
          <w:sz w:val="20"/>
          <w:szCs w:val="20"/>
          <w:highlight w:val="lightGray"/>
        </w:rPr>
        <w:t>programmes</w:t>
      </w:r>
      <w:proofErr w:type="spellEnd"/>
      <w:r w:rsidRPr="00107CC9">
        <w:rPr>
          <w:rFonts w:ascii="Verdana" w:hAnsi="Verdana" w:cs="TimesNewRomanPSMT"/>
          <w:i/>
          <w:color w:val="000000"/>
          <w:sz w:val="20"/>
          <w:szCs w:val="20"/>
          <w:highlight w:val="lightGray"/>
        </w:rPr>
        <w:t xml:space="preserve"> of education and training to international learners; and </w:t>
      </w:r>
      <w:proofErr w:type="spellStart"/>
      <w:r w:rsidRPr="00107CC9">
        <w:rPr>
          <w:rFonts w:ascii="Verdana" w:hAnsi="Verdana" w:cs="TimesNewRomanPSMT"/>
          <w:i/>
          <w:color w:val="000000"/>
          <w:sz w:val="20"/>
          <w:szCs w:val="20"/>
          <w:highlight w:val="lightGray"/>
        </w:rPr>
        <w:t>authorising</w:t>
      </w:r>
      <w:proofErr w:type="spellEnd"/>
      <w:r w:rsidRPr="00107CC9">
        <w:rPr>
          <w:rFonts w:ascii="Verdana" w:hAnsi="Verdana" w:cs="TimesNewRomanPSMT"/>
          <w:i/>
          <w:color w:val="000000"/>
          <w:sz w:val="20"/>
          <w:szCs w:val="20"/>
          <w:highlight w:val="lightGray"/>
        </w:rPr>
        <w:t xml:space="preserve"> the use of the international education mark (IEM) by a provider that complies with the code of practice. These developments promise to make an important contribution to the promotion of Ireland as a destination for international students.</w:t>
      </w:r>
    </w:p>
    <w:p w:rsidR="00A75E62" w:rsidRPr="00107CC9" w:rsidRDefault="00A75E62" w:rsidP="00A75E62">
      <w:pPr>
        <w:spacing w:line="240" w:lineRule="auto"/>
        <w:jc w:val="both"/>
        <w:rPr>
          <w:rFonts w:ascii="Verdana" w:hAnsi="Verdana" w:cs="Calibri"/>
          <w:i/>
          <w:sz w:val="20"/>
          <w:szCs w:val="20"/>
        </w:rPr>
      </w:pPr>
      <w:r w:rsidRPr="00107CC9">
        <w:rPr>
          <w:rFonts w:ascii="Verdana" w:hAnsi="Verdana" w:cs="Calibri"/>
          <w:i/>
          <w:sz w:val="20"/>
          <w:szCs w:val="20"/>
        </w:rPr>
        <w:t>General remarks:</w:t>
      </w:r>
    </w:p>
    <w:p w:rsidR="00A75E62" w:rsidRPr="00107CC9" w:rsidRDefault="00A75E62" w:rsidP="00A75E62">
      <w:pPr>
        <w:spacing w:line="240" w:lineRule="auto"/>
        <w:jc w:val="both"/>
        <w:rPr>
          <w:rFonts w:ascii="Verdana" w:hAnsi="Verdana" w:cs="Calibri"/>
          <w:sz w:val="20"/>
          <w:szCs w:val="20"/>
        </w:rPr>
      </w:pPr>
      <w:r w:rsidRPr="00107CC9">
        <w:rPr>
          <w:rFonts w:ascii="Verdana" w:hAnsi="Verdana" w:cs="Calibri"/>
          <w:sz w:val="20"/>
          <w:szCs w:val="20"/>
        </w:rPr>
        <w:t xml:space="preserve">Recognition in a complex component of the Global Setting strategy in the it requires actions at the level of countries (regarding regulatory reforms), national recognition </w:t>
      </w:r>
      <w:proofErr w:type="spellStart"/>
      <w:r w:rsidRPr="00107CC9">
        <w:rPr>
          <w:rFonts w:ascii="Verdana" w:hAnsi="Verdana" w:cs="Calibri"/>
          <w:sz w:val="20"/>
          <w:szCs w:val="20"/>
        </w:rPr>
        <w:t>centres</w:t>
      </w:r>
      <w:proofErr w:type="spellEnd"/>
      <w:r w:rsidRPr="00107CC9">
        <w:rPr>
          <w:rFonts w:ascii="Verdana" w:hAnsi="Verdana" w:cs="Calibri"/>
          <w:sz w:val="20"/>
          <w:szCs w:val="20"/>
        </w:rPr>
        <w:t xml:space="preserve">/networks (like the ENIC/NARICs), university associations that engage in bi-lateral recognition agreements, and individual institutions that have in many cases distinct internal procedures for recognition and a variety of international partnerships. More work should be done to cross-promote and link the actions of the various levels and actors, as they are in many ways interdependent. In first instance, it would be helpful to have a mapping of different country-level/bi-lateral recognition agreements at the level of institutions (and their national representative bodies) and to understand their impact. </w:t>
      </w:r>
    </w:p>
    <w:p w:rsidR="00A75E62" w:rsidRPr="00107CC9" w:rsidRDefault="00A75E62" w:rsidP="00A75E62">
      <w:pPr>
        <w:spacing w:line="240" w:lineRule="auto"/>
        <w:jc w:val="both"/>
        <w:rPr>
          <w:rFonts w:ascii="Verdana" w:hAnsi="Verdana" w:cs="Calibri"/>
          <w:sz w:val="20"/>
          <w:szCs w:val="20"/>
        </w:rPr>
      </w:pPr>
      <w:r w:rsidRPr="00107CC9">
        <w:rPr>
          <w:rFonts w:ascii="Verdana" w:hAnsi="Verdana" w:cs="Calibri"/>
          <w:sz w:val="20"/>
          <w:szCs w:val="20"/>
        </w:rPr>
        <w:t xml:space="preserve">The work done via the ENIC/NARIC networks and other entities (such as in the context of ASEM) to promote the development of like-recognition networks and structures in other parts of the world is crucial. The advances regarding the user-friendliness of the ENIC/NARIC website must also be further promoted to international, non-European partners and to HEIs themselves. </w:t>
      </w:r>
    </w:p>
    <w:p w:rsidR="00A75E62" w:rsidRPr="00107CC9" w:rsidRDefault="00A75E62" w:rsidP="00A75E62">
      <w:pPr>
        <w:spacing w:line="240" w:lineRule="auto"/>
        <w:jc w:val="both"/>
        <w:rPr>
          <w:rFonts w:ascii="Verdana" w:hAnsi="Verdana" w:cs="Calibri"/>
          <w:sz w:val="20"/>
          <w:szCs w:val="20"/>
        </w:rPr>
      </w:pPr>
      <w:r w:rsidRPr="00107CC9">
        <w:rPr>
          <w:rFonts w:ascii="Verdana" w:hAnsi="Verdana" w:cs="Calibri"/>
          <w:sz w:val="20"/>
          <w:szCs w:val="20"/>
        </w:rPr>
        <w:t xml:space="preserve">Ultimately, advancing the recognition agenda </w:t>
      </w:r>
      <w:r w:rsidRPr="00107CC9">
        <w:rPr>
          <w:rFonts w:ascii="Verdana" w:hAnsi="Verdana" w:cs="Calibri"/>
          <w:i/>
          <w:sz w:val="20"/>
          <w:szCs w:val="20"/>
        </w:rPr>
        <w:t>within Europe</w:t>
      </w:r>
      <w:r w:rsidRPr="00107CC9">
        <w:rPr>
          <w:rFonts w:ascii="Verdana" w:hAnsi="Verdana" w:cs="Calibri"/>
          <w:sz w:val="20"/>
          <w:szCs w:val="20"/>
        </w:rPr>
        <w:t xml:space="preserve"> cannot really be separated from the “global dimension” of recognition as it is described in the Global Setting Strategy; global partnerships and global student and staff mobility are accelerating and thus require global solutions to recognition issues. This must be a core concern of the EHEA going forward, irrespective of the Global Setting Strategy and its specific future. </w:t>
      </w:r>
    </w:p>
    <w:p w:rsidR="00A75E62" w:rsidRPr="00107CC9" w:rsidRDefault="00A75E62" w:rsidP="00A75E62">
      <w:pPr>
        <w:pStyle w:val="Heading1"/>
        <w:jc w:val="both"/>
        <w:rPr>
          <w:rFonts w:ascii="Verdana" w:hAnsi="Verdana"/>
          <w:sz w:val="20"/>
          <w:szCs w:val="20"/>
        </w:rPr>
      </w:pPr>
      <w:bookmarkStart w:id="9" w:name="_Toc397091170"/>
      <w:r w:rsidRPr="00107CC9">
        <w:rPr>
          <w:rFonts w:ascii="Verdana" w:hAnsi="Verdana"/>
          <w:sz w:val="20"/>
          <w:szCs w:val="20"/>
        </w:rPr>
        <w:t>Conclusions</w:t>
      </w:r>
      <w:bookmarkEnd w:id="9"/>
    </w:p>
    <w:p w:rsidR="00A75E62" w:rsidRPr="00107CC9" w:rsidRDefault="00A75E62" w:rsidP="00A75E62">
      <w:pPr>
        <w:spacing w:line="240" w:lineRule="auto"/>
        <w:jc w:val="both"/>
        <w:rPr>
          <w:rFonts w:ascii="Verdana" w:hAnsi="Verdana" w:cs="Calibri"/>
          <w:sz w:val="20"/>
          <w:szCs w:val="20"/>
        </w:rPr>
      </w:pPr>
      <w:r w:rsidRPr="00107CC9">
        <w:rPr>
          <w:rFonts w:ascii="Verdana" w:hAnsi="Verdana" w:cs="Calibri"/>
          <w:sz w:val="20"/>
          <w:szCs w:val="20"/>
        </w:rPr>
        <w:t xml:space="preserve">The Global Setting Strategy of the EHEA consists of five core policy areas, each of which remains relevant eight years on and each of which has been subject to progress. However, one important question to pose is to what extent has the EHEA (and its global strategy) has been a catalyst for these developments. Is it rather that advancements made in promotion, partnerships and policy dialogue, for example, are independent initiatives of countries/institutions within the EHEA, reacting to the necessities of </w:t>
      </w:r>
      <w:proofErr w:type="spellStart"/>
      <w:r w:rsidRPr="00107CC9">
        <w:rPr>
          <w:rFonts w:ascii="Verdana" w:hAnsi="Verdana" w:cs="Calibri"/>
          <w:sz w:val="20"/>
          <w:szCs w:val="20"/>
        </w:rPr>
        <w:t>internationalisation</w:t>
      </w:r>
      <w:proofErr w:type="spellEnd"/>
      <w:r w:rsidRPr="00107CC9">
        <w:rPr>
          <w:rFonts w:ascii="Verdana" w:hAnsi="Verdana" w:cs="Calibri"/>
          <w:sz w:val="20"/>
          <w:szCs w:val="20"/>
        </w:rPr>
        <w:t xml:space="preserve"> more generally? And if so, what is particular to the EHEA Global Setting Strategy – in terms of both cause and impact - that can be advanced in the context of the Bologna Process as it carries on in the future? This will be an important question to answer in forthcoming BFUG discussions and in the context of the Yerevan Ministerial Summit. </w:t>
      </w:r>
    </w:p>
    <w:p w:rsidR="00A75E62" w:rsidRPr="00107CC9" w:rsidRDefault="00A75E62" w:rsidP="00A75E62">
      <w:pPr>
        <w:spacing w:line="240" w:lineRule="auto"/>
        <w:jc w:val="both"/>
        <w:rPr>
          <w:rFonts w:ascii="Verdana" w:hAnsi="Verdana" w:cs="Calibri"/>
          <w:sz w:val="20"/>
          <w:szCs w:val="20"/>
        </w:rPr>
      </w:pPr>
      <w:r w:rsidRPr="00107CC9">
        <w:rPr>
          <w:rFonts w:ascii="Verdana" w:hAnsi="Verdana" w:cs="Calibri"/>
          <w:sz w:val="20"/>
          <w:szCs w:val="20"/>
        </w:rPr>
        <w:t xml:space="preserve">Throughout the report, general remarks have been provided on the specificities of the policy areas, and the extent to which they have been </w:t>
      </w:r>
      <w:proofErr w:type="spellStart"/>
      <w:r w:rsidRPr="00107CC9">
        <w:rPr>
          <w:rFonts w:ascii="Verdana" w:hAnsi="Verdana" w:cs="Calibri"/>
          <w:sz w:val="20"/>
          <w:szCs w:val="20"/>
        </w:rPr>
        <w:t>realised</w:t>
      </w:r>
      <w:proofErr w:type="spellEnd"/>
      <w:r w:rsidRPr="00107CC9">
        <w:rPr>
          <w:rFonts w:ascii="Verdana" w:hAnsi="Verdana" w:cs="Calibri"/>
          <w:sz w:val="20"/>
          <w:szCs w:val="20"/>
        </w:rPr>
        <w:t xml:space="preserve">. The below points </w:t>
      </w:r>
      <w:proofErr w:type="spellStart"/>
      <w:r w:rsidRPr="00107CC9">
        <w:rPr>
          <w:rFonts w:ascii="Verdana" w:hAnsi="Verdana" w:cs="Calibri"/>
          <w:sz w:val="20"/>
          <w:szCs w:val="20"/>
        </w:rPr>
        <w:t>summarise</w:t>
      </w:r>
      <w:proofErr w:type="spellEnd"/>
      <w:r w:rsidRPr="00107CC9">
        <w:rPr>
          <w:rFonts w:ascii="Verdana" w:hAnsi="Verdana" w:cs="Calibri"/>
          <w:sz w:val="20"/>
          <w:szCs w:val="20"/>
        </w:rPr>
        <w:t xml:space="preserve"> this and provide some future orientation, to help fuel the discussion: </w:t>
      </w:r>
    </w:p>
    <w:p w:rsidR="00A75E62" w:rsidRPr="00107CC9" w:rsidRDefault="00A75E62" w:rsidP="00B07A9D">
      <w:pPr>
        <w:numPr>
          <w:ilvl w:val="0"/>
          <w:numId w:val="38"/>
        </w:numPr>
        <w:spacing w:line="240" w:lineRule="auto"/>
        <w:jc w:val="both"/>
        <w:rPr>
          <w:rFonts w:ascii="Verdana" w:hAnsi="Verdana" w:cs="Calibri"/>
          <w:sz w:val="20"/>
          <w:szCs w:val="20"/>
        </w:rPr>
      </w:pPr>
      <w:r w:rsidRPr="00107CC9">
        <w:rPr>
          <w:rFonts w:ascii="Verdana" w:hAnsi="Verdana" w:cs="Calibri"/>
          <w:b/>
          <w:sz w:val="20"/>
          <w:szCs w:val="20"/>
        </w:rPr>
        <w:t>Providing information</w:t>
      </w:r>
      <w:r w:rsidRPr="00107CC9">
        <w:rPr>
          <w:rFonts w:ascii="Verdana" w:hAnsi="Verdana" w:cs="Calibri"/>
          <w:sz w:val="20"/>
          <w:szCs w:val="20"/>
        </w:rPr>
        <w:t xml:space="preserve"> on the EHEA (i.e., common messages, communication points and a </w:t>
      </w:r>
      <w:proofErr w:type="spellStart"/>
      <w:r w:rsidRPr="00107CC9">
        <w:rPr>
          <w:rFonts w:ascii="Verdana" w:hAnsi="Verdana" w:cs="Calibri"/>
          <w:sz w:val="20"/>
          <w:szCs w:val="20"/>
        </w:rPr>
        <w:t>centralised</w:t>
      </w:r>
      <w:proofErr w:type="spellEnd"/>
      <w:r w:rsidRPr="00107CC9">
        <w:rPr>
          <w:rFonts w:ascii="Verdana" w:hAnsi="Verdana" w:cs="Calibri"/>
          <w:sz w:val="20"/>
          <w:szCs w:val="20"/>
        </w:rPr>
        <w:t xml:space="preserve"> website) has advanced since their earlier days of Bologna when documentation on the process itself remained fairly Euro-centric and inaccessible/unreadable to different potentially interested parties both from </w:t>
      </w:r>
      <w:r w:rsidRPr="00107CC9">
        <w:rPr>
          <w:rFonts w:ascii="Verdana" w:hAnsi="Verdana" w:cs="Calibri"/>
          <w:sz w:val="20"/>
          <w:szCs w:val="20"/>
        </w:rPr>
        <w:lastRenderedPageBreak/>
        <w:t xml:space="preserve">within Europe and outside. The development and maintenance of the current website (www.ehea.info) should continue to be a matter for Bologna Secretariat, supported by the BFUG and in close consultation with stakeholders. Tracking the users of the site would be important going forward, particularly as is it not clear to what extent it has advanced the informational objectives of the Global Setting Strategy. The website and its commonly agreed communication points regarding Bologna would have to continue to be referenced and promoted globally, via policy dialogue, project work and other channels. This is a collective task for governments, national agencies, European HE </w:t>
      </w:r>
      <w:proofErr w:type="spellStart"/>
      <w:r w:rsidRPr="00107CC9">
        <w:rPr>
          <w:rFonts w:ascii="Verdana" w:hAnsi="Verdana" w:cs="Calibri"/>
          <w:sz w:val="20"/>
          <w:szCs w:val="20"/>
        </w:rPr>
        <w:t>organisations</w:t>
      </w:r>
      <w:proofErr w:type="spellEnd"/>
      <w:r w:rsidRPr="00107CC9">
        <w:rPr>
          <w:rFonts w:ascii="Verdana" w:hAnsi="Verdana" w:cs="Calibri"/>
          <w:sz w:val="20"/>
          <w:szCs w:val="20"/>
        </w:rPr>
        <w:t xml:space="preserve"> and individual HEIs. Beyond the official EHEA website, it will be important to get a better understanding of where non-EHEA governments, institutions, researchers and </w:t>
      </w:r>
      <w:proofErr w:type="spellStart"/>
      <w:r w:rsidRPr="00107CC9">
        <w:rPr>
          <w:rFonts w:ascii="Verdana" w:hAnsi="Verdana" w:cs="Calibri"/>
          <w:sz w:val="20"/>
          <w:szCs w:val="20"/>
        </w:rPr>
        <w:t>organisations</w:t>
      </w:r>
      <w:proofErr w:type="spellEnd"/>
      <w:r w:rsidRPr="00107CC9">
        <w:rPr>
          <w:rFonts w:ascii="Verdana" w:hAnsi="Verdana" w:cs="Calibri"/>
          <w:sz w:val="20"/>
          <w:szCs w:val="20"/>
        </w:rPr>
        <w:t xml:space="preserve"> obtain their information on Bologna and how this information relates to a </w:t>
      </w:r>
      <w:proofErr w:type="spellStart"/>
      <w:r w:rsidRPr="00107CC9">
        <w:rPr>
          <w:rFonts w:ascii="Verdana" w:hAnsi="Verdana" w:cs="Calibri"/>
          <w:sz w:val="20"/>
          <w:szCs w:val="20"/>
        </w:rPr>
        <w:t>centralised</w:t>
      </w:r>
      <w:proofErr w:type="spellEnd"/>
      <w:r w:rsidRPr="00107CC9">
        <w:rPr>
          <w:rFonts w:ascii="Verdana" w:hAnsi="Verdana" w:cs="Calibri"/>
          <w:sz w:val="20"/>
          <w:szCs w:val="20"/>
        </w:rPr>
        <w:t xml:space="preserve">, commonly agreed communication policy that is underpinned by the EHEA website. </w:t>
      </w:r>
    </w:p>
    <w:p w:rsidR="00A75E62" w:rsidRPr="00107CC9" w:rsidRDefault="00A75E62" w:rsidP="00B07A9D">
      <w:pPr>
        <w:numPr>
          <w:ilvl w:val="0"/>
          <w:numId w:val="38"/>
        </w:numPr>
        <w:spacing w:line="240" w:lineRule="auto"/>
        <w:jc w:val="both"/>
        <w:rPr>
          <w:rFonts w:ascii="Verdana" w:hAnsi="Verdana" w:cs="Calibri"/>
          <w:sz w:val="20"/>
          <w:szCs w:val="20"/>
        </w:rPr>
      </w:pPr>
      <w:r w:rsidRPr="00107CC9">
        <w:rPr>
          <w:rFonts w:ascii="Verdana" w:hAnsi="Verdana" w:cs="Calibri"/>
          <w:b/>
          <w:sz w:val="20"/>
          <w:szCs w:val="20"/>
        </w:rPr>
        <w:t xml:space="preserve">Promotion of higher education institutions and systems </w:t>
      </w:r>
      <w:r w:rsidRPr="00107CC9">
        <w:rPr>
          <w:rFonts w:ascii="Verdana" w:hAnsi="Verdana" w:cs="Calibri"/>
          <w:sz w:val="20"/>
          <w:szCs w:val="20"/>
        </w:rPr>
        <w:t xml:space="preserve">will always have a prominent national dimension. However European projects and initiatives, platforms and portals can help to make the EHEA more navigable as a study destination and bring forward certain countries that may be less globally visible. More work must be done to support certain EHEA countries that do not yet have national promotion infrastructure or resources. Such countries should be encouraged to learn from existing practice within the EHEA regarding promotion and attractiveness campaigns and should be further supported to develop meaningful </w:t>
      </w:r>
      <w:r w:rsidRPr="00107CC9">
        <w:rPr>
          <w:rFonts w:ascii="Verdana" w:hAnsi="Verdana" w:cs="Calibri"/>
          <w:sz w:val="20"/>
          <w:szCs w:val="20"/>
          <w:u w:val="single"/>
        </w:rPr>
        <w:t>national mobility targets</w:t>
      </w:r>
      <w:r w:rsidRPr="00107CC9">
        <w:rPr>
          <w:rFonts w:ascii="Verdana" w:hAnsi="Verdana" w:cs="Calibri"/>
          <w:sz w:val="20"/>
          <w:szCs w:val="20"/>
        </w:rPr>
        <w:t xml:space="preserve"> (a recommendation of </w:t>
      </w:r>
      <w:r w:rsidRPr="00107CC9">
        <w:rPr>
          <w:rFonts w:ascii="Verdana" w:hAnsi="Verdana" w:cs="Calibri"/>
          <w:i/>
          <w:sz w:val="20"/>
          <w:szCs w:val="20"/>
        </w:rPr>
        <w:t>Mobility for Better Learning</w:t>
      </w:r>
      <w:r w:rsidRPr="00107CC9">
        <w:rPr>
          <w:rFonts w:ascii="Verdana" w:hAnsi="Verdana" w:cs="Calibri"/>
          <w:sz w:val="20"/>
          <w:szCs w:val="20"/>
        </w:rPr>
        <w:t xml:space="preserve">). The Bologna Process and its governance structure should continue to provide a forum for sharing practice on national policies and targets for attractiveness, mobility and </w:t>
      </w:r>
      <w:proofErr w:type="spellStart"/>
      <w:r w:rsidRPr="00107CC9">
        <w:rPr>
          <w:rFonts w:ascii="Verdana" w:hAnsi="Verdana" w:cs="Calibri"/>
          <w:sz w:val="20"/>
          <w:szCs w:val="20"/>
        </w:rPr>
        <w:t>internationalisation</w:t>
      </w:r>
      <w:proofErr w:type="spellEnd"/>
      <w:r w:rsidRPr="00107CC9">
        <w:rPr>
          <w:rFonts w:ascii="Verdana" w:hAnsi="Verdana" w:cs="Calibri"/>
          <w:sz w:val="20"/>
          <w:szCs w:val="20"/>
        </w:rPr>
        <w:t xml:space="preserve"> and for understanding how they relate. It should not, however, assume the work of national agencies/promoters or a marketing function for study in the EHEA. This has been attempted in past rounds of the BFUG with limited success (e.g. the IPN Network). Focus should rather be placed on whether policy intervention at European level in terms of promotion and attractiveness can have an added value. </w:t>
      </w:r>
    </w:p>
    <w:p w:rsidR="00A75E62" w:rsidRPr="00107CC9" w:rsidRDefault="00A75E62" w:rsidP="00B07A9D">
      <w:pPr>
        <w:numPr>
          <w:ilvl w:val="0"/>
          <w:numId w:val="38"/>
        </w:numPr>
        <w:spacing w:line="240" w:lineRule="auto"/>
        <w:jc w:val="both"/>
        <w:rPr>
          <w:rFonts w:ascii="Verdana" w:hAnsi="Verdana" w:cs="Calibri"/>
          <w:sz w:val="20"/>
          <w:szCs w:val="20"/>
        </w:rPr>
      </w:pPr>
      <w:r w:rsidRPr="00107CC9">
        <w:rPr>
          <w:rFonts w:ascii="Verdana" w:hAnsi="Verdana" w:cs="Calibri"/>
          <w:b/>
          <w:sz w:val="20"/>
          <w:szCs w:val="20"/>
        </w:rPr>
        <w:t>Partnership</w:t>
      </w:r>
      <w:r w:rsidRPr="00107CC9">
        <w:rPr>
          <w:rFonts w:ascii="Verdana" w:hAnsi="Verdana" w:cs="Calibri"/>
          <w:sz w:val="20"/>
          <w:szCs w:val="20"/>
        </w:rPr>
        <w:t xml:space="preserve"> should continue to be a core feature of the EHEA in a global setting. The EU </w:t>
      </w:r>
      <w:proofErr w:type="spellStart"/>
      <w:r w:rsidRPr="00107CC9">
        <w:rPr>
          <w:rFonts w:ascii="Verdana" w:hAnsi="Verdana" w:cs="Calibri"/>
          <w:sz w:val="20"/>
          <w:szCs w:val="20"/>
        </w:rPr>
        <w:t>programmes</w:t>
      </w:r>
      <w:proofErr w:type="spellEnd"/>
      <w:r w:rsidRPr="00107CC9">
        <w:rPr>
          <w:rFonts w:ascii="Verdana" w:hAnsi="Verdana" w:cs="Calibri"/>
          <w:sz w:val="20"/>
          <w:szCs w:val="20"/>
        </w:rPr>
        <w:t xml:space="preserve"> have had an undeniable role in fostering this. Different countries are following suit as they </w:t>
      </w:r>
      <w:proofErr w:type="spellStart"/>
      <w:r w:rsidRPr="00107CC9">
        <w:rPr>
          <w:rFonts w:ascii="Verdana" w:hAnsi="Verdana" w:cs="Calibri"/>
          <w:sz w:val="20"/>
          <w:szCs w:val="20"/>
        </w:rPr>
        <w:t>realise</w:t>
      </w:r>
      <w:proofErr w:type="spellEnd"/>
      <w:r w:rsidRPr="00107CC9">
        <w:rPr>
          <w:rFonts w:ascii="Verdana" w:hAnsi="Verdana" w:cs="Calibri"/>
          <w:sz w:val="20"/>
          <w:szCs w:val="20"/>
        </w:rPr>
        <w:t xml:space="preserve"> the importance of investing in global HE partnerships, both from an economic and an academic perspective. Institutions are carving out their own models for cooperation and focusing increasingly on ‘strategic partners’ as opposed to ever more partners. However, this is not really an area of action for the BFUG and Bologna beyond practice sharing, peer learning and understanding where government support and investment can be of added value, both to institutions and to political-economic objectives. It is important to monitor trends, particularly regarding how governments and institutions are funding and designing partnerships and the extent to which this is sustainable. </w:t>
      </w:r>
      <w:r w:rsidRPr="00107CC9">
        <w:rPr>
          <w:rFonts w:ascii="Verdana" w:hAnsi="Verdana" w:cs="Calibri"/>
          <w:b/>
          <w:sz w:val="20"/>
          <w:szCs w:val="20"/>
        </w:rPr>
        <w:t>Development cooperation</w:t>
      </w:r>
      <w:r w:rsidRPr="00107CC9">
        <w:rPr>
          <w:rFonts w:ascii="Verdana" w:hAnsi="Verdana" w:cs="Calibri"/>
          <w:sz w:val="20"/>
          <w:szCs w:val="20"/>
        </w:rPr>
        <w:t xml:space="preserve"> must continue to be stressed to this effect, as it is essential not just in building the capacity of least-developed countries around the globe but in </w:t>
      </w:r>
      <w:proofErr w:type="spellStart"/>
      <w:r w:rsidRPr="00107CC9">
        <w:rPr>
          <w:rFonts w:ascii="Verdana" w:hAnsi="Verdana" w:cs="Calibri"/>
          <w:sz w:val="20"/>
          <w:szCs w:val="20"/>
        </w:rPr>
        <w:t>internationalising</w:t>
      </w:r>
      <w:proofErr w:type="spellEnd"/>
      <w:r w:rsidRPr="00107CC9">
        <w:rPr>
          <w:rFonts w:ascii="Verdana" w:hAnsi="Verdana" w:cs="Calibri"/>
          <w:sz w:val="20"/>
          <w:szCs w:val="20"/>
        </w:rPr>
        <w:t xml:space="preserve"> European higher education. </w:t>
      </w:r>
    </w:p>
    <w:p w:rsidR="00A75E62" w:rsidRPr="00107CC9" w:rsidRDefault="00A75E62" w:rsidP="00B07A9D">
      <w:pPr>
        <w:numPr>
          <w:ilvl w:val="0"/>
          <w:numId w:val="38"/>
        </w:numPr>
        <w:spacing w:line="240" w:lineRule="auto"/>
        <w:jc w:val="both"/>
        <w:rPr>
          <w:rFonts w:ascii="Verdana" w:hAnsi="Verdana" w:cs="Calibri"/>
          <w:sz w:val="20"/>
          <w:szCs w:val="20"/>
        </w:rPr>
      </w:pPr>
      <w:r w:rsidRPr="00107CC9">
        <w:rPr>
          <w:rFonts w:ascii="Verdana" w:hAnsi="Verdana" w:cs="Calibri"/>
          <w:sz w:val="20"/>
          <w:szCs w:val="20"/>
        </w:rPr>
        <w:t xml:space="preserve">Regarding </w:t>
      </w:r>
      <w:r w:rsidRPr="00107CC9">
        <w:rPr>
          <w:rFonts w:ascii="Verdana" w:hAnsi="Verdana" w:cs="Calibri"/>
          <w:b/>
          <w:sz w:val="20"/>
          <w:szCs w:val="20"/>
        </w:rPr>
        <w:t>policy dialogue</w:t>
      </w:r>
      <w:r w:rsidRPr="00107CC9">
        <w:rPr>
          <w:rFonts w:ascii="Verdana" w:hAnsi="Verdana" w:cs="Calibri"/>
          <w:sz w:val="20"/>
          <w:szCs w:val="20"/>
        </w:rPr>
        <w:t xml:space="preserve">, the BPF may be continued, however focus must be placed on its added value. Expectations should also be tempered; the BPF should be seen as one of many valuable policy dialogue events that take place at different levels. Greater attention should be drawn to the range of policy dialogue </w:t>
      </w:r>
      <w:r w:rsidRPr="00107CC9">
        <w:rPr>
          <w:rFonts w:ascii="Verdana" w:hAnsi="Verdana" w:cs="Calibri"/>
          <w:sz w:val="20"/>
          <w:szCs w:val="20"/>
        </w:rPr>
        <w:lastRenderedPageBreak/>
        <w:t xml:space="preserve">that takes places at national, European, government and stakeholder level and the extent to which they intersect. The BPF, if further </w:t>
      </w:r>
      <w:proofErr w:type="spellStart"/>
      <w:r w:rsidRPr="00107CC9">
        <w:rPr>
          <w:rFonts w:ascii="Verdana" w:hAnsi="Verdana" w:cs="Calibri"/>
          <w:sz w:val="20"/>
          <w:szCs w:val="20"/>
        </w:rPr>
        <w:t>organised</w:t>
      </w:r>
      <w:proofErr w:type="spellEnd"/>
      <w:r w:rsidRPr="00107CC9">
        <w:rPr>
          <w:rFonts w:ascii="Verdana" w:hAnsi="Verdana" w:cs="Calibri"/>
          <w:sz w:val="20"/>
          <w:szCs w:val="20"/>
        </w:rPr>
        <w:t xml:space="preserve">, should </w:t>
      </w:r>
      <w:proofErr w:type="spellStart"/>
      <w:r w:rsidRPr="00107CC9">
        <w:rPr>
          <w:rFonts w:ascii="Verdana" w:hAnsi="Verdana" w:cs="Calibri"/>
          <w:sz w:val="20"/>
          <w:szCs w:val="20"/>
        </w:rPr>
        <w:t>optimise</w:t>
      </w:r>
      <w:proofErr w:type="spellEnd"/>
      <w:r w:rsidRPr="00107CC9">
        <w:rPr>
          <w:rFonts w:ascii="Verdana" w:hAnsi="Verdana" w:cs="Calibri"/>
          <w:sz w:val="20"/>
          <w:szCs w:val="20"/>
        </w:rPr>
        <w:t xml:space="preserve"> these synergies, and also promote the EHEA as the result of a unique process, that may have important lessons for other regions engaged in </w:t>
      </w:r>
      <w:proofErr w:type="spellStart"/>
      <w:r w:rsidRPr="00107CC9">
        <w:rPr>
          <w:rFonts w:ascii="Verdana" w:hAnsi="Verdana" w:cs="Calibri"/>
          <w:sz w:val="20"/>
          <w:szCs w:val="20"/>
        </w:rPr>
        <w:t>harmonisation</w:t>
      </w:r>
      <w:proofErr w:type="spellEnd"/>
      <w:r w:rsidRPr="00107CC9">
        <w:rPr>
          <w:rFonts w:ascii="Verdana" w:hAnsi="Verdana" w:cs="Calibri"/>
          <w:sz w:val="20"/>
          <w:szCs w:val="20"/>
        </w:rPr>
        <w:t xml:space="preserve">.  </w:t>
      </w:r>
    </w:p>
    <w:p w:rsidR="00A75E62" w:rsidRPr="00107CC9" w:rsidRDefault="00A75E62" w:rsidP="00B07A9D">
      <w:pPr>
        <w:numPr>
          <w:ilvl w:val="0"/>
          <w:numId w:val="38"/>
        </w:numPr>
        <w:spacing w:line="240" w:lineRule="auto"/>
        <w:jc w:val="both"/>
        <w:rPr>
          <w:rFonts w:ascii="Verdana" w:hAnsi="Verdana" w:cs="Calibri"/>
          <w:sz w:val="20"/>
          <w:szCs w:val="20"/>
        </w:rPr>
      </w:pPr>
      <w:r w:rsidRPr="00107CC9">
        <w:rPr>
          <w:rFonts w:ascii="Verdana" w:hAnsi="Verdana" w:cs="Calibri"/>
          <w:sz w:val="20"/>
          <w:szCs w:val="20"/>
        </w:rPr>
        <w:t xml:space="preserve">Real progress in </w:t>
      </w:r>
      <w:r w:rsidRPr="00107CC9">
        <w:rPr>
          <w:rFonts w:ascii="Verdana" w:hAnsi="Verdana" w:cs="Calibri"/>
          <w:b/>
          <w:sz w:val="20"/>
          <w:szCs w:val="20"/>
        </w:rPr>
        <w:t xml:space="preserve">recognition </w:t>
      </w:r>
      <w:r w:rsidRPr="00107CC9">
        <w:rPr>
          <w:rFonts w:ascii="Verdana" w:hAnsi="Verdana" w:cs="Calibri"/>
          <w:sz w:val="20"/>
          <w:szCs w:val="20"/>
        </w:rPr>
        <w:t xml:space="preserve">between EHEA and non-EHEA countries is taking place ‘on the ground’ in the context of projects, joint </w:t>
      </w:r>
      <w:proofErr w:type="spellStart"/>
      <w:r w:rsidRPr="00107CC9">
        <w:rPr>
          <w:rFonts w:ascii="Verdana" w:hAnsi="Verdana" w:cs="Calibri"/>
          <w:sz w:val="20"/>
          <w:szCs w:val="20"/>
        </w:rPr>
        <w:t>programmes</w:t>
      </w:r>
      <w:proofErr w:type="spellEnd"/>
      <w:r w:rsidRPr="00107CC9">
        <w:rPr>
          <w:rFonts w:ascii="Verdana" w:hAnsi="Verdana" w:cs="Calibri"/>
          <w:sz w:val="20"/>
          <w:szCs w:val="20"/>
        </w:rPr>
        <w:t xml:space="preserve"> and bi-lateral agreements of governments and university associations for example. It has also been advanced by the important ENIC/NARIC network. The Bologna Process should renew its focus on recognition, taking into consideration concrete problems that still exist within the EHEA itself as part and parcel to the global dimension. Bi-regional dialogue can promote tools and structures, but bi-lateral/bi-national dialogue seems to be needed to flesh out concrete, system-specific solutions. Further developments in NQFs and regional QFs in a global context must be monitored and should be the subject of European cooperation projects and policy dialogue. The global engagement of the ENIC/NARICs must also continue and be better promoted to the university sector. </w:t>
      </w:r>
    </w:p>
    <w:p w:rsidR="00A75E62" w:rsidRPr="00107CC9" w:rsidRDefault="00A75E62" w:rsidP="00A75E62">
      <w:pPr>
        <w:spacing w:line="240" w:lineRule="auto"/>
        <w:jc w:val="both"/>
        <w:rPr>
          <w:rFonts w:ascii="Verdana" w:hAnsi="Verdana" w:cs="Calibri"/>
          <w:sz w:val="20"/>
          <w:szCs w:val="20"/>
        </w:rPr>
      </w:pPr>
      <w:r w:rsidRPr="00107CC9">
        <w:rPr>
          <w:rFonts w:ascii="Verdana" w:hAnsi="Verdana" w:cs="Calibri"/>
          <w:sz w:val="20"/>
          <w:szCs w:val="20"/>
        </w:rPr>
        <w:t xml:space="preserve">Are all five elements of the Global Setting Strategy still relevant? The evidence of this report and the discussion of the BFUG would indicate that this is indeed so. However, the more nuanced question is to what extent these five areas should features in a distinct strategy of the EHEA going forward and whether/how they should be monitored. This would be an important question to address in the post-2015 Bologna agenda and the subsequent structures for the process that are put in place. </w:t>
      </w:r>
    </w:p>
    <w:p w:rsidR="00A75E62" w:rsidRPr="00107CC9" w:rsidRDefault="00A75E62" w:rsidP="00A75E62">
      <w:pPr>
        <w:spacing w:line="240" w:lineRule="auto"/>
        <w:jc w:val="both"/>
        <w:rPr>
          <w:rFonts w:ascii="Verdana" w:hAnsi="Verdana" w:cs="Calibri"/>
          <w:b/>
          <w:color w:val="C00000"/>
          <w:sz w:val="20"/>
          <w:szCs w:val="20"/>
        </w:rPr>
      </w:pPr>
      <w:r w:rsidRPr="00107CC9">
        <w:rPr>
          <w:rFonts w:ascii="Verdana" w:hAnsi="Verdana" w:cs="Calibri"/>
          <w:b/>
          <w:color w:val="C00000"/>
          <w:sz w:val="20"/>
          <w:szCs w:val="20"/>
        </w:rPr>
        <w:br w:type="page"/>
      </w:r>
      <w:r w:rsidRPr="00107CC9">
        <w:rPr>
          <w:rFonts w:ascii="Verdana" w:hAnsi="Verdana" w:cs="Calibri"/>
          <w:b/>
          <w:color w:val="C00000"/>
          <w:sz w:val="20"/>
          <w:szCs w:val="20"/>
        </w:rPr>
        <w:lastRenderedPageBreak/>
        <w:t>ANNEX: Feedback on the EHEA from international, non-EHEA experts and partners (to be further developed)</w:t>
      </w:r>
    </w:p>
    <w:p w:rsidR="00A75E62" w:rsidRPr="00107CC9" w:rsidRDefault="00A75E62" w:rsidP="00A75E62">
      <w:pPr>
        <w:spacing w:line="240" w:lineRule="auto"/>
        <w:jc w:val="both"/>
        <w:rPr>
          <w:rFonts w:ascii="Verdana" w:hAnsi="Verdana" w:cs="Calibri"/>
          <w:b/>
          <w:color w:val="C00000"/>
          <w:sz w:val="20"/>
          <w:szCs w:val="20"/>
        </w:rPr>
      </w:pPr>
    </w:p>
    <w:p w:rsidR="00A75E62" w:rsidRPr="00107CC9" w:rsidRDefault="00A75E62" w:rsidP="00A75E62">
      <w:pPr>
        <w:jc w:val="both"/>
        <w:rPr>
          <w:rFonts w:ascii="Verdana" w:eastAsia="Times New Roman" w:hAnsi="Verdana" w:cs="Helvetica"/>
          <w:color w:val="000000"/>
          <w:sz w:val="20"/>
          <w:szCs w:val="20"/>
        </w:rPr>
      </w:pPr>
      <w:r w:rsidRPr="00107CC9">
        <w:rPr>
          <w:rFonts w:ascii="Verdana" w:eastAsia="Times New Roman" w:hAnsi="Verdana" w:cs="Helvetica"/>
          <w:b/>
          <w:bCs/>
          <w:i/>
          <w:iCs/>
          <w:color w:val="000000"/>
          <w:sz w:val="20"/>
          <w:szCs w:val="20"/>
        </w:rPr>
        <w:t xml:space="preserve">The Bologna Process has had a great impact in Africa, especially in Francophone countries. It has also created a desire to create a similar process in the African region, although real work has not yet started. The idea is not to replicate the Bologna Process in Africa but do adapt it to African conditions. The Bologna Process has also helped in enhancing collaboration between Europe and Africa. The fact that the European Union and the African Union Commission are working together to promote some of the elements of the Bologna Process (notably QA and Tuning). Another excellent example is the collaboration between EUA and AAU in promoting Quality in African higher education.   Enhancing policy dialogue has also been very successful. In Africa, the Bologna Process has provided an example of how governments, institutions and </w:t>
      </w:r>
      <w:proofErr w:type="spellStart"/>
      <w:r w:rsidRPr="00107CC9">
        <w:rPr>
          <w:rFonts w:ascii="Verdana" w:eastAsia="Times New Roman" w:hAnsi="Verdana" w:cs="Helvetica"/>
          <w:b/>
          <w:bCs/>
          <w:i/>
          <w:iCs/>
          <w:color w:val="000000"/>
          <w:sz w:val="20"/>
          <w:szCs w:val="20"/>
        </w:rPr>
        <w:t>organisations</w:t>
      </w:r>
      <w:proofErr w:type="spellEnd"/>
      <w:r w:rsidRPr="00107CC9">
        <w:rPr>
          <w:rFonts w:ascii="Verdana" w:eastAsia="Times New Roman" w:hAnsi="Verdana" w:cs="Helvetica"/>
          <w:b/>
          <w:bCs/>
          <w:i/>
          <w:iCs/>
          <w:color w:val="000000"/>
          <w:sz w:val="20"/>
          <w:szCs w:val="20"/>
        </w:rPr>
        <w:t xml:space="preserve"> can work together to achieve the same objective of improving higher education; and this in some way also covers the third pillar. </w:t>
      </w:r>
    </w:p>
    <w:p w:rsidR="00A75E62" w:rsidRPr="00107CC9" w:rsidRDefault="00A75E62" w:rsidP="00A75E62">
      <w:pPr>
        <w:spacing w:line="240" w:lineRule="auto"/>
        <w:jc w:val="both"/>
        <w:rPr>
          <w:rFonts w:ascii="Verdana" w:hAnsi="Verdana" w:cs="Calibri"/>
          <w:b/>
          <w:sz w:val="20"/>
          <w:szCs w:val="20"/>
        </w:rPr>
      </w:pPr>
      <w:r w:rsidRPr="00107CC9">
        <w:rPr>
          <w:rFonts w:ascii="Verdana" w:hAnsi="Verdana" w:cs="Calibri"/>
          <w:b/>
          <w:sz w:val="20"/>
          <w:szCs w:val="20"/>
        </w:rPr>
        <w:t>-</w:t>
      </w:r>
      <w:proofErr w:type="spellStart"/>
      <w:r w:rsidRPr="00107CC9">
        <w:rPr>
          <w:rFonts w:ascii="Verdana" w:hAnsi="Verdana" w:cs="Calibri"/>
          <w:b/>
          <w:sz w:val="20"/>
          <w:szCs w:val="20"/>
        </w:rPr>
        <w:t>Goolam</w:t>
      </w:r>
      <w:proofErr w:type="spellEnd"/>
      <w:r w:rsidRPr="00107CC9">
        <w:rPr>
          <w:rFonts w:ascii="Verdana" w:hAnsi="Verdana" w:cs="Calibri"/>
          <w:b/>
          <w:sz w:val="20"/>
          <w:szCs w:val="20"/>
        </w:rPr>
        <w:t xml:space="preserve"> </w:t>
      </w:r>
      <w:proofErr w:type="spellStart"/>
      <w:r w:rsidRPr="00107CC9">
        <w:rPr>
          <w:rFonts w:ascii="Verdana" w:hAnsi="Verdana" w:cs="Calibri"/>
          <w:b/>
          <w:sz w:val="20"/>
          <w:szCs w:val="20"/>
        </w:rPr>
        <w:t>Mohamedbhai</w:t>
      </w:r>
      <w:proofErr w:type="spellEnd"/>
      <w:r w:rsidRPr="00107CC9">
        <w:rPr>
          <w:rFonts w:ascii="Verdana" w:hAnsi="Verdana" w:cs="Calibri"/>
          <w:b/>
          <w:sz w:val="20"/>
          <w:szCs w:val="20"/>
        </w:rPr>
        <w:t>, former Secretary General of the Association of African Universities</w:t>
      </w:r>
    </w:p>
    <w:p w:rsidR="00A75E62" w:rsidRPr="00107CC9" w:rsidRDefault="00A75E62" w:rsidP="00A75E62">
      <w:pPr>
        <w:pStyle w:val="PlainText"/>
        <w:jc w:val="both"/>
        <w:rPr>
          <w:rFonts w:ascii="Verdana" w:hAnsi="Verdana"/>
          <w:i/>
          <w:sz w:val="20"/>
          <w:szCs w:val="20"/>
        </w:rPr>
      </w:pPr>
    </w:p>
    <w:p w:rsidR="00A75E62" w:rsidRPr="00107CC9" w:rsidRDefault="00A75E62" w:rsidP="00A75E62">
      <w:pPr>
        <w:pStyle w:val="PlainText"/>
        <w:spacing w:line="276" w:lineRule="auto"/>
        <w:jc w:val="both"/>
        <w:rPr>
          <w:rFonts w:ascii="Verdana" w:hAnsi="Verdana"/>
          <w:b/>
          <w:i/>
          <w:sz w:val="20"/>
          <w:szCs w:val="20"/>
          <w:lang w:val="es-ES"/>
        </w:rPr>
      </w:pPr>
      <w:r w:rsidRPr="00107CC9">
        <w:rPr>
          <w:rFonts w:ascii="Verdana" w:hAnsi="Verdana"/>
          <w:b/>
          <w:i/>
          <w:sz w:val="20"/>
          <w:szCs w:val="20"/>
          <w:lang w:val="es-ES"/>
        </w:rPr>
        <w:t xml:space="preserve">En las instituciones de educación superior centroamericanas y sus espacios de debate y colaboración en América Central, el proceso Europeo de Boloña en educación superior ha sido visto como una fuente de inspiración, como un marco o punto de referencia y como una fuente de experiencias concretas, que nos han ayudado a enriquecer nuestros debates en torno a necesarias reformas en la educación superior centroamericana orientadas a mejorar e innovar lo que hacemos y a crear el espacio centroamericano de la educación superior, con una perspectiva de integración regional.  Esto en muchos temas: enfatizar en competencias y resultados de aprendizaje, definición </w:t>
      </w:r>
      <w:proofErr w:type="spellStart"/>
      <w:r w:rsidRPr="00107CC9">
        <w:rPr>
          <w:rFonts w:ascii="Verdana" w:hAnsi="Verdana"/>
          <w:b/>
          <w:i/>
          <w:sz w:val="20"/>
          <w:szCs w:val="20"/>
          <w:lang w:val="es-ES"/>
        </w:rPr>
        <w:t>comun</w:t>
      </w:r>
      <w:proofErr w:type="spellEnd"/>
      <w:r w:rsidRPr="00107CC9">
        <w:rPr>
          <w:rFonts w:ascii="Verdana" w:hAnsi="Verdana"/>
          <w:b/>
          <w:i/>
          <w:sz w:val="20"/>
          <w:szCs w:val="20"/>
          <w:lang w:val="es-ES"/>
        </w:rPr>
        <w:t xml:space="preserve"> de crédito académico y sistemas de transferencia de </w:t>
      </w:r>
      <w:proofErr w:type="spellStart"/>
      <w:r w:rsidRPr="00107CC9">
        <w:rPr>
          <w:rFonts w:ascii="Verdana" w:hAnsi="Verdana"/>
          <w:b/>
          <w:i/>
          <w:sz w:val="20"/>
          <w:szCs w:val="20"/>
          <w:lang w:val="es-ES"/>
        </w:rPr>
        <w:t>creditos</w:t>
      </w:r>
      <w:proofErr w:type="spellEnd"/>
      <w:r w:rsidRPr="00107CC9">
        <w:rPr>
          <w:rFonts w:ascii="Verdana" w:hAnsi="Verdana"/>
          <w:b/>
          <w:i/>
          <w:sz w:val="20"/>
          <w:szCs w:val="20"/>
          <w:lang w:val="es-ES"/>
        </w:rPr>
        <w:t xml:space="preserve">, suplemento al diploma, necesidad de acortar y racionalizar las carreras o programas educativos ofrecidos, marcos de cualificaciones, evaluación y acreditación de calidad, movilidad académica y estudiantil, etc.   </w:t>
      </w:r>
    </w:p>
    <w:p w:rsidR="00A75E62" w:rsidRPr="00107CC9" w:rsidRDefault="00A75E62" w:rsidP="00A75E62">
      <w:pPr>
        <w:pStyle w:val="PlainText"/>
        <w:jc w:val="both"/>
        <w:rPr>
          <w:rFonts w:ascii="Verdana" w:hAnsi="Verdana"/>
          <w:i/>
          <w:sz w:val="20"/>
          <w:szCs w:val="20"/>
          <w:lang w:val="es-ES"/>
        </w:rPr>
      </w:pPr>
    </w:p>
    <w:p w:rsidR="00A75E62" w:rsidRPr="00107CC9" w:rsidRDefault="00A75E62" w:rsidP="00A75E62">
      <w:pPr>
        <w:pStyle w:val="PlainText"/>
        <w:jc w:val="both"/>
        <w:rPr>
          <w:rFonts w:ascii="Verdana" w:hAnsi="Verdana"/>
          <w:sz w:val="20"/>
          <w:szCs w:val="20"/>
          <w:lang w:val="es-ES"/>
        </w:rPr>
      </w:pPr>
      <w:r w:rsidRPr="00107CC9">
        <w:rPr>
          <w:rFonts w:ascii="Verdana" w:hAnsi="Verdana"/>
          <w:sz w:val="20"/>
          <w:szCs w:val="20"/>
          <w:lang w:val="es-ES"/>
        </w:rPr>
        <w:t xml:space="preserve">-Francisco </w:t>
      </w:r>
      <w:proofErr w:type="spellStart"/>
      <w:r w:rsidRPr="00107CC9">
        <w:rPr>
          <w:rFonts w:ascii="Verdana" w:hAnsi="Verdana"/>
          <w:sz w:val="20"/>
          <w:szCs w:val="20"/>
          <w:lang w:val="es-ES"/>
        </w:rPr>
        <w:t>Alarcon</w:t>
      </w:r>
      <w:proofErr w:type="spellEnd"/>
      <w:r w:rsidRPr="00107CC9">
        <w:rPr>
          <w:rFonts w:ascii="Verdana" w:hAnsi="Verdana"/>
          <w:sz w:val="20"/>
          <w:szCs w:val="20"/>
          <w:lang w:val="es-ES"/>
        </w:rPr>
        <w:t xml:space="preserve">, </w:t>
      </w:r>
      <w:proofErr w:type="spellStart"/>
      <w:r w:rsidRPr="00107CC9">
        <w:rPr>
          <w:rFonts w:ascii="Verdana" w:hAnsi="Verdana"/>
          <w:sz w:val="20"/>
          <w:szCs w:val="20"/>
          <w:lang w:val="es-ES"/>
        </w:rPr>
        <w:t>Academic</w:t>
      </w:r>
      <w:proofErr w:type="spellEnd"/>
      <w:r w:rsidRPr="00107CC9">
        <w:rPr>
          <w:rFonts w:ascii="Verdana" w:hAnsi="Verdana"/>
          <w:sz w:val="20"/>
          <w:szCs w:val="20"/>
          <w:lang w:val="es-ES"/>
        </w:rPr>
        <w:t xml:space="preserve"> Director, Central American </w:t>
      </w:r>
      <w:proofErr w:type="spellStart"/>
      <w:r w:rsidRPr="00107CC9">
        <w:rPr>
          <w:rFonts w:ascii="Verdana" w:hAnsi="Verdana"/>
          <w:sz w:val="20"/>
          <w:szCs w:val="20"/>
          <w:lang w:val="es-ES"/>
        </w:rPr>
        <w:t>University</w:t>
      </w:r>
      <w:proofErr w:type="spellEnd"/>
      <w:r w:rsidRPr="00107CC9">
        <w:rPr>
          <w:rFonts w:ascii="Verdana" w:hAnsi="Verdana"/>
          <w:sz w:val="20"/>
          <w:szCs w:val="20"/>
          <w:lang w:val="es-ES"/>
        </w:rPr>
        <w:t xml:space="preserve"> Council (CSUCA)</w:t>
      </w:r>
    </w:p>
    <w:p w:rsidR="00A75E62" w:rsidRPr="00107CC9" w:rsidRDefault="00A75E62" w:rsidP="00A75E62">
      <w:pPr>
        <w:spacing w:line="240" w:lineRule="auto"/>
        <w:jc w:val="both"/>
        <w:rPr>
          <w:rFonts w:ascii="Verdana" w:hAnsi="Verdana" w:cs="Calibri"/>
          <w:b/>
          <w:sz w:val="20"/>
          <w:szCs w:val="20"/>
          <w:lang w:val="es-ES"/>
        </w:rPr>
      </w:pPr>
    </w:p>
    <w:p w:rsidR="00A75E62" w:rsidRPr="00107CC9" w:rsidRDefault="00A75E62" w:rsidP="00A75E62">
      <w:pPr>
        <w:spacing w:line="240" w:lineRule="auto"/>
        <w:jc w:val="both"/>
        <w:rPr>
          <w:rFonts w:ascii="Verdana" w:hAnsi="Verdana" w:cs="Calibri"/>
          <w:b/>
          <w:sz w:val="20"/>
          <w:szCs w:val="20"/>
          <w:lang w:val="es-ES"/>
        </w:rPr>
      </w:pPr>
    </w:p>
    <w:p w:rsidR="00A75E62" w:rsidRPr="009B70E3" w:rsidRDefault="00A75E62" w:rsidP="009553EE">
      <w:pPr>
        <w:pStyle w:val="ListParagraph"/>
        <w:spacing w:after="200" w:line="312" w:lineRule="auto"/>
        <w:ind w:left="0"/>
        <w:jc w:val="both"/>
        <w:rPr>
          <w:rFonts w:ascii="Verdana" w:hAnsi="Verdana" w:cs="Arial"/>
          <w:color w:val="000000"/>
          <w:sz w:val="20"/>
          <w:szCs w:val="20"/>
        </w:rPr>
      </w:pPr>
    </w:p>
    <w:sectPr w:rsidR="00A75E62" w:rsidRPr="009B70E3" w:rsidSect="00774D43">
      <w:footerReference w:type="default" r:id="rId3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5FAC" w:rsidRDefault="007C5FAC" w:rsidP="000A62A9">
      <w:pPr>
        <w:spacing w:after="0" w:line="240" w:lineRule="auto"/>
      </w:pPr>
      <w:r>
        <w:separator/>
      </w:r>
    </w:p>
  </w:endnote>
  <w:endnote w:type="continuationSeparator" w:id="0">
    <w:p w:rsidR="007C5FAC" w:rsidRDefault="007C5FAC" w:rsidP="000A62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20B7200000000000000"/>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imes">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libri,Bold">
    <w:panose1 w:val="00000000000000000000"/>
    <w:charset w:val="CC"/>
    <w:family w:val="auto"/>
    <w:notTrueType/>
    <w:pitch w:val="default"/>
    <w:sig w:usb0="00000201" w:usb1="00000000" w:usb2="00000000" w:usb3="00000000" w:csb0="00000004" w:csb1="00000000"/>
  </w:font>
  <w:font w:name="Segoe UI">
    <w:panose1 w:val="020B0502040204020203"/>
    <w:charset w:val="CC"/>
    <w:family w:val="swiss"/>
    <w:pitch w:val="variable"/>
    <w:sig w:usb0="E10022FF" w:usb1="C000E47F" w:usb2="00000029" w:usb3="00000000" w:csb0="000001DF" w:csb1="00000000"/>
  </w:font>
  <w:font w:name="TimesNewRomanPSMT">
    <w:altName w:val="Times New Roman"/>
    <w:charset w:val="00"/>
    <w:family w:val="auto"/>
    <w:pitch w:val="variable"/>
    <w:sig w:usb0="00000000" w:usb1="C0007841" w:usb2="00000009" w:usb3="00000000" w:csb0="000001FF" w:csb1="00000000"/>
  </w:font>
  <w:font w:name="TimesNewRomanPS-ItalicMT">
    <w:altName w:val="Times New Roman"/>
    <w:charset w:val="00"/>
    <w:family w:val="auto"/>
    <w:pitch w:val="variable"/>
    <w:sig w:usb0="00000000" w:usb1="00007843" w:usb2="00000001" w:usb3="00000000" w:csb0="000001BF" w:csb1="00000000"/>
  </w:font>
  <w:font w:name="Helvetica">
    <w:panose1 w:val="020B060402020202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72334808"/>
      <w:docPartObj>
        <w:docPartGallery w:val="Page Numbers (Bottom of Page)"/>
        <w:docPartUnique/>
      </w:docPartObj>
    </w:sdtPr>
    <w:sdtEndPr>
      <w:rPr>
        <w:noProof/>
      </w:rPr>
    </w:sdtEndPr>
    <w:sdtContent>
      <w:p w:rsidR="005F15DB" w:rsidRDefault="005F15DB">
        <w:pPr>
          <w:pStyle w:val="Footer"/>
          <w:jc w:val="right"/>
        </w:pPr>
        <w:r>
          <w:fldChar w:fldCharType="begin"/>
        </w:r>
        <w:r>
          <w:instrText xml:space="preserve"> PAGE   \* MERGEFORMAT </w:instrText>
        </w:r>
        <w:r>
          <w:fldChar w:fldCharType="separate"/>
        </w:r>
        <w:r w:rsidR="006F4996">
          <w:rPr>
            <w:noProof/>
          </w:rPr>
          <w:t>75</w:t>
        </w:r>
        <w:r>
          <w:rPr>
            <w:noProof/>
          </w:rPr>
          <w:fldChar w:fldCharType="end"/>
        </w:r>
      </w:p>
    </w:sdtContent>
  </w:sdt>
  <w:p w:rsidR="005F15DB" w:rsidRDefault="005F15D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5FAC" w:rsidRDefault="007C5FAC" w:rsidP="000A62A9">
      <w:pPr>
        <w:spacing w:after="0" w:line="240" w:lineRule="auto"/>
      </w:pPr>
      <w:r>
        <w:separator/>
      </w:r>
    </w:p>
  </w:footnote>
  <w:footnote w:type="continuationSeparator" w:id="0">
    <w:p w:rsidR="007C5FAC" w:rsidRDefault="007C5FAC" w:rsidP="000A62A9">
      <w:pPr>
        <w:spacing w:after="0" w:line="240" w:lineRule="auto"/>
      </w:pPr>
      <w:r>
        <w:continuationSeparator/>
      </w:r>
    </w:p>
  </w:footnote>
  <w:footnote w:id="1">
    <w:p w:rsidR="005F15DB" w:rsidRPr="00CD6691" w:rsidRDefault="005F15DB">
      <w:pPr>
        <w:pStyle w:val="FootnoteText"/>
        <w:rPr>
          <w:rFonts w:ascii="Verdana" w:hAnsi="Verdana"/>
          <w:sz w:val="18"/>
          <w:szCs w:val="18"/>
          <w:lang w:val="en-US"/>
        </w:rPr>
      </w:pPr>
      <w:r w:rsidRPr="00CD6691">
        <w:rPr>
          <w:rStyle w:val="FootnoteReference"/>
          <w:rFonts w:ascii="Verdana" w:hAnsi="Verdana"/>
          <w:sz w:val="18"/>
          <w:szCs w:val="18"/>
        </w:rPr>
        <w:footnoteRef/>
      </w:r>
      <w:r w:rsidRPr="00E424CE">
        <w:rPr>
          <w:rFonts w:ascii="Verdana" w:hAnsi="Verdana"/>
          <w:sz w:val="18"/>
          <w:szCs w:val="18"/>
          <w:lang w:val="en-US"/>
        </w:rPr>
        <w:t xml:space="preserve"> </w:t>
      </w:r>
      <w:r w:rsidRPr="00CD6691">
        <w:rPr>
          <w:rFonts w:ascii="Verdana" w:hAnsi="Verdana"/>
          <w:sz w:val="18"/>
          <w:szCs w:val="18"/>
          <w:lang w:val="en-US"/>
        </w:rPr>
        <w:t xml:space="preserve">In this report, </w:t>
      </w:r>
      <w:r>
        <w:rPr>
          <w:rFonts w:ascii="Verdana" w:hAnsi="Verdana"/>
          <w:sz w:val="18"/>
          <w:szCs w:val="18"/>
          <w:lang w:val="en-US"/>
        </w:rPr>
        <w:t>“national”</w:t>
      </w:r>
      <w:r w:rsidRPr="00CD6691">
        <w:rPr>
          <w:rFonts w:ascii="Verdana" w:hAnsi="Verdana"/>
          <w:sz w:val="18"/>
          <w:szCs w:val="18"/>
          <w:lang w:val="en-US"/>
        </w:rPr>
        <w:t xml:space="preserve"> might refer to the regional level in the case of federal states where higher education is a shared or exclusive competence of the regional level entities. </w:t>
      </w:r>
    </w:p>
  </w:footnote>
  <w:footnote w:id="2">
    <w:p w:rsidR="005F15DB" w:rsidRPr="002C1527" w:rsidRDefault="005F15DB" w:rsidP="00812F98">
      <w:pPr>
        <w:pStyle w:val="FootnoteText"/>
        <w:rPr>
          <w:lang w:val="en-US"/>
        </w:rPr>
      </w:pPr>
      <w:r>
        <w:rPr>
          <w:rStyle w:val="FootnoteReference"/>
        </w:rPr>
        <w:footnoteRef/>
      </w:r>
      <w:r w:rsidRPr="00E424CE">
        <w:rPr>
          <w:lang w:val="en-US"/>
        </w:rPr>
        <w:t xml:space="preserve"> </w:t>
      </w:r>
      <w:hyperlink r:id="rId1" w:history="1">
        <w:r w:rsidRPr="00E424CE">
          <w:rPr>
            <w:rStyle w:val="Hyperlink"/>
            <w:rFonts w:ascii="Verdana" w:hAnsi="Verdana"/>
            <w:lang w:val="en-US"/>
          </w:rPr>
          <w:t>http://eur-lex.europa.eu/legal-content/EN/TXT/PDF/?uri=CELEX:32006H0961&amp;from=EN</w:t>
        </w:r>
      </w:hyperlink>
    </w:p>
  </w:footnote>
  <w:footnote w:id="3">
    <w:p w:rsidR="005F15DB" w:rsidRPr="00F84C20" w:rsidRDefault="005F15DB" w:rsidP="00437948">
      <w:pPr>
        <w:pStyle w:val="FootnoteText"/>
        <w:rPr>
          <w:lang w:val="en-US"/>
        </w:rPr>
      </w:pPr>
      <w:r>
        <w:rPr>
          <w:rStyle w:val="FootnoteReference"/>
        </w:rPr>
        <w:footnoteRef/>
      </w:r>
      <w:r w:rsidRPr="00F84C20">
        <w:rPr>
          <w:lang w:val="en-US"/>
        </w:rPr>
        <w:t xml:space="preserve"> </w:t>
      </w:r>
      <w:r w:rsidRPr="00F84C20">
        <w:rPr>
          <w:lang w:val="en-GB"/>
        </w:rPr>
        <w:t xml:space="preserve">Academic </w:t>
      </w:r>
      <w:proofErr w:type="gramStart"/>
      <w:r w:rsidRPr="00F84C20">
        <w:rPr>
          <w:lang w:val="en-GB"/>
        </w:rPr>
        <w:t>staff</w:t>
      </w:r>
      <w:r>
        <w:rPr>
          <w:lang w:val="en-GB"/>
        </w:rPr>
        <w:t xml:space="preserve"> are</w:t>
      </w:r>
      <w:proofErr w:type="gramEnd"/>
      <w:r>
        <w:rPr>
          <w:lang w:val="en-GB"/>
        </w:rPr>
        <w:t xml:space="preserve"> </w:t>
      </w:r>
      <w:r w:rsidRPr="00F84C20">
        <w:rPr>
          <w:lang w:val="en-GB"/>
        </w:rPr>
        <w:t>staff mainly engaged in teaching and/or research which is also the purpose of mobility. Administrative</w:t>
      </w:r>
      <w:r>
        <w:rPr>
          <w:lang w:val="en-GB"/>
        </w:rPr>
        <w:t xml:space="preserve"> or </w:t>
      </w:r>
      <w:r w:rsidRPr="00F84C20">
        <w:rPr>
          <w:lang w:val="en-GB"/>
        </w:rPr>
        <w:t xml:space="preserve">technical </w:t>
      </w:r>
      <w:proofErr w:type="gramStart"/>
      <w:r w:rsidRPr="00F84C20">
        <w:rPr>
          <w:lang w:val="en-GB"/>
        </w:rPr>
        <w:t xml:space="preserve">staff </w:t>
      </w:r>
      <w:r>
        <w:rPr>
          <w:lang w:val="en-GB"/>
        </w:rPr>
        <w:t>are</w:t>
      </w:r>
      <w:proofErr w:type="gramEnd"/>
      <w:r>
        <w:rPr>
          <w:lang w:val="en-GB"/>
        </w:rPr>
        <w:t xml:space="preserve"> </w:t>
      </w:r>
      <w:r w:rsidRPr="00F84C20">
        <w:rPr>
          <w:lang w:val="en-GB"/>
        </w:rPr>
        <w:t>mainly engaged i</w:t>
      </w:r>
      <w:r>
        <w:rPr>
          <w:lang w:val="en-GB"/>
        </w:rPr>
        <w:t>n administration, governance and/or</w:t>
      </w:r>
      <w:r w:rsidRPr="00F84C20">
        <w:rPr>
          <w:lang w:val="en-GB"/>
        </w:rPr>
        <w:t xml:space="preserve"> management</w:t>
      </w:r>
      <w:r>
        <w:rPr>
          <w:lang w:val="en-GB"/>
        </w:rPr>
        <w:t xml:space="preserve"> or carry out technical tasks</w:t>
      </w:r>
      <w:r w:rsidRPr="00F84C20">
        <w:rPr>
          <w:lang w:val="en-GB"/>
        </w:rPr>
        <w:t>. The purpose of mobility is li</w:t>
      </w:r>
      <w:r>
        <w:rPr>
          <w:lang w:val="en-GB"/>
        </w:rPr>
        <w:t>nked to those fields of activity</w:t>
      </w:r>
      <w:r w:rsidRPr="00F84C20">
        <w:rPr>
          <w:lang w:val="en-GB"/>
        </w:rPr>
        <w:t xml:space="preserve">.  </w:t>
      </w:r>
    </w:p>
  </w:footnote>
  <w:footnote w:id="4">
    <w:p w:rsidR="005F15DB" w:rsidRPr="00DC5116" w:rsidRDefault="005F15DB" w:rsidP="00437948">
      <w:pPr>
        <w:pStyle w:val="FootnoteText"/>
        <w:rPr>
          <w:lang w:val="en-GB"/>
        </w:rPr>
      </w:pPr>
      <w:r>
        <w:rPr>
          <w:rStyle w:val="FootnoteReference"/>
        </w:rPr>
        <w:footnoteRef/>
      </w:r>
      <w:r w:rsidRPr="00DC5116">
        <w:rPr>
          <w:lang w:val="en-GB"/>
        </w:rPr>
        <w:t xml:space="preserve"> </w:t>
      </w:r>
      <w:r w:rsidRPr="00057419">
        <w:rPr>
          <w:lang w:val="en-GB"/>
        </w:rPr>
        <w:t>Dual Career opportunity refers to a situation in which, both, the mobile staff and his or her partner are in a position to shape and develop their individual careers.</w:t>
      </w:r>
    </w:p>
  </w:footnote>
  <w:footnote w:id="5">
    <w:p w:rsidR="005F15DB" w:rsidRPr="008621ED" w:rsidRDefault="005F15DB" w:rsidP="00437948">
      <w:pPr>
        <w:pStyle w:val="FootnoteText"/>
        <w:rPr>
          <w:lang w:val="fr-FR"/>
        </w:rPr>
      </w:pPr>
      <w:r>
        <w:rPr>
          <w:rStyle w:val="FootnoteReference"/>
        </w:rPr>
        <w:footnoteRef/>
      </w:r>
      <w:r w:rsidRPr="008621ED">
        <w:rPr>
          <w:lang w:val="fr-FR"/>
        </w:rPr>
        <w:t xml:space="preserve"> EUROSTUDENT IV </w:t>
      </w:r>
      <w:proofErr w:type="spellStart"/>
      <w:r w:rsidRPr="008621ED">
        <w:rPr>
          <w:lang w:val="fr-FR"/>
        </w:rPr>
        <w:t>database</w:t>
      </w:r>
      <w:proofErr w:type="spellEnd"/>
      <w:r w:rsidRPr="008621ED">
        <w:rPr>
          <w:lang w:val="fr-FR"/>
        </w:rPr>
        <w:t xml:space="preserve">, </w:t>
      </w:r>
      <w:r w:rsidRPr="008621ED">
        <w:rPr>
          <w:i/>
          <w:lang w:val="fr-FR"/>
        </w:rPr>
        <w:t>https://eurostudent.his.de/eiv/report/</w:t>
      </w:r>
      <w:r w:rsidRPr="008621ED">
        <w:rPr>
          <w:lang w:val="fr-FR"/>
        </w:rPr>
        <w:t>.</w:t>
      </w:r>
    </w:p>
  </w:footnote>
  <w:footnote w:id="6">
    <w:p w:rsidR="005F15DB" w:rsidRPr="008430A1" w:rsidRDefault="005F15DB" w:rsidP="00437948">
      <w:pPr>
        <w:pStyle w:val="FootnoteText"/>
        <w:rPr>
          <w:lang w:val="en-GB"/>
        </w:rPr>
      </w:pPr>
      <w:r>
        <w:rPr>
          <w:rStyle w:val="FootnoteReference"/>
        </w:rPr>
        <w:footnoteRef/>
      </w:r>
      <w:r w:rsidRPr="008430A1">
        <w:rPr>
          <w:lang w:val="en-GB"/>
        </w:rPr>
        <w:t xml:space="preserve"> Such as Zimmermann</w:t>
      </w:r>
      <w:r>
        <w:rPr>
          <w:lang w:val="en-GB"/>
        </w:rPr>
        <w:t xml:space="preserve"> et al.: They say there is evidence that young adults having studied abroad become less fearful and irritable while at the same time more self-conscious and are able to handle criticism.</w:t>
      </w:r>
      <w:r w:rsidRPr="008430A1">
        <w:rPr>
          <w:lang w:val="en-GB"/>
        </w:rPr>
        <w:t xml:space="preserve"> </w:t>
      </w:r>
      <w:r>
        <w:rPr>
          <w:lang w:val="en-GB"/>
        </w:rPr>
        <w:t xml:space="preserve">In: </w:t>
      </w:r>
      <w:r w:rsidRPr="008430A1">
        <w:rPr>
          <w:lang w:val="en-GB"/>
        </w:rPr>
        <w:t>Do We Become a Different Person When Hitting the Road? Personality Development of Sojourners, Journal of Personality and Social Psychology 2013</w:t>
      </w:r>
    </w:p>
  </w:footnote>
  <w:footnote w:id="7">
    <w:p w:rsidR="005F15DB" w:rsidRPr="008F6956" w:rsidRDefault="005F15DB" w:rsidP="00BD2329">
      <w:pPr>
        <w:pStyle w:val="FootnoteText"/>
        <w:rPr>
          <w:sz w:val="18"/>
          <w:szCs w:val="18"/>
          <w:lang w:val="en-GB"/>
        </w:rPr>
      </w:pPr>
      <w:r>
        <w:rPr>
          <w:rStyle w:val="FootnoteReference"/>
        </w:rPr>
        <w:footnoteRef/>
      </w:r>
      <w:r w:rsidRPr="008F6956">
        <w:rPr>
          <w:lang w:val="en-GB"/>
        </w:rPr>
        <w:t xml:space="preserve"> </w:t>
      </w:r>
      <w:r w:rsidRPr="008F6956">
        <w:rPr>
          <w:sz w:val="18"/>
          <w:szCs w:val="18"/>
          <w:lang w:val="en-GB"/>
        </w:rPr>
        <w:t xml:space="preserve">European Commission (2011): Supporting growth and Jobs – an agenda for the modernisation of Europe’s higher education systems. Brussels. </w:t>
      </w:r>
      <w:proofErr w:type="spellStart"/>
      <w:r w:rsidRPr="008F6956">
        <w:rPr>
          <w:sz w:val="18"/>
          <w:szCs w:val="18"/>
          <w:lang w:val="en-GB"/>
        </w:rPr>
        <w:t>Weblink</w:t>
      </w:r>
      <w:proofErr w:type="spellEnd"/>
      <w:r w:rsidRPr="008F6956">
        <w:rPr>
          <w:sz w:val="18"/>
          <w:szCs w:val="18"/>
          <w:lang w:val="en-GB"/>
        </w:rPr>
        <w:t xml:space="preserve">: </w:t>
      </w:r>
      <w:hyperlink r:id="rId2" w:history="1">
        <w:r w:rsidRPr="008F6956">
          <w:rPr>
            <w:rStyle w:val="Hyperlink"/>
            <w:sz w:val="18"/>
            <w:szCs w:val="18"/>
            <w:lang w:val="en-GB"/>
          </w:rPr>
          <w:t>http://eur-lex.europa.eu/LexUriServ/LexUriServ.do?uri=COM:2011:0567:FIN:EN:PDF</w:t>
        </w:r>
      </w:hyperlink>
      <w:r w:rsidRPr="008F6956">
        <w:rPr>
          <w:sz w:val="18"/>
          <w:szCs w:val="18"/>
          <w:lang w:val="en-GB"/>
        </w:rPr>
        <w:t xml:space="preserve"> and Bucharest Communiqué 2012: Making the Most of Our Potential: Consolidating the European Higher Education Area. </w:t>
      </w:r>
      <w:proofErr w:type="spellStart"/>
      <w:r w:rsidRPr="008F6956">
        <w:rPr>
          <w:sz w:val="18"/>
          <w:szCs w:val="18"/>
          <w:lang w:val="en-GB"/>
        </w:rPr>
        <w:t>Weblink</w:t>
      </w:r>
      <w:proofErr w:type="spellEnd"/>
      <w:r w:rsidRPr="008F6956">
        <w:rPr>
          <w:sz w:val="18"/>
          <w:szCs w:val="18"/>
          <w:lang w:val="en-GB"/>
        </w:rPr>
        <w:t xml:space="preserve">: </w:t>
      </w:r>
      <w:hyperlink r:id="rId3" w:history="1">
        <w:r w:rsidRPr="008F6956">
          <w:rPr>
            <w:rStyle w:val="Hyperlink"/>
            <w:sz w:val="18"/>
            <w:szCs w:val="18"/>
            <w:lang w:val="en-GB"/>
          </w:rPr>
          <w:t>http://www.ehea.info/Uploads/(1)/Bucharest%20Communique%202012(1).pdf</w:t>
        </w:r>
      </w:hyperlink>
      <w:r w:rsidRPr="008F6956">
        <w:rPr>
          <w:sz w:val="18"/>
          <w:szCs w:val="18"/>
          <w:lang w:val="en-GB"/>
        </w:rPr>
        <w:t xml:space="preserve"> </w:t>
      </w:r>
    </w:p>
  </w:footnote>
  <w:footnote w:id="8">
    <w:p w:rsidR="005F15DB" w:rsidRPr="007D2C97" w:rsidRDefault="005F15DB" w:rsidP="00BD2329">
      <w:pPr>
        <w:pStyle w:val="FootnoteText"/>
        <w:rPr>
          <w:lang w:val="en-GB"/>
        </w:rPr>
      </w:pPr>
      <w:r w:rsidRPr="008F6956">
        <w:rPr>
          <w:rStyle w:val="FootnoteReference"/>
          <w:sz w:val="18"/>
          <w:szCs w:val="18"/>
        </w:rPr>
        <w:footnoteRef/>
      </w:r>
      <w:r w:rsidRPr="008F6956">
        <w:rPr>
          <w:sz w:val="18"/>
          <w:szCs w:val="18"/>
          <w:lang w:val="en-GB"/>
        </w:rPr>
        <w:t xml:space="preserve"> Angelika </w:t>
      </w:r>
      <w:proofErr w:type="spellStart"/>
      <w:r w:rsidRPr="008F6956">
        <w:rPr>
          <w:sz w:val="18"/>
          <w:szCs w:val="18"/>
          <w:lang w:val="en-GB"/>
        </w:rPr>
        <w:t>Grabher</w:t>
      </w:r>
      <w:proofErr w:type="spellEnd"/>
      <w:r w:rsidRPr="008F6956">
        <w:rPr>
          <w:sz w:val="18"/>
          <w:szCs w:val="18"/>
          <w:lang w:val="en-GB"/>
        </w:rPr>
        <w:t xml:space="preserve">, Petra </w:t>
      </w:r>
      <w:proofErr w:type="spellStart"/>
      <w:r w:rsidRPr="008F6956">
        <w:rPr>
          <w:sz w:val="18"/>
          <w:szCs w:val="18"/>
          <w:lang w:val="en-GB"/>
        </w:rPr>
        <w:t>Wejwar</w:t>
      </w:r>
      <w:proofErr w:type="spellEnd"/>
      <w:r w:rsidRPr="008F6956">
        <w:rPr>
          <w:sz w:val="18"/>
          <w:szCs w:val="18"/>
          <w:lang w:val="en-GB"/>
        </w:rPr>
        <w:t xml:space="preserve">, </w:t>
      </w:r>
      <w:proofErr w:type="gramStart"/>
      <w:r w:rsidRPr="008F6956">
        <w:rPr>
          <w:sz w:val="18"/>
          <w:szCs w:val="18"/>
          <w:lang w:val="en-GB"/>
        </w:rPr>
        <w:t>Martin</w:t>
      </w:r>
      <w:proofErr w:type="gramEnd"/>
      <w:r w:rsidRPr="008F6956">
        <w:rPr>
          <w:sz w:val="18"/>
          <w:szCs w:val="18"/>
          <w:lang w:val="en-GB"/>
        </w:rPr>
        <w:t xml:space="preserve"> Unger, Berta </w:t>
      </w:r>
      <w:proofErr w:type="spellStart"/>
      <w:r w:rsidRPr="008F6956">
        <w:rPr>
          <w:sz w:val="18"/>
          <w:szCs w:val="18"/>
          <w:lang w:val="en-GB"/>
        </w:rPr>
        <w:t>Terzieva</w:t>
      </w:r>
      <w:proofErr w:type="spellEnd"/>
      <w:r w:rsidRPr="008F6956">
        <w:rPr>
          <w:sz w:val="18"/>
          <w:szCs w:val="18"/>
          <w:lang w:val="en-GB"/>
        </w:rPr>
        <w:t xml:space="preserve"> (2014): Research Report: „Student mobility in the</w:t>
      </w:r>
      <w:r w:rsidRPr="007D2C97">
        <w:rPr>
          <w:sz w:val="18"/>
          <w:szCs w:val="18"/>
          <w:lang w:val="en-GB"/>
        </w:rPr>
        <w:t xml:space="preserve"> EHEA. Underrepresentation in student credit mobility and imbalances in degree mobility“, Institute for Advanced Studies. </w:t>
      </w:r>
      <w:proofErr w:type="spellStart"/>
      <w:r w:rsidRPr="007D2C97">
        <w:rPr>
          <w:sz w:val="18"/>
          <w:szCs w:val="18"/>
          <w:lang w:val="en-GB"/>
        </w:rPr>
        <w:t>Weblink</w:t>
      </w:r>
      <w:proofErr w:type="spellEnd"/>
      <w:r w:rsidRPr="007D2C97">
        <w:rPr>
          <w:sz w:val="18"/>
          <w:szCs w:val="18"/>
          <w:lang w:val="en-GB"/>
        </w:rPr>
        <w:t xml:space="preserve"> to the results of the study: </w:t>
      </w:r>
      <w:hyperlink r:id="rId4" w:history="1">
        <w:r w:rsidRPr="005927F7">
          <w:rPr>
            <w:rStyle w:val="Hyperlink"/>
            <w:sz w:val="18"/>
            <w:szCs w:val="18"/>
            <w:lang w:val="en-GB"/>
          </w:rPr>
          <w:t>http://www.equi.at/dateien/Student_mobility_in_EHEA.pdf</w:t>
        </w:r>
      </w:hyperlink>
      <w:r>
        <w:rPr>
          <w:sz w:val="18"/>
          <w:szCs w:val="18"/>
          <w:lang w:val="en-GB"/>
        </w:rPr>
        <w:t xml:space="preserve"> </w:t>
      </w:r>
    </w:p>
  </w:footnote>
  <w:footnote w:id="9">
    <w:p w:rsidR="005F15DB" w:rsidRPr="0086264D" w:rsidRDefault="005F15DB" w:rsidP="00BD2329">
      <w:pPr>
        <w:pStyle w:val="FootnoteText"/>
        <w:rPr>
          <w:sz w:val="18"/>
          <w:szCs w:val="18"/>
          <w:lang w:val="en-GB"/>
        </w:rPr>
      </w:pPr>
      <w:r w:rsidRPr="0086264D">
        <w:rPr>
          <w:rStyle w:val="FootnoteReference"/>
          <w:sz w:val="18"/>
          <w:szCs w:val="18"/>
        </w:rPr>
        <w:footnoteRef/>
      </w:r>
      <w:r w:rsidRPr="0086264D">
        <w:rPr>
          <w:sz w:val="18"/>
          <w:szCs w:val="18"/>
          <w:lang w:val="en-GB"/>
        </w:rPr>
        <w:t xml:space="preserve"> The EHEA in 2012: Bologna Process Implementation Report. Obstacles to Mobility, pp. 165, </w:t>
      </w:r>
      <w:proofErr w:type="spellStart"/>
      <w:r w:rsidRPr="0086264D">
        <w:rPr>
          <w:sz w:val="18"/>
          <w:szCs w:val="18"/>
          <w:lang w:val="en-GB"/>
        </w:rPr>
        <w:t>Weblink</w:t>
      </w:r>
      <w:proofErr w:type="spellEnd"/>
      <w:r w:rsidRPr="0086264D">
        <w:rPr>
          <w:sz w:val="18"/>
          <w:szCs w:val="18"/>
          <w:lang w:val="en-GB"/>
        </w:rPr>
        <w:t xml:space="preserve">: </w:t>
      </w:r>
      <w:hyperlink r:id="rId5" w:history="1">
        <w:r w:rsidRPr="0086264D">
          <w:rPr>
            <w:rStyle w:val="Hyperlink"/>
            <w:sz w:val="18"/>
            <w:szCs w:val="18"/>
            <w:lang w:val="en-GB"/>
          </w:rPr>
          <w:t>http://www.ehea.info/Uploads/(1)/Bologna%20Process%20Implementation%20Report.pdf</w:t>
        </w:r>
      </w:hyperlink>
      <w:r w:rsidRPr="0086264D">
        <w:rPr>
          <w:sz w:val="18"/>
          <w:szCs w:val="18"/>
          <w:lang w:val="en-GB"/>
        </w:rPr>
        <w:t xml:space="preserve"> </w:t>
      </w:r>
    </w:p>
  </w:footnote>
  <w:footnote w:id="10">
    <w:p w:rsidR="005F15DB" w:rsidRPr="00F26C66" w:rsidRDefault="005F15DB" w:rsidP="00BD2329">
      <w:pPr>
        <w:pStyle w:val="FootnoteText"/>
        <w:rPr>
          <w:lang w:val="en-GB"/>
        </w:rPr>
      </w:pPr>
      <w:r>
        <w:rPr>
          <w:rStyle w:val="FootnoteReference"/>
        </w:rPr>
        <w:footnoteRef/>
      </w:r>
      <w:r w:rsidRPr="00F26C66">
        <w:rPr>
          <w:lang w:val="en-GB"/>
        </w:rPr>
        <w:t xml:space="preserve"> </w:t>
      </w:r>
      <w:r w:rsidRPr="00F26C66">
        <w:rPr>
          <w:sz w:val="18"/>
          <w:szCs w:val="18"/>
          <w:lang w:val="en-GB"/>
        </w:rPr>
        <w:t xml:space="preserve">Mobility strategy 2020 for the European Higher Education Area (EHEA), 2012: Link: </w:t>
      </w:r>
      <w:hyperlink r:id="rId6" w:history="1">
        <w:r w:rsidRPr="005927F7">
          <w:rPr>
            <w:rStyle w:val="Hyperlink"/>
            <w:sz w:val="18"/>
            <w:szCs w:val="18"/>
            <w:lang w:val="en-GB"/>
          </w:rPr>
          <w:t>http://www.ehea.info/Uploads/(1)/2012%20EHEA%20Mobility%20Strategy.pdf</w:t>
        </w:r>
      </w:hyperlink>
      <w:r>
        <w:rPr>
          <w:sz w:val="18"/>
          <w:szCs w:val="18"/>
          <w:lang w:val="en-GB"/>
        </w:rPr>
        <w:t xml:space="preserve">. </w:t>
      </w:r>
      <w:r w:rsidRPr="00BA2C62">
        <w:rPr>
          <w:sz w:val="18"/>
          <w:szCs w:val="18"/>
          <w:lang w:val="en-GB"/>
        </w:rPr>
        <w:t>Further statistical collection on mobility and underrepresented groups has been made by Eurostat and OECD.</w:t>
      </w:r>
    </w:p>
  </w:footnote>
  <w:footnote w:id="11">
    <w:p w:rsidR="005F15DB" w:rsidRPr="00B24AF3" w:rsidRDefault="005F15DB" w:rsidP="00BD2329">
      <w:pPr>
        <w:pStyle w:val="FootnoteText"/>
        <w:rPr>
          <w:sz w:val="18"/>
          <w:szCs w:val="18"/>
          <w:lang w:val="en-GB"/>
        </w:rPr>
      </w:pPr>
      <w:r w:rsidRPr="00B24AF3">
        <w:rPr>
          <w:rStyle w:val="FootnoteReference"/>
          <w:sz w:val="18"/>
          <w:szCs w:val="18"/>
        </w:rPr>
        <w:footnoteRef/>
      </w:r>
      <w:r w:rsidRPr="00B24AF3">
        <w:rPr>
          <w:sz w:val="18"/>
          <w:szCs w:val="18"/>
          <w:lang w:val="en-GB"/>
        </w:rPr>
        <w:t xml:space="preserve"> Angelika </w:t>
      </w:r>
      <w:proofErr w:type="spellStart"/>
      <w:r w:rsidRPr="00B24AF3">
        <w:rPr>
          <w:sz w:val="18"/>
          <w:szCs w:val="18"/>
          <w:lang w:val="en-GB"/>
        </w:rPr>
        <w:t>Grabher</w:t>
      </w:r>
      <w:proofErr w:type="spellEnd"/>
      <w:r w:rsidRPr="00B24AF3">
        <w:rPr>
          <w:sz w:val="18"/>
          <w:szCs w:val="18"/>
          <w:lang w:val="en-GB"/>
        </w:rPr>
        <w:t xml:space="preserve">, Petra </w:t>
      </w:r>
      <w:proofErr w:type="spellStart"/>
      <w:r w:rsidRPr="00B24AF3">
        <w:rPr>
          <w:sz w:val="18"/>
          <w:szCs w:val="18"/>
          <w:lang w:val="en-GB"/>
        </w:rPr>
        <w:t>Wejwar</w:t>
      </w:r>
      <w:proofErr w:type="spellEnd"/>
      <w:r w:rsidRPr="00B24AF3">
        <w:rPr>
          <w:sz w:val="18"/>
          <w:szCs w:val="18"/>
          <w:lang w:val="en-GB"/>
        </w:rPr>
        <w:t xml:space="preserve">, </w:t>
      </w:r>
      <w:proofErr w:type="gramStart"/>
      <w:r w:rsidRPr="00B24AF3">
        <w:rPr>
          <w:sz w:val="18"/>
          <w:szCs w:val="18"/>
          <w:lang w:val="en-GB"/>
        </w:rPr>
        <w:t>Martin</w:t>
      </w:r>
      <w:proofErr w:type="gramEnd"/>
      <w:r w:rsidRPr="00B24AF3">
        <w:rPr>
          <w:sz w:val="18"/>
          <w:szCs w:val="18"/>
          <w:lang w:val="en-GB"/>
        </w:rPr>
        <w:t xml:space="preserve"> Unger, Berta </w:t>
      </w:r>
      <w:proofErr w:type="spellStart"/>
      <w:r w:rsidRPr="00B24AF3">
        <w:rPr>
          <w:sz w:val="18"/>
          <w:szCs w:val="18"/>
          <w:lang w:val="en-GB"/>
        </w:rPr>
        <w:t>Terzieva</w:t>
      </w:r>
      <w:proofErr w:type="spellEnd"/>
      <w:r w:rsidRPr="00B24AF3">
        <w:rPr>
          <w:sz w:val="18"/>
          <w:szCs w:val="18"/>
          <w:lang w:val="en-GB"/>
        </w:rPr>
        <w:t xml:space="preserve"> (2014): Research Report: „Student mobility in the EHEA. Underrepresentation in student credit mobility and imbalances in degree mobility“, Institute for Advanced Studies.</w:t>
      </w:r>
    </w:p>
  </w:footnote>
  <w:footnote w:id="12">
    <w:p w:rsidR="005F15DB" w:rsidRPr="00E6063B" w:rsidRDefault="005F15DB" w:rsidP="00BD2329">
      <w:pPr>
        <w:pStyle w:val="FootnoteText"/>
        <w:rPr>
          <w:lang w:val="en-GB"/>
        </w:rPr>
      </w:pPr>
      <w:r>
        <w:rPr>
          <w:rStyle w:val="FootnoteReference"/>
        </w:rPr>
        <w:footnoteRef/>
      </w:r>
      <w:r w:rsidRPr="00E6063B">
        <w:rPr>
          <w:lang w:val="en-GB"/>
        </w:rPr>
        <w:t xml:space="preserve"> </w:t>
      </w:r>
      <w:r w:rsidRPr="00E6063B">
        <w:rPr>
          <w:sz w:val="18"/>
          <w:szCs w:val="18"/>
          <w:lang w:val="en-GB"/>
        </w:rPr>
        <w:t xml:space="preserve">Nicolai </w:t>
      </w:r>
      <w:proofErr w:type="spellStart"/>
      <w:r w:rsidRPr="00E6063B">
        <w:rPr>
          <w:sz w:val="18"/>
          <w:szCs w:val="18"/>
          <w:lang w:val="en-GB"/>
        </w:rPr>
        <w:t>Netz</w:t>
      </w:r>
      <w:proofErr w:type="spellEnd"/>
      <w:r w:rsidRPr="00E6063B">
        <w:rPr>
          <w:sz w:val="18"/>
          <w:szCs w:val="18"/>
          <w:lang w:val="en-GB"/>
        </w:rPr>
        <w:t xml:space="preserve"> / Dominic Orr / </w:t>
      </w:r>
      <w:proofErr w:type="spellStart"/>
      <w:r w:rsidRPr="00E6063B">
        <w:rPr>
          <w:sz w:val="18"/>
          <w:szCs w:val="18"/>
          <w:lang w:val="en-GB"/>
        </w:rPr>
        <w:t>Christoph</w:t>
      </w:r>
      <w:proofErr w:type="spellEnd"/>
      <w:r w:rsidRPr="00E6063B">
        <w:rPr>
          <w:sz w:val="18"/>
          <w:szCs w:val="18"/>
          <w:lang w:val="en-GB"/>
        </w:rPr>
        <w:t xml:space="preserve"> </w:t>
      </w:r>
      <w:proofErr w:type="spellStart"/>
      <w:r w:rsidRPr="00E6063B">
        <w:rPr>
          <w:sz w:val="18"/>
          <w:szCs w:val="18"/>
          <w:lang w:val="en-GB"/>
        </w:rPr>
        <w:t>Gwosć</w:t>
      </w:r>
      <w:proofErr w:type="spellEnd"/>
      <w:r w:rsidRPr="00E6063B">
        <w:rPr>
          <w:sz w:val="18"/>
          <w:szCs w:val="18"/>
          <w:lang w:val="en-GB"/>
        </w:rPr>
        <w:t xml:space="preserve"> / </w:t>
      </w:r>
      <w:proofErr w:type="spellStart"/>
      <w:r w:rsidRPr="00E6063B">
        <w:rPr>
          <w:sz w:val="18"/>
          <w:szCs w:val="18"/>
          <w:lang w:val="en-GB"/>
        </w:rPr>
        <w:t>Björn</w:t>
      </w:r>
      <w:proofErr w:type="spellEnd"/>
      <w:r w:rsidRPr="00E6063B">
        <w:rPr>
          <w:sz w:val="18"/>
          <w:szCs w:val="18"/>
          <w:lang w:val="en-GB"/>
        </w:rPr>
        <w:t xml:space="preserve"> </w:t>
      </w:r>
      <w:proofErr w:type="spellStart"/>
      <w:r w:rsidRPr="00E6063B">
        <w:rPr>
          <w:sz w:val="18"/>
          <w:szCs w:val="18"/>
          <w:lang w:val="en-GB"/>
        </w:rPr>
        <w:t>Huß</w:t>
      </w:r>
      <w:proofErr w:type="spellEnd"/>
      <w:r w:rsidRPr="00E6063B">
        <w:rPr>
          <w:sz w:val="18"/>
          <w:szCs w:val="18"/>
          <w:lang w:val="en-GB"/>
        </w:rPr>
        <w:t xml:space="preserve"> (2012): What deters students from studying abroad? Evidence from Austria, Switzerland, Germany, </w:t>
      </w:r>
      <w:proofErr w:type="gramStart"/>
      <w:r w:rsidRPr="00E6063B">
        <w:rPr>
          <w:sz w:val="18"/>
          <w:szCs w:val="18"/>
          <w:lang w:val="en-GB"/>
        </w:rPr>
        <w:t>The</w:t>
      </w:r>
      <w:proofErr w:type="gramEnd"/>
      <w:r w:rsidRPr="00E6063B">
        <w:rPr>
          <w:sz w:val="18"/>
          <w:szCs w:val="18"/>
          <w:lang w:val="en-GB"/>
        </w:rPr>
        <w:t xml:space="preserve"> Netherlands and Poland</w:t>
      </w:r>
      <w:r>
        <w:rPr>
          <w:lang w:val="en-GB"/>
        </w:rPr>
        <w:t>.</w:t>
      </w:r>
    </w:p>
  </w:footnote>
  <w:footnote w:id="13">
    <w:p w:rsidR="005F15DB" w:rsidRPr="00F93902" w:rsidRDefault="005F15DB" w:rsidP="00431DB3">
      <w:pPr>
        <w:pStyle w:val="FootnoteText"/>
        <w:rPr>
          <w:sz w:val="18"/>
          <w:szCs w:val="18"/>
          <w:lang w:val="en-US"/>
        </w:rPr>
      </w:pPr>
      <w:r w:rsidRPr="00F93902">
        <w:rPr>
          <w:rStyle w:val="FootnoteReference"/>
          <w:sz w:val="18"/>
          <w:szCs w:val="18"/>
        </w:rPr>
        <w:footnoteRef/>
      </w:r>
      <w:r w:rsidRPr="00F93902">
        <w:rPr>
          <w:sz w:val="18"/>
          <w:szCs w:val="18"/>
          <w:lang w:val="en-US"/>
        </w:rPr>
        <w:t xml:space="preserve"> </w:t>
      </w:r>
      <w:proofErr w:type="gramStart"/>
      <w:r w:rsidRPr="00F93902">
        <w:rPr>
          <w:sz w:val="18"/>
          <w:szCs w:val="18"/>
          <w:lang w:val="en-US"/>
        </w:rPr>
        <w:t>Education at a Glance 2013.</w:t>
      </w:r>
      <w:proofErr w:type="gramEnd"/>
      <w:r w:rsidRPr="00F93902">
        <w:rPr>
          <w:sz w:val="18"/>
          <w:szCs w:val="18"/>
          <w:lang w:val="en-US"/>
        </w:rPr>
        <w:t xml:space="preserve"> OECD </w:t>
      </w:r>
    </w:p>
  </w:footnote>
  <w:footnote w:id="14">
    <w:p w:rsidR="005F15DB" w:rsidRPr="00DD1950" w:rsidRDefault="005F15DB" w:rsidP="00431DB3">
      <w:pPr>
        <w:pStyle w:val="FootnoteText"/>
        <w:rPr>
          <w:sz w:val="18"/>
          <w:szCs w:val="18"/>
          <w:lang w:val="en-US"/>
        </w:rPr>
      </w:pPr>
      <w:r>
        <w:rPr>
          <w:rStyle w:val="FootnoteReference"/>
        </w:rPr>
        <w:footnoteRef/>
      </w:r>
      <w:r w:rsidRPr="008E03F1">
        <w:rPr>
          <w:lang w:val="en-US"/>
        </w:rPr>
        <w:t xml:space="preserve"> </w:t>
      </w:r>
      <w:proofErr w:type="gramStart"/>
      <w:r w:rsidRPr="00DD1950">
        <w:rPr>
          <w:sz w:val="18"/>
          <w:szCs w:val="18"/>
          <w:lang w:val="en-US"/>
        </w:rPr>
        <w:t>ECTS User’s Guide.</w:t>
      </w:r>
      <w:proofErr w:type="gramEnd"/>
      <w:r w:rsidRPr="00DD1950">
        <w:rPr>
          <w:sz w:val="18"/>
          <w:szCs w:val="18"/>
          <w:lang w:val="en-US"/>
        </w:rPr>
        <w:t xml:space="preserve"> 2009. EUA Master Study. 2009.</w:t>
      </w:r>
    </w:p>
  </w:footnote>
  <w:footnote w:id="15">
    <w:p w:rsidR="005F15DB" w:rsidRPr="00720790" w:rsidRDefault="005F15DB" w:rsidP="00431DB3">
      <w:pPr>
        <w:pStyle w:val="FootnoteText"/>
        <w:rPr>
          <w:lang w:val="en-US"/>
        </w:rPr>
      </w:pPr>
      <w:r>
        <w:rPr>
          <w:rStyle w:val="FootnoteReference"/>
        </w:rPr>
        <w:footnoteRef/>
      </w:r>
      <w:r w:rsidRPr="00720790">
        <w:rPr>
          <w:lang w:val="en-US"/>
        </w:rPr>
        <w:t xml:space="preserve"> </w:t>
      </w:r>
      <w:r w:rsidRPr="00720790">
        <w:rPr>
          <w:sz w:val="18"/>
          <w:szCs w:val="18"/>
          <w:lang w:val="en-US"/>
        </w:rPr>
        <w:t>In this report, “national” might refer to the regional level in the case of federal states where higher education is a shared or exclusive competence of the regional level entities</w:t>
      </w:r>
      <w:r w:rsidRPr="00720790">
        <w:rPr>
          <w:lang w:val="en-US"/>
        </w:rPr>
        <w:t>.</w:t>
      </w:r>
    </w:p>
  </w:footnote>
  <w:footnote w:id="16">
    <w:p w:rsidR="005F15DB" w:rsidRPr="00F93902" w:rsidRDefault="005F15DB" w:rsidP="00431DB3">
      <w:pPr>
        <w:pStyle w:val="FootnoteText"/>
        <w:rPr>
          <w:sz w:val="18"/>
          <w:szCs w:val="18"/>
          <w:lang w:val="en-US"/>
        </w:rPr>
      </w:pPr>
      <w:r w:rsidRPr="00F93902">
        <w:rPr>
          <w:rStyle w:val="FootnoteReference"/>
          <w:sz w:val="18"/>
          <w:szCs w:val="18"/>
        </w:rPr>
        <w:footnoteRef/>
      </w:r>
      <w:r w:rsidRPr="00F93902">
        <w:rPr>
          <w:sz w:val="18"/>
          <w:szCs w:val="18"/>
          <w:lang w:val="en-US"/>
        </w:rPr>
        <w:t xml:space="preserve"> </w:t>
      </w:r>
      <w:proofErr w:type="gramStart"/>
      <w:r w:rsidRPr="00F93902">
        <w:rPr>
          <w:sz w:val="18"/>
          <w:szCs w:val="18"/>
          <w:lang w:val="en-US"/>
        </w:rPr>
        <w:t>Mobility strategy 2020 for the European Higher Education Area.</w:t>
      </w:r>
      <w:proofErr w:type="gramEnd"/>
      <w:r w:rsidRPr="00F93902">
        <w:rPr>
          <w:sz w:val="18"/>
          <w:szCs w:val="18"/>
          <w:lang w:val="en-US"/>
        </w:rPr>
        <w:t xml:space="preserve"> Mobility for Better Learning</w:t>
      </w:r>
    </w:p>
  </w:footnote>
  <w:footnote w:id="17">
    <w:p w:rsidR="005F15DB" w:rsidRPr="00F93902" w:rsidRDefault="005F15DB" w:rsidP="00431DB3">
      <w:pPr>
        <w:pStyle w:val="FootnoteText"/>
        <w:rPr>
          <w:lang w:val="en-US"/>
        </w:rPr>
      </w:pPr>
      <w:r w:rsidRPr="00F93902">
        <w:rPr>
          <w:rStyle w:val="FootnoteReference"/>
          <w:sz w:val="18"/>
          <w:szCs w:val="18"/>
        </w:rPr>
        <w:footnoteRef/>
      </w:r>
      <w:r w:rsidRPr="00F93902">
        <w:rPr>
          <w:sz w:val="18"/>
          <w:szCs w:val="18"/>
          <w:lang w:val="en-US"/>
        </w:rPr>
        <w:t xml:space="preserve"> Study in </w:t>
      </w:r>
      <w:smartTag w:uri="urn:schemas-microsoft-com:office:smarttags" w:element="place">
        <w:r w:rsidRPr="00F93902">
          <w:rPr>
            <w:sz w:val="18"/>
            <w:szCs w:val="18"/>
            <w:lang w:val="en-US"/>
          </w:rPr>
          <w:t>Europe</w:t>
        </w:r>
      </w:smartTag>
      <w:r w:rsidRPr="00F93902">
        <w:rPr>
          <w:sz w:val="18"/>
          <w:szCs w:val="18"/>
          <w:lang w:val="en-US"/>
        </w:rPr>
        <w:t xml:space="preserve">. </w:t>
      </w:r>
      <w:hyperlink r:id="rId7" w:history="1">
        <w:r w:rsidRPr="00F93902">
          <w:rPr>
            <w:rStyle w:val="Hyperlink"/>
            <w:sz w:val="18"/>
            <w:szCs w:val="18"/>
            <w:lang w:val="en-US"/>
          </w:rPr>
          <w:t>http://ec.europa.eu/education/study-in-europe/</w:t>
        </w:r>
      </w:hyperlink>
      <w:r w:rsidRPr="00F93902">
        <w:rPr>
          <w:sz w:val="18"/>
          <w:szCs w:val="18"/>
          <w:lang w:val="en-US"/>
        </w:rPr>
        <w:t xml:space="preserve">; Study Portals: </w:t>
      </w:r>
      <w:hyperlink r:id="rId8" w:history="1">
        <w:r w:rsidRPr="00F93902">
          <w:rPr>
            <w:rStyle w:val="Hyperlink"/>
            <w:sz w:val="18"/>
            <w:szCs w:val="18"/>
            <w:lang w:val="en-US"/>
          </w:rPr>
          <w:t>http://www.studyportals.eu/</w:t>
        </w:r>
      </w:hyperlink>
    </w:p>
  </w:footnote>
  <w:footnote w:id="18">
    <w:p w:rsidR="005F15DB" w:rsidRPr="00E424CE" w:rsidRDefault="005F15DB" w:rsidP="00431DB3">
      <w:pPr>
        <w:pStyle w:val="FootnoteText"/>
      </w:pPr>
      <w:r>
        <w:rPr>
          <w:rStyle w:val="FootnoteReference"/>
        </w:rPr>
        <w:footnoteRef/>
      </w:r>
      <w:r w:rsidRPr="00E424CE">
        <w:t xml:space="preserve"> HRK Hochschulkompass</w:t>
      </w:r>
    </w:p>
  </w:footnote>
  <w:footnote w:id="19">
    <w:p w:rsidR="005F15DB" w:rsidRPr="00426246" w:rsidRDefault="005F15DB" w:rsidP="009553EE">
      <w:pPr>
        <w:pStyle w:val="FootnoteText"/>
      </w:pPr>
      <w:r>
        <w:rPr>
          <w:rStyle w:val="FootnoteReference"/>
        </w:rPr>
        <w:footnoteRef/>
      </w:r>
      <w:r>
        <w:t xml:space="preserve"> </w:t>
      </w:r>
      <w:r w:rsidRPr="00BD1F81">
        <w:t>http://conventions.coe.int/Treaty/Commun/QueVoulezVous.asp?NT=069&amp;CL=ENG</w:t>
      </w:r>
    </w:p>
  </w:footnote>
  <w:footnote w:id="20">
    <w:p w:rsidR="005F15DB" w:rsidRPr="009369F5" w:rsidRDefault="005F15DB" w:rsidP="009553EE">
      <w:pPr>
        <w:pStyle w:val="FootnoteText"/>
      </w:pPr>
      <w:r>
        <w:rPr>
          <w:rStyle w:val="FootnoteReference"/>
        </w:rPr>
        <w:footnoteRef/>
      </w:r>
      <w:r w:rsidRPr="009369F5">
        <w:t xml:space="preserve"> http://www.coe.int/t/dg4/highereducation/recognition/lrc_EN.asp</w:t>
      </w:r>
    </w:p>
  </w:footnote>
  <w:footnote w:id="21">
    <w:p w:rsidR="00DF496D" w:rsidRPr="00DF496D" w:rsidRDefault="00DF496D">
      <w:pPr>
        <w:pStyle w:val="FootnoteText"/>
        <w:rPr>
          <w:lang w:val="en-US"/>
        </w:rPr>
      </w:pPr>
      <w:r w:rsidRPr="00DF496D">
        <w:rPr>
          <w:rStyle w:val="FootnoteReference"/>
          <w:lang w:val="en-US"/>
        </w:rPr>
        <w:footnoteRef/>
      </w:r>
      <w:r w:rsidRPr="00DF496D">
        <w:rPr>
          <w:lang w:val="en-US"/>
        </w:rPr>
        <w:t xml:space="preserve"> </w:t>
      </w:r>
      <w:r w:rsidR="0079185A">
        <w:rPr>
          <w:lang w:val="en-US"/>
        </w:rPr>
        <w:t>Please note</w:t>
      </w:r>
      <w:r w:rsidRPr="00DF496D">
        <w:rPr>
          <w:lang w:val="en-US"/>
        </w:rPr>
        <w:t xml:space="preserve"> that the report is still in working progress</w:t>
      </w:r>
      <w:r>
        <w:rPr>
          <w:lang w:val="en-US"/>
        </w:rPr>
        <w:t>.</w:t>
      </w:r>
    </w:p>
  </w:footnote>
  <w:footnote w:id="22">
    <w:p w:rsidR="00A75E62" w:rsidRPr="00BB1DA6" w:rsidRDefault="00A75E62" w:rsidP="00A75E62">
      <w:pPr>
        <w:pStyle w:val="FootnoteText"/>
        <w:rPr>
          <w:lang w:val="nl-BE"/>
        </w:rPr>
      </w:pPr>
      <w:r>
        <w:rPr>
          <w:rStyle w:val="FootnoteReference"/>
        </w:rPr>
        <w:footnoteRef/>
      </w:r>
      <w:r w:rsidRPr="006F4996">
        <w:rPr>
          <w:lang w:val="en-US"/>
        </w:rPr>
        <w:t xml:space="preserve"> </w:t>
      </w:r>
      <w:hyperlink r:id="rId9" w:history="1">
        <w:r>
          <w:rPr>
            <w:rStyle w:val="Hyperlink"/>
            <w:lang w:val="nl-BE"/>
          </w:rPr>
          <w:t>http://www.ehea.info/Uploads/(1)/2012%20EHEA%20Mobility%20Strategy.pdf</w:t>
        </w:r>
      </w:hyperlink>
    </w:p>
  </w:footnote>
  <w:footnote w:id="23">
    <w:p w:rsidR="00A75E62" w:rsidRPr="00BC25AD" w:rsidRDefault="00A75E62" w:rsidP="00A75E62">
      <w:pPr>
        <w:pStyle w:val="FootnoteText"/>
        <w:rPr>
          <w:lang w:val="nl-BE"/>
        </w:rPr>
      </w:pPr>
      <w:r>
        <w:rPr>
          <w:rStyle w:val="FootnoteReference"/>
        </w:rPr>
        <w:footnoteRef/>
      </w:r>
      <w:r w:rsidRPr="00BC25AD">
        <w:rPr>
          <w:lang w:val="nl-BE"/>
        </w:rPr>
        <w:t xml:space="preserve"> </w:t>
      </w:r>
      <w:hyperlink r:id="rId10" w:history="1">
        <w:r w:rsidRPr="00BC25AD">
          <w:rPr>
            <w:rStyle w:val="Hyperlink"/>
            <w:lang w:val="nl-BE"/>
          </w:rPr>
          <w:t>http://europa.eu/legislation_summaries/education_training_youth/lifelong_learning/ef0030_en.htm</w:t>
        </w:r>
      </w:hyperlink>
      <w:r w:rsidRPr="00BC25AD">
        <w:rPr>
          <w:lang w:val="nl-BE"/>
        </w:rPr>
        <w:t xml:space="preserve">, </w:t>
      </w:r>
      <w:hyperlink r:id="rId11" w:history="1">
        <w:r w:rsidRPr="00BC25AD">
          <w:rPr>
            <w:rStyle w:val="Hyperlink"/>
            <w:lang w:val="nl-BE"/>
          </w:rPr>
          <w:t>http://ec.europa.eu/languages/policy/strategic-framework/rethinking-education_en.htm</w:t>
        </w:r>
      </w:hyperlink>
      <w:r w:rsidRPr="00BC25AD">
        <w:rPr>
          <w:lang w:val="nl-BE"/>
        </w:rPr>
        <w:t xml:space="preserve">  </w:t>
      </w:r>
    </w:p>
  </w:footnote>
  <w:footnote w:id="24">
    <w:p w:rsidR="00A75E62" w:rsidRPr="00CA5DE3" w:rsidRDefault="00A75E62" w:rsidP="00A75E62">
      <w:pPr>
        <w:pStyle w:val="FootnoteText"/>
        <w:rPr>
          <w:lang w:val="nl-BE"/>
        </w:rPr>
      </w:pPr>
      <w:r>
        <w:rPr>
          <w:rStyle w:val="FootnoteReference"/>
        </w:rPr>
        <w:footnoteRef/>
      </w:r>
      <w:r w:rsidRPr="00CA5DE3">
        <w:rPr>
          <w:lang w:val="nl-BE"/>
        </w:rPr>
        <w:t xml:space="preserve"> </w:t>
      </w:r>
      <w:hyperlink r:id="rId12" w:history="1">
        <w:r w:rsidRPr="00133496">
          <w:rPr>
            <w:rStyle w:val="Hyperlink"/>
            <w:lang w:val="nl-BE"/>
          </w:rPr>
          <w:t>http://ec.europa.eu/education/policy/international-cooperation/world-education_en.htm</w:t>
        </w:r>
      </w:hyperlink>
      <w:r>
        <w:rPr>
          <w:lang w:val="nl-BE"/>
        </w:rPr>
        <w:t xml:space="preserve"> </w:t>
      </w:r>
    </w:p>
  </w:footnote>
  <w:footnote w:id="25">
    <w:p w:rsidR="00A75E62" w:rsidRPr="00BC25AD" w:rsidRDefault="00A75E62" w:rsidP="00A75E62">
      <w:pPr>
        <w:pStyle w:val="FootnoteText"/>
        <w:rPr>
          <w:lang w:val="nl-BE"/>
        </w:rPr>
      </w:pPr>
      <w:r>
        <w:rPr>
          <w:rStyle w:val="FootnoteReference"/>
        </w:rPr>
        <w:footnoteRef/>
      </w:r>
      <w:r w:rsidRPr="001F12DE">
        <w:rPr>
          <w:lang w:val="nl-BE"/>
        </w:rPr>
        <w:t xml:space="preserve"> </w:t>
      </w:r>
      <w:hyperlink r:id="rId13" w:history="1">
        <w:r w:rsidRPr="001F12DE">
          <w:rPr>
            <w:rStyle w:val="Hyperlink"/>
            <w:lang w:val="nl-BE"/>
          </w:rPr>
          <w:t>http://www.ehea.info/article-details.aspx?ArticleId=20</w:t>
        </w:r>
      </w:hyperlink>
      <w:r w:rsidRPr="001F12DE">
        <w:rPr>
          <w:lang w:val="nl-BE"/>
        </w:rPr>
        <w:t xml:space="preserve"> </w:t>
      </w:r>
    </w:p>
  </w:footnote>
  <w:footnote w:id="26">
    <w:p w:rsidR="00A75E62" w:rsidRPr="006F4996" w:rsidRDefault="00A75E62" w:rsidP="00A75E62">
      <w:pPr>
        <w:pStyle w:val="FootnoteText"/>
        <w:rPr>
          <w:lang w:val="en-US"/>
        </w:rPr>
      </w:pPr>
      <w:r>
        <w:rPr>
          <w:rStyle w:val="FootnoteReference"/>
        </w:rPr>
        <w:footnoteRef/>
      </w:r>
      <w:r w:rsidRPr="006F4996">
        <w:rPr>
          <w:lang w:val="en-US"/>
        </w:rPr>
        <w:t xml:space="preserve"> The Global Promotion Project (GPP) a two project funded by the European Commission to develop common marketing messages on study in Europe, a Study in Europe web portal and a pilot promotion network for study in Europe in non-European countries. </w:t>
      </w:r>
    </w:p>
  </w:footnote>
  <w:footnote w:id="27">
    <w:p w:rsidR="00A75E62" w:rsidRPr="006F4996" w:rsidRDefault="00A75E62" w:rsidP="00A75E62">
      <w:pPr>
        <w:pStyle w:val="FootnoteText"/>
        <w:rPr>
          <w:lang w:val="en-US"/>
        </w:rPr>
      </w:pPr>
      <w:r>
        <w:rPr>
          <w:rStyle w:val="FootnoteReference"/>
        </w:rPr>
        <w:footnoteRef/>
      </w:r>
      <w:r w:rsidRPr="006F4996">
        <w:rPr>
          <w:lang w:val="en-US"/>
        </w:rPr>
        <w:t xml:space="preserve"> </w:t>
      </w:r>
      <w:hyperlink r:id="rId14" w:history="1">
        <w:r w:rsidRPr="006F4996">
          <w:rPr>
            <w:rStyle w:val="Hyperlink"/>
            <w:lang w:val="en-US"/>
          </w:rPr>
          <w:t>www.aca-secretariat.be</w:t>
        </w:r>
      </w:hyperlink>
      <w:r w:rsidRPr="006F4996">
        <w:rPr>
          <w:lang w:val="en-US"/>
        </w:rPr>
        <w:t xml:space="preserve"> </w:t>
      </w:r>
    </w:p>
  </w:footnote>
  <w:footnote w:id="28">
    <w:p w:rsidR="00A75E62" w:rsidRPr="006F4996" w:rsidRDefault="00A75E62" w:rsidP="00A75E62">
      <w:pPr>
        <w:pStyle w:val="FootnoteText"/>
        <w:rPr>
          <w:lang w:val="en-US"/>
        </w:rPr>
      </w:pPr>
      <w:r>
        <w:rPr>
          <w:rStyle w:val="FootnoteReference"/>
        </w:rPr>
        <w:footnoteRef/>
      </w:r>
      <w:r w:rsidRPr="006F4996">
        <w:rPr>
          <w:lang w:val="en-US"/>
        </w:rPr>
        <w:t xml:space="preserve"> </w:t>
      </w:r>
      <w:hyperlink r:id="rId15" w:history="1">
        <w:r w:rsidRPr="006F4996">
          <w:rPr>
            <w:rStyle w:val="Hyperlink"/>
            <w:lang w:val="en-US"/>
          </w:rPr>
          <w:t>http://www.nuffic.nl/</w:t>
        </w:r>
      </w:hyperlink>
      <w:r w:rsidRPr="006F4996">
        <w:rPr>
          <w:lang w:val="en-US"/>
        </w:rPr>
        <w:t xml:space="preserve"> </w:t>
      </w:r>
    </w:p>
  </w:footnote>
  <w:footnote w:id="29">
    <w:p w:rsidR="00A75E62" w:rsidRPr="006F4996" w:rsidRDefault="00A75E62" w:rsidP="00A75E62">
      <w:pPr>
        <w:pStyle w:val="FootnoteText"/>
        <w:rPr>
          <w:lang w:val="en-US"/>
        </w:rPr>
      </w:pPr>
      <w:r>
        <w:rPr>
          <w:rStyle w:val="FootnoteReference"/>
        </w:rPr>
        <w:footnoteRef/>
      </w:r>
      <w:r w:rsidRPr="006F4996">
        <w:rPr>
          <w:lang w:val="en-US"/>
        </w:rPr>
        <w:t xml:space="preserve"> </w:t>
      </w:r>
      <w:hyperlink r:id="rId16" w:history="1">
        <w:r w:rsidRPr="006F4996">
          <w:rPr>
            <w:rStyle w:val="Hyperlink"/>
            <w:lang w:val="en-US"/>
          </w:rPr>
          <w:t>www.academicstockholm.se</w:t>
        </w:r>
      </w:hyperlink>
      <w:r w:rsidRPr="006F4996">
        <w:rPr>
          <w:lang w:val="en-US"/>
        </w:rPr>
        <w:t xml:space="preserve"> is an example of a campaign to promote university and HEIs in the Stockholm region on a common platform. </w:t>
      </w:r>
    </w:p>
  </w:footnote>
  <w:footnote w:id="30">
    <w:p w:rsidR="00A75E62" w:rsidRPr="006F4996" w:rsidRDefault="00A75E62" w:rsidP="00A75E62">
      <w:pPr>
        <w:pStyle w:val="FootnoteText"/>
        <w:rPr>
          <w:i/>
          <w:lang w:val="en-US"/>
        </w:rPr>
      </w:pPr>
      <w:r>
        <w:rPr>
          <w:rStyle w:val="FootnoteReference"/>
        </w:rPr>
        <w:footnoteRef/>
      </w:r>
      <w:r w:rsidRPr="006F4996">
        <w:rPr>
          <w:lang w:val="en-US"/>
        </w:rPr>
        <w:t xml:space="preserve"> A study published by the European University Association demonstrates that the majority of European university that have MOOCs are interested in using them for international visibility: </w:t>
      </w:r>
      <w:r w:rsidRPr="006F4996">
        <w:rPr>
          <w:i/>
          <w:lang w:val="en-US"/>
        </w:rPr>
        <w:t>E-Learning in European Higher Education Institutions, EUA Publications, 2014</w:t>
      </w:r>
    </w:p>
  </w:footnote>
  <w:footnote w:id="31">
    <w:p w:rsidR="00A75E62" w:rsidRPr="006F4996" w:rsidRDefault="00A75E62" w:rsidP="00A75E62">
      <w:pPr>
        <w:pStyle w:val="FootnoteText"/>
        <w:rPr>
          <w:lang w:val="en-US"/>
        </w:rPr>
      </w:pPr>
      <w:r>
        <w:rPr>
          <w:rStyle w:val="FootnoteReference"/>
        </w:rPr>
        <w:footnoteRef/>
      </w:r>
      <w:r w:rsidRPr="006F4996">
        <w:rPr>
          <w:lang w:val="en-US"/>
        </w:rPr>
        <w:t xml:space="preserve"> </w:t>
      </w:r>
      <w:hyperlink r:id="rId17" w:history="1">
        <w:r w:rsidRPr="006F4996">
          <w:rPr>
            <w:rStyle w:val="Hyperlink"/>
            <w:lang w:val="en-US"/>
          </w:rPr>
          <w:t>http://www.eaie.org/home.html</w:t>
        </w:r>
      </w:hyperlink>
      <w:r w:rsidRPr="006F4996">
        <w:rPr>
          <w:lang w:val="en-US"/>
        </w:rPr>
        <w:t xml:space="preserve"> </w:t>
      </w:r>
    </w:p>
  </w:footnote>
  <w:footnote w:id="32">
    <w:p w:rsidR="00A75E62" w:rsidRPr="006F4996" w:rsidRDefault="00A75E62" w:rsidP="00A75E62">
      <w:pPr>
        <w:pStyle w:val="FootnoteText"/>
        <w:rPr>
          <w:lang w:val="en-US"/>
        </w:rPr>
      </w:pPr>
      <w:r>
        <w:rPr>
          <w:rStyle w:val="FootnoteReference"/>
        </w:rPr>
        <w:footnoteRef/>
      </w:r>
      <w:r w:rsidRPr="006F4996">
        <w:rPr>
          <w:lang w:val="en-US"/>
        </w:rPr>
        <w:t xml:space="preserve"> </w:t>
      </w:r>
      <w:hyperlink r:id="rId18" w:history="1">
        <w:r w:rsidRPr="006F4996">
          <w:rPr>
            <w:rStyle w:val="Hyperlink"/>
            <w:lang w:val="en-US"/>
          </w:rPr>
          <w:t>http://www.baylat.org/start.html</w:t>
        </w:r>
      </w:hyperlink>
      <w:r w:rsidRPr="006F4996">
        <w:rPr>
          <w:lang w:val="en-US"/>
        </w:rPr>
        <w:t xml:space="preserve"> </w:t>
      </w:r>
    </w:p>
  </w:footnote>
  <w:footnote w:id="33">
    <w:p w:rsidR="00A75E62" w:rsidRPr="002540D5" w:rsidRDefault="00A75E62" w:rsidP="00A75E62">
      <w:pPr>
        <w:pStyle w:val="FootnoteText"/>
        <w:rPr>
          <w:lang w:val="en-US"/>
        </w:rPr>
      </w:pPr>
      <w:r>
        <w:rPr>
          <w:rStyle w:val="FootnoteReference"/>
        </w:rPr>
        <w:footnoteRef/>
      </w:r>
      <w:r w:rsidRPr="006F4996">
        <w:rPr>
          <w:lang w:val="en-US"/>
        </w:rPr>
        <w:t xml:space="preserve"> </w:t>
      </w:r>
      <w:r w:rsidRPr="002540D5">
        <w:rPr>
          <w:lang w:val="en-US"/>
        </w:rPr>
        <w:t>The forthcoming Bologna Implementation report for 2015 provides informat</w:t>
      </w:r>
      <w:r>
        <w:rPr>
          <w:lang w:val="en-US"/>
        </w:rPr>
        <w:t xml:space="preserve">ion on countries in the EHEA that </w:t>
      </w:r>
      <w:r w:rsidRPr="002540D5">
        <w:rPr>
          <w:lang w:val="en-US"/>
        </w:rPr>
        <w:t>report that national study portals and attractiv</w:t>
      </w:r>
      <w:r>
        <w:rPr>
          <w:lang w:val="en-US"/>
        </w:rPr>
        <w:t>en</w:t>
      </w:r>
      <w:r w:rsidRPr="002540D5">
        <w:rPr>
          <w:lang w:val="en-US"/>
        </w:rPr>
        <w:t xml:space="preserve">ess campaigns are </w:t>
      </w:r>
      <w:r>
        <w:rPr>
          <w:lang w:val="en-US"/>
        </w:rPr>
        <w:t xml:space="preserve">currently </w:t>
      </w:r>
      <w:r w:rsidRPr="002540D5">
        <w:rPr>
          <w:lang w:val="en-US"/>
        </w:rPr>
        <w:t>being developed</w:t>
      </w:r>
      <w:r>
        <w:rPr>
          <w:lang w:val="en-US"/>
        </w:rPr>
        <w:t>.</w:t>
      </w:r>
    </w:p>
  </w:footnote>
  <w:footnote w:id="34">
    <w:p w:rsidR="00A75E62" w:rsidRPr="00B52EE1" w:rsidRDefault="00A75E62" w:rsidP="00A75E62">
      <w:pPr>
        <w:pStyle w:val="FootnoteText"/>
        <w:rPr>
          <w:lang w:val="en-US"/>
        </w:rPr>
      </w:pPr>
      <w:r>
        <w:rPr>
          <w:rStyle w:val="FootnoteReference"/>
        </w:rPr>
        <w:footnoteRef/>
      </w:r>
      <w:r w:rsidRPr="006F4996">
        <w:rPr>
          <w:lang w:val="en-US"/>
        </w:rPr>
        <w:t xml:space="preserve"> </w:t>
      </w:r>
      <w:hyperlink r:id="rId19" w:history="1">
        <w:r w:rsidRPr="006F4996">
          <w:rPr>
            <w:rStyle w:val="Hyperlink"/>
            <w:lang w:val="en-US"/>
          </w:rPr>
          <w:t>http://www.europosgrados.org/</w:t>
        </w:r>
      </w:hyperlink>
      <w:r w:rsidRPr="006F4996">
        <w:rPr>
          <w:lang w:val="en-US"/>
        </w:rPr>
        <w:t xml:space="preserve"> </w:t>
      </w:r>
    </w:p>
  </w:footnote>
  <w:footnote w:id="35">
    <w:p w:rsidR="00A75E62" w:rsidRPr="00690974" w:rsidRDefault="00A75E62" w:rsidP="00A75E62">
      <w:pPr>
        <w:pStyle w:val="Heading2"/>
        <w:spacing w:before="0" w:after="0"/>
        <w:rPr>
          <w:rFonts w:ascii="Calibri" w:hAnsi="Calibri"/>
          <w:b w:val="0"/>
          <w:i w:val="0"/>
          <w:sz w:val="20"/>
          <w:szCs w:val="20"/>
        </w:rPr>
      </w:pPr>
      <w:r w:rsidRPr="00690974">
        <w:rPr>
          <w:rStyle w:val="FootnoteReference"/>
          <w:rFonts w:ascii="Calibri" w:hAnsi="Calibri"/>
          <w:b w:val="0"/>
          <w:i w:val="0"/>
        </w:rPr>
        <w:footnoteRef/>
      </w:r>
      <w:r w:rsidRPr="00690974">
        <w:rPr>
          <w:rFonts w:ascii="Calibri" w:hAnsi="Calibri"/>
          <w:b w:val="0"/>
          <w:i w:val="0"/>
          <w:sz w:val="20"/>
          <w:szCs w:val="20"/>
        </w:rPr>
        <w:t xml:space="preserve"> </w:t>
      </w:r>
      <w:proofErr w:type="gramStart"/>
      <w:r w:rsidRPr="00690974">
        <w:rPr>
          <w:rFonts w:ascii="Calibri" w:hAnsi="Calibri"/>
          <w:b w:val="0"/>
          <w:i w:val="0"/>
          <w:sz w:val="20"/>
          <w:szCs w:val="20"/>
        </w:rPr>
        <w:t>English-Taught Programmes in European Higher Education.</w:t>
      </w:r>
      <w:proofErr w:type="gramEnd"/>
      <w:r w:rsidRPr="00690974">
        <w:rPr>
          <w:rFonts w:ascii="Calibri" w:hAnsi="Calibri"/>
          <w:b w:val="0"/>
          <w:i w:val="0"/>
          <w:sz w:val="20"/>
          <w:szCs w:val="20"/>
        </w:rPr>
        <w:t xml:space="preserve"> </w:t>
      </w:r>
      <w:r w:rsidRPr="006F4996">
        <w:rPr>
          <w:rFonts w:ascii="Calibri" w:hAnsi="Calibri"/>
          <w:b w:val="0"/>
          <w:i w:val="0"/>
          <w:sz w:val="20"/>
          <w:szCs w:val="20"/>
          <w:lang w:val="de-DE"/>
        </w:rPr>
        <w:t xml:space="preserve">The Picture in 2007: Wächter, Bernd &amp; </w:t>
      </w:r>
      <w:proofErr w:type="spellStart"/>
      <w:r w:rsidRPr="006F4996">
        <w:rPr>
          <w:rFonts w:ascii="Calibri" w:hAnsi="Calibri"/>
          <w:b w:val="0"/>
          <w:i w:val="0"/>
          <w:sz w:val="20"/>
          <w:szCs w:val="20"/>
          <w:lang w:val="de-DE"/>
        </w:rPr>
        <w:t>Maiworm</w:t>
      </w:r>
      <w:proofErr w:type="spellEnd"/>
      <w:r w:rsidRPr="006F4996">
        <w:rPr>
          <w:rFonts w:ascii="Calibri" w:hAnsi="Calibri"/>
          <w:b w:val="0"/>
          <w:i w:val="0"/>
          <w:sz w:val="20"/>
          <w:szCs w:val="20"/>
          <w:lang w:val="de-DE"/>
        </w:rPr>
        <w:t xml:space="preserve">, Friedhelm. Bonn: </w:t>
      </w:r>
      <w:proofErr w:type="spellStart"/>
      <w:r w:rsidRPr="006F4996">
        <w:rPr>
          <w:rFonts w:ascii="Calibri" w:hAnsi="Calibri"/>
          <w:b w:val="0"/>
          <w:i w:val="0"/>
          <w:sz w:val="20"/>
          <w:szCs w:val="20"/>
          <w:lang w:val="de-DE"/>
        </w:rPr>
        <w:t>Lemmens</w:t>
      </w:r>
      <w:proofErr w:type="spellEnd"/>
      <w:r w:rsidRPr="006F4996">
        <w:rPr>
          <w:rFonts w:ascii="Calibri" w:hAnsi="Calibri"/>
          <w:b w:val="0"/>
          <w:i w:val="0"/>
          <w:sz w:val="20"/>
          <w:szCs w:val="20"/>
          <w:lang w:val="de-DE"/>
        </w:rPr>
        <w:t xml:space="preserve">, 2008. </w:t>
      </w:r>
      <w:proofErr w:type="gramStart"/>
      <w:r w:rsidRPr="00690974">
        <w:rPr>
          <w:rFonts w:ascii="Calibri" w:hAnsi="Calibri"/>
          <w:b w:val="0"/>
          <w:i w:val="0"/>
          <w:sz w:val="20"/>
          <w:szCs w:val="20"/>
        </w:rPr>
        <w:t>ISBN 978-3-932306-89-1.</w:t>
      </w:r>
      <w:proofErr w:type="gramEnd"/>
      <w:r w:rsidRPr="00690974">
        <w:rPr>
          <w:rFonts w:ascii="Calibri" w:hAnsi="Calibri"/>
          <w:b w:val="0"/>
          <w:i w:val="0"/>
          <w:sz w:val="20"/>
          <w:szCs w:val="20"/>
        </w:rPr>
        <w:t xml:space="preserve"> ACA is publishing an update of this in 2014*</w:t>
      </w:r>
    </w:p>
  </w:footnote>
  <w:footnote w:id="36">
    <w:p w:rsidR="00A75E62" w:rsidRPr="006F4996" w:rsidRDefault="00A75E62" w:rsidP="00A75E62">
      <w:pPr>
        <w:pStyle w:val="FootnoteText"/>
        <w:rPr>
          <w:lang w:val="en-US"/>
        </w:rPr>
      </w:pPr>
      <w:r>
        <w:rPr>
          <w:rStyle w:val="FootnoteReference"/>
        </w:rPr>
        <w:footnoteRef/>
      </w:r>
      <w:r w:rsidRPr="006F4996">
        <w:rPr>
          <w:lang w:val="en-US"/>
        </w:rPr>
        <w:t xml:space="preserve"> E-Learning in European Higher Education Institutions, EUA Publications, 2014</w:t>
      </w:r>
    </w:p>
  </w:footnote>
  <w:footnote w:id="37">
    <w:p w:rsidR="00A75E62" w:rsidRPr="006F4996" w:rsidRDefault="00A75E62" w:rsidP="00A75E62">
      <w:pPr>
        <w:pStyle w:val="FootnoteText"/>
        <w:rPr>
          <w:lang w:val="en-US"/>
        </w:rPr>
      </w:pPr>
      <w:r>
        <w:rPr>
          <w:rStyle w:val="FootnoteReference"/>
        </w:rPr>
        <w:footnoteRef/>
      </w:r>
      <w:r w:rsidRPr="006F4996">
        <w:rPr>
          <w:lang w:val="en-US"/>
        </w:rPr>
        <w:t xml:space="preserve"> </w:t>
      </w:r>
      <w:hyperlink r:id="rId20" w:history="1">
        <w:r w:rsidRPr="006F4996">
          <w:rPr>
            <w:rStyle w:val="Hyperlink"/>
            <w:lang w:val="en-US"/>
          </w:rPr>
          <w:t>http://www.consilium.europa.eu/policies/era/sfic</w:t>
        </w:r>
      </w:hyperlink>
      <w:r w:rsidRPr="006F4996">
        <w:rPr>
          <w:lang w:val="en-US"/>
        </w:rPr>
        <w:t xml:space="preserve"> </w:t>
      </w:r>
    </w:p>
  </w:footnote>
  <w:footnote w:id="38">
    <w:p w:rsidR="00A75E62" w:rsidRPr="006F4996" w:rsidRDefault="00A75E62" w:rsidP="00A75E62">
      <w:pPr>
        <w:pStyle w:val="ListParagraph"/>
        <w:autoSpaceDE w:val="0"/>
        <w:autoSpaceDN w:val="0"/>
        <w:adjustRightInd w:val="0"/>
        <w:ind w:left="0"/>
        <w:rPr>
          <w:rFonts w:cs="Calibri"/>
        </w:rPr>
      </w:pPr>
      <w:r>
        <w:rPr>
          <w:rStyle w:val="FootnoteReference"/>
        </w:rPr>
        <w:footnoteRef/>
      </w:r>
      <w:r w:rsidRPr="006F4996">
        <w:t xml:space="preserve"> </w:t>
      </w:r>
      <w:hyperlink r:id="rId21" w:history="1">
        <w:r w:rsidRPr="006F4996">
          <w:rPr>
            <w:rStyle w:val="Hyperlink"/>
            <w:rFonts w:cs="Calibri"/>
          </w:rPr>
          <w:t>http://www.gate-germany.de/angebote/expertenwissen/international-student-barometer.html</w:t>
        </w:r>
      </w:hyperlink>
    </w:p>
  </w:footnote>
  <w:footnote w:id="39">
    <w:p w:rsidR="00A75E62" w:rsidRPr="006F4996" w:rsidRDefault="00A75E62" w:rsidP="00A75E62">
      <w:pPr>
        <w:pStyle w:val="ListParagraph"/>
        <w:ind w:left="0"/>
        <w:rPr>
          <w:rFonts w:cs="Calibri"/>
          <w:sz w:val="20"/>
          <w:szCs w:val="20"/>
        </w:rPr>
      </w:pPr>
      <w:r>
        <w:rPr>
          <w:rStyle w:val="FootnoteReference"/>
        </w:rPr>
        <w:footnoteRef/>
      </w:r>
      <w:r w:rsidRPr="006F4996">
        <w:t xml:space="preserve"> </w:t>
      </w:r>
      <w:hyperlink r:id="rId22" w:history="1">
        <w:r w:rsidRPr="006F4996">
          <w:rPr>
            <w:rStyle w:val="Hyperlink"/>
            <w:rFonts w:cs="Calibri"/>
            <w:sz w:val="20"/>
            <w:szCs w:val="20"/>
          </w:rPr>
          <w:t>http://www.hrk.de/positionen/gesamtliste-beschluesse/position/convention/nationaler-kodex-fuer-das-auslaenderstudium-an-deutschen-hochschulen/</w:t>
        </w:r>
      </w:hyperlink>
      <w:r w:rsidRPr="006F4996">
        <w:rPr>
          <w:rFonts w:cs="Calibri"/>
          <w:sz w:val="20"/>
          <w:szCs w:val="20"/>
        </w:rPr>
        <w:t xml:space="preserve"> </w:t>
      </w:r>
    </w:p>
  </w:footnote>
  <w:footnote w:id="40">
    <w:p w:rsidR="00A75E62" w:rsidRPr="006F4996" w:rsidRDefault="00A75E62" w:rsidP="00A75E62">
      <w:pPr>
        <w:spacing w:after="0"/>
        <w:rPr>
          <w:rFonts w:cs="Arial"/>
          <w:color w:val="FF00FF"/>
          <w:sz w:val="20"/>
          <w:szCs w:val="20"/>
          <w:u w:val="single"/>
        </w:rPr>
      </w:pPr>
      <w:r w:rsidRPr="00690974">
        <w:rPr>
          <w:rStyle w:val="FootnoteReference"/>
        </w:rPr>
        <w:footnoteRef/>
      </w:r>
      <w:r w:rsidRPr="006F4996">
        <w:rPr>
          <w:sz w:val="20"/>
          <w:szCs w:val="20"/>
        </w:rPr>
        <w:t xml:space="preserve"> </w:t>
      </w:r>
      <w:hyperlink r:id="rId23" w:history="1">
        <w:r w:rsidRPr="006F4996">
          <w:rPr>
            <w:rStyle w:val="Hyperlink"/>
            <w:rFonts w:cs="Arial"/>
            <w:sz w:val="20"/>
            <w:szCs w:val="20"/>
          </w:rPr>
          <w:t>http://www.campusfrance.org/en/page/promoting-french-higher-education</w:t>
        </w:r>
      </w:hyperlink>
      <w:r w:rsidRPr="006F4996">
        <w:rPr>
          <w:rFonts w:cs="Arial"/>
          <w:color w:val="FF00FF"/>
          <w:sz w:val="20"/>
          <w:szCs w:val="20"/>
          <w:u w:val="single"/>
        </w:rPr>
        <w:t xml:space="preserve"> </w:t>
      </w:r>
    </w:p>
  </w:footnote>
  <w:footnote w:id="41">
    <w:p w:rsidR="00A75E62" w:rsidRPr="006F4996" w:rsidRDefault="00A75E62" w:rsidP="00A75E62">
      <w:pPr>
        <w:pStyle w:val="DokumentOverskrift"/>
        <w:rPr>
          <w:rFonts w:ascii="Calibri" w:hAnsi="Calibri"/>
          <w:b w:val="0"/>
          <w:sz w:val="20"/>
          <w:lang w:val="en-US"/>
        </w:rPr>
      </w:pPr>
      <w:r w:rsidRPr="00690974">
        <w:rPr>
          <w:rStyle w:val="FootnoteReference"/>
          <w:rFonts w:ascii="Calibri" w:hAnsi="Calibri"/>
          <w:b w:val="0"/>
        </w:rPr>
        <w:footnoteRef/>
      </w:r>
      <w:r w:rsidRPr="006F4996">
        <w:rPr>
          <w:rFonts w:ascii="Calibri" w:hAnsi="Calibri"/>
          <w:b w:val="0"/>
          <w:sz w:val="20"/>
          <w:lang w:val="en-US"/>
        </w:rPr>
        <w:t xml:space="preserve"> </w:t>
      </w:r>
      <w:hyperlink r:id="rId24" w:history="1">
        <w:r w:rsidRPr="006F4996">
          <w:rPr>
            <w:rStyle w:val="Hyperlink"/>
            <w:rFonts w:ascii="Calibri" w:hAnsi="Calibri"/>
            <w:b w:val="0"/>
            <w:sz w:val="20"/>
            <w:lang w:val="en-US"/>
          </w:rPr>
          <w:t>http://ufm.dk/en/publications/2013/english-summary-enhanced-insight-through-global-outlook</w:t>
        </w:r>
      </w:hyperlink>
      <w:r w:rsidRPr="006F4996">
        <w:rPr>
          <w:rFonts w:ascii="Calibri" w:hAnsi="Calibri"/>
          <w:b w:val="0"/>
          <w:sz w:val="20"/>
          <w:lang w:val="en-US"/>
        </w:rPr>
        <w:t xml:space="preserve"> </w:t>
      </w:r>
    </w:p>
  </w:footnote>
  <w:footnote w:id="42">
    <w:p w:rsidR="00A75E62" w:rsidRPr="006F4996" w:rsidRDefault="00A75E62" w:rsidP="00A75E62">
      <w:pPr>
        <w:keepNext/>
        <w:keepLines/>
      </w:pPr>
      <w:r>
        <w:rPr>
          <w:rStyle w:val="FootnoteReference"/>
        </w:rPr>
        <w:footnoteRef/>
      </w:r>
      <w:r w:rsidRPr="006F4996">
        <w:t xml:space="preserve"> </w:t>
      </w:r>
      <w:hyperlink r:id="rId25" w:history="1">
        <w:r w:rsidRPr="006F4996">
          <w:rPr>
            <w:rStyle w:val="Hyperlink"/>
          </w:rPr>
          <w:t>http://ufm.dk/en/publications/2014/denmark-an-attractive-study-destination</w:t>
        </w:r>
      </w:hyperlink>
    </w:p>
    <w:p w:rsidR="00A75E62" w:rsidRPr="006F4996" w:rsidRDefault="00A75E62" w:rsidP="00A75E62">
      <w:pPr>
        <w:pStyle w:val="FootnoteText"/>
        <w:rPr>
          <w:lang w:val="en-US"/>
        </w:rPr>
      </w:pPr>
    </w:p>
  </w:footnote>
  <w:footnote w:id="43">
    <w:p w:rsidR="00A75E62" w:rsidRPr="006F4996" w:rsidRDefault="00A75E62" w:rsidP="00A75E62">
      <w:pPr>
        <w:pStyle w:val="FootnoteText"/>
        <w:rPr>
          <w:lang w:val="en-US"/>
        </w:rPr>
      </w:pPr>
      <w:r>
        <w:rPr>
          <w:rStyle w:val="FootnoteReference"/>
        </w:rPr>
        <w:footnoteRef/>
      </w:r>
      <w:r w:rsidRPr="006F4996">
        <w:rPr>
          <w:lang w:val="en-US"/>
        </w:rPr>
        <w:t xml:space="preserve"> </w:t>
      </w:r>
      <w:hyperlink r:id="rId26" w:history="1">
        <w:r w:rsidRPr="006F4996">
          <w:rPr>
            <w:rStyle w:val="Hyperlink"/>
            <w:lang w:val="en-US"/>
          </w:rPr>
          <w:t>http://ec.europa.eu/euraxess/index.cfm/services/scientificVisa</w:t>
        </w:r>
      </w:hyperlink>
      <w:r w:rsidRPr="006F4996">
        <w:rPr>
          <w:lang w:val="en-US"/>
        </w:rPr>
        <w:t xml:space="preserve"> </w:t>
      </w:r>
    </w:p>
  </w:footnote>
  <w:footnote w:id="44">
    <w:p w:rsidR="00A75E62" w:rsidRPr="00690974" w:rsidRDefault="00A75E62" w:rsidP="00A75E62">
      <w:pPr>
        <w:pStyle w:val="Heading2"/>
        <w:spacing w:before="0" w:after="0" w:line="240" w:lineRule="auto"/>
        <w:rPr>
          <w:rFonts w:ascii="Calibri" w:hAnsi="Calibri"/>
          <w:b w:val="0"/>
          <w:sz w:val="20"/>
          <w:szCs w:val="20"/>
        </w:rPr>
      </w:pPr>
      <w:r w:rsidRPr="00690974">
        <w:rPr>
          <w:rStyle w:val="FootnoteReference"/>
          <w:rFonts w:ascii="Calibri" w:hAnsi="Calibri"/>
        </w:rPr>
        <w:footnoteRef/>
      </w:r>
      <w:r w:rsidRPr="00690974">
        <w:rPr>
          <w:rFonts w:ascii="Calibri" w:hAnsi="Calibri"/>
          <w:sz w:val="20"/>
          <w:szCs w:val="20"/>
        </w:rPr>
        <w:t xml:space="preserve"> </w:t>
      </w:r>
      <w:r w:rsidRPr="00690974">
        <w:rPr>
          <w:rFonts w:ascii="Calibri" w:hAnsi="Calibri"/>
          <w:b w:val="0"/>
          <w:sz w:val="20"/>
          <w:szCs w:val="20"/>
        </w:rPr>
        <w:t xml:space="preserve">Portable State Grants and Loans An overview and their contribution to outgoing student mobility (ACA, 2013): </w:t>
      </w:r>
      <w:hyperlink r:id="rId27" w:history="1">
        <w:r w:rsidRPr="00690974">
          <w:rPr>
            <w:rStyle w:val="Hyperlink"/>
            <w:rFonts w:ascii="Calibri" w:hAnsi="Calibri"/>
            <w:b w:val="0"/>
            <w:sz w:val="20"/>
            <w:szCs w:val="20"/>
          </w:rPr>
          <w:t>http://www.aca-secretariat.be/index.php?id=4</w:t>
        </w:r>
      </w:hyperlink>
      <w:r w:rsidRPr="00690974">
        <w:rPr>
          <w:rFonts w:ascii="Calibri" w:hAnsi="Calibri"/>
          <w:b w:val="0"/>
          <w:i w:val="0"/>
          <w:sz w:val="20"/>
          <w:szCs w:val="20"/>
        </w:rPr>
        <w:t xml:space="preserve"> and </w:t>
      </w:r>
      <w:r w:rsidRPr="00690974">
        <w:rPr>
          <w:rStyle w:val="Strong"/>
          <w:rFonts w:ascii="Calibri" w:hAnsi="Calibri"/>
          <w:sz w:val="20"/>
          <w:szCs w:val="20"/>
        </w:rPr>
        <w:t>Towards a Mobility Scoreboard: Conditions for</w:t>
      </w:r>
      <w:r w:rsidRPr="003469A3">
        <w:rPr>
          <w:rStyle w:val="Strong"/>
          <w:sz w:val="20"/>
          <w:szCs w:val="20"/>
        </w:rPr>
        <w:t xml:space="preserve"> Learning </w:t>
      </w:r>
      <w:r w:rsidRPr="002A11C4">
        <w:rPr>
          <w:rStyle w:val="Strong"/>
          <w:sz w:val="20"/>
          <w:szCs w:val="20"/>
        </w:rPr>
        <w:t xml:space="preserve">Abroad in Europe (Eurydice, 2014): </w:t>
      </w:r>
      <w:hyperlink r:id="rId28" w:history="1">
        <w:r w:rsidRPr="002A11C4">
          <w:rPr>
            <w:rStyle w:val="Hyperlink"/>
            <w:b w:val="0"/>
            <w:sz w:val="20"/>
            <w:szCs w:val="20"/>
          </w:rPr>
          <w:t>http://eacea.ec.europa.eu/education/eurydice/thematic_reports_en.php</w:t>
        </w:r>
      </w:hyperlink>
      <w:r w:rsidRPr="002A11C4">
        <w:rPr>
          <w:rStyle w:val="Strong"/>
          <w:b/>
          <w:sz w:val="20"/>
          <w:szCs w:val="20"/>
        </w:rPr>
        <w:t xml:space="preserve"> </w:t>
      </w:r>
    </w:p>
    <w:p w:rsidR="00A75E62" w:rsidRPr="006F4996" w:rsidRDefault="00A75E62" w:rsidP="00A75E62">
      <w:pPr>
        <w:pStyle w:val="FootnoteText"/>
        <w:rPr>
          <w:lang w:val="en-US"/>
        </w:rPr>
      </w:pPr>
    </w:p>
  </w:footnote>
  <w:footnote w:id="45">
    <w:p w:rsidR="00A75E62" w:rsidRPr="006F4996" w:rsidRDefault="00A75E62" w:rsidP="00A75E62">
      <w:pPr>
        <w:spacing w:after="0" w:line="240" w:lineRule="auto"/>
        <w:rPr>
          <w:sz w:val="20"/>
          <w:szCs w:val="20"/>
        </w:rPr>
      </w:pPr>
      <w:r>
        <w:rPr>
          <w:rStyle w:val="FootnoteReference"/>
        </w:rPr>
        <w:footnoteRef/>
      </w:r>
      <w:hyperlink r:id="rId29" w:history="1">
        <w:r w:rsidRPr="006F4996">
          <w:rPr>
            <w:rStyle w:val="Hyperlink"/>
            <w:rFonts w:cs="Calibri"/>
            <w:sz w:val="20"/>
            <w:szCs w:val="20"/>
          </w:rPr>
          <w:t>http://www.ehea.info/Uploads/presentations/IPN%20Survey%20Report%2025%20March%202011.pdf</w:t>
        </w:r>
      </w:hyperlink>
    </w:p>
  </w:footnote>
  <w:footnote w:id="46">
    <w:p w:rsidR="00A75E62" w:rsidRPr="006F4996" w:rsidRDefault="00A75E62" w:rsidP="00A75E62">
      <w:pPr>
        <w:pStyle w:val="FootnoteText"/>
        <w:rPr>
          <w:lang w:val="en-US"/>
        </w:rPr>
      </w:pPr>
      <w:r w:rsidRPr="006779C1">
        <w:rPr>
          <w:rStyle w:val="FootnoteReference"/>
        </w:rPr>
        <w:footnoteRef/>
      </w:r>
      <w:r w:rsidRPr="006F4996">
        <w:rPr>
          <w:lang w:val="en-US"/>
        </w:rPr>
        <w:t xml:space="preserve"> </w:t>
      </w:r>
      <w:hyperlink r:id="rId30" w:history="1">
        <w:r w:rsidRPr="006F4996">
          <w:rPr>
            <w:rStyle w:val="Hyperlink"/>
            <w:lang w:val="en-US"/>
          </w:rPr>
          <w:t>http://www.cienciasemfronteiras.gov.br/web/csf-eng/</w:t>
        </w:r>
      </w:hyperlink>
      <w:r w:rsidRPr="006F4996">
        <w:rPr>
          <w:lang w:val="en-US"/>
        </w:rPr>
        <w:t xml:space="preserve"> </w:t>
      </w:r>
    </w:p>
  </w:footnote>
  <w:footnote w:id="47">
    <w:p w:rsidR="00A75E62" w:rsidRPr="006F4996" w:rsidRDefault="00A75E62" w:rsidP="00A75E62">
      <w:pPr>
        <w:pStyle w:val="FootnoteText"/>
        <w:rPr>
          <w:lang w:val="en-US"/>
        </w:rPr>
      </w:pPr>
      <w:r>
        <w:rPr>
          <w:rStyle w:val="FootnoteReference"/>
        </w:rPr>
        <w:footnoteRef/>
      </w:r>
      <w:r w:rsidRPr="006F4996">
        <w:rPr>
          <w:lang w:val="en-US"/>
        </w:rPr>
        <w:t xml:space="preserve"> A current </w:t>
      </w:r>
      <w:proofErr w:type="spellStart"/>
      <w:r w:rsidRPr="006F4996">
        <w:rPr>
          <w:lang w:val="en-US"/>
        </w:rPr>
        <w:t>Eramus</w:t>
      </w:r>
      <w:proofErr w:type="spellEnd"/>
      <w:r w:rsidRPr="006F4996">
        <w:rPr>
          <w:lang w:val="en-US"/>
        </w:rPr>
        <w:t xml:space="preserve"> Mundus funded project ‘ALISIOS (Academic Links and Strategies for the </w:t>
      </w:r>
      <w:proofErr w:type="spellStart"/>
      <w:r w:rsidRPr="006F4996">
        <w:rPr>
          <w:lang w:val="en-US"/>
        </w:rPr>
        <w:t>Internationalisation</w:t>
      </w:r>
      <w:proofErr w:type="spellEnd"/>
      <w:r w:rsidRPr="006F4996">
        <w:rPr>
          <w:lang w:val="en-US"/>
        </w:rPr>
        <w:t xml:space="preserve"> of the HE Sector) is providing a platform for national agencies managing </w:t>
      </w:r>
      <w:proofErr w:type="spellStart"/>
      <w:r w:rsidRPr="006F4996">
        <w:rPr>
          <w:lang w:val="en-US"/>
        </w:rPr>
        <w:t>SwB</w:t>
      </w:r>
      <w:proofErr w:type="spellEnd"/>
      <w:r w:rsidRPr="006F4996">
        <w:rPr>
          <w:lang w:val="en-US"/>
        </w:rPr>
        <w:t xml:space="preserve"> in Europe to come together and share practice: </w:t>
      </w:r>
      <w:hyperlink r:id="rId31" w:history="1">
        <w:r w:rsidRPr="006F4996">
          <w:rPr>
            <w:rStyle w:val="Hyperlink"/>
            <w:lang w:val="en-US"/>
          </w:rPr>
          <w:t>http://www.alisios-project.eu/about</w:t>
        </w:r>
      </w:hyperlink>
      <w:r w:rsidRPr="006F4996">
        <w:rPr>
          <w:lang w:val="en-US"/>
        </w:rPr>
        <w:t xml:space="preserve"> </w:t>
      </w:r>
    </w:p>
  </w:footnote>
  <w:footnote w:id="48">
    <w:p w:rsidR="00A75E62" w:rsidRPr="006F4996" w:rsidRDefault="00A75E62" w:rsidP="00A75E62">
      <w:pPr>
        <w:pStyle w:val="FootnoteText"/>
        <w:rPr>
          <w:lang w:val="en-US"/>
        </w:rPr>
      </w:pPr>
      <w:r>
        <w:rPr>
          <w:rStyle w:val="FootnoteReference"/>
        </w:rPr>
        <w:footnoteRef/>
      </w:r>
      <w:r w:rsidRPr="006F4996">
        <w:rPr>
          <w:lang w:val="en-US"/>
        </w:rPr>
        <w:t xml:space="preserve"> Lower Developed Countries</w:t>
      </w:r>
    </w:p>
  </w:footnote>
  <w:footnote w:id="49">
    <w:p w:rsidR="00A75E62" w:rsidRPr="006F4996" w:rsidRDefault="00A75E62" w:rsidP="00A75E62">
      <w:pPr>
        <w:pStyle w:val="FootnoteText"/>
        <w:rPr>
          <w:lang w:val="en-US"/>
        </w:rPr>
      </w:pPr>
      <w:r>
        <w:rPr>
          <w:rStyle w:val="FootnoteReference"/>
        </w:rPr>
        <w:footnoteRef/>
      </w:r>
      <w:r w:rsidRPr="006F4996">
        <w:rPr>
          <w:lang w:val="en-US"/>
        </w:rPr>
        <w:t xml:space="preserve"> See 2012 report by the EUA ‘Cooperation on Doctoral Education between Europe, Latin America, Asia and Africa’: </w:t>
      </w:r>
      <w:hyperlink r:id="rId32" w:history="1">
        <w:r w:rsidRPr="006F4996">
          <w:rPr>
            <w:rStyle w:val="Hyperlink"/>
            <w:lang w:val="en-US"/>
          </w:rPr>
          <w:t>http://www.eua.be/codoc.aspx</w:t>
        </w:r>
      </w:hyperlink>
      <w:r w:rsidRPr="006F4996">
        <w:rPr>
          <w:lang w:val="en-US"/>
        </w:rPr>
        <w:t xml:space="preserve"> </w:t>
      </w:r>
    </w:p>
  </w:footnote>
  <w:footnote w:id="50">
    <w:p w:rsidR="00A75E62" w:rsidRPr="006F4996" w:rsidRDefault="00A75E62" w:rsidP="00A75E62">
      <w:pPr>
        <w:pStyle w:val="FootnoteText"/>
        <w:rPr>
          <w:lang w:val="en-US"/>
        </w:rPr>
      </w:pPr>
      <w:r>
        <w:rPr>
          <w:rStyle w:val="FootnoteReference"/>
        </w:rPr>
        <w:footnoteRef/>
      </w:r>
      <w:r w:rsidRPr="006F4996">
        <w:rPr>
          <w:lang w:val="en-US"/>
        </w:rPr>
        <w:t xml:space="preserve"> Many of them also EHEA members</w:t>
      </w:r>
    </w:p>
  </w:footnote>
  <w:footnote w:id="51">
    <w:p w:rsidR="00A75E62" w:rsidRPr="006F4996" w:rsidRDefault="00A75E62" w:rsidP="00A75E62">
      <w:pPr>
        <w:spacing w:line="240" w:lineRule="auto"/>
        <w:jc w:val="both"/>
        <w:rPr>
          <w:i/>
        </w:rPr>
      </w:pPr>
      <w:r>
        <w:rPr>
          <w:rStyle w:val="FootnoteReference"/>
        </w:rPr>
        <w:footnoteRef/>
      </w:r>
      <w:r w:rsidRPr="006F4996">
        <w:t xml:space="preserve"> </w:t>
      </w:r>
      <w:hyperlink r:id="rId33" w:history="1">
        <w:r w:rsidRPr="006F4996">
          <w:rPr>
            <w:rStyle w:val="Hyperlink"/>
            <w:sz w:val="20"/>
            <w:szCs w:val="20"/>
          </w:rPr>
          <w:t>http://global-innovation-initiative.org/about-the-initiative/</w:t>
        </w:r>
      </w:hyperlink>
      <w:r w:rsidRPr="006F4996">
        <w:rPr>
          <w:i/>
        </w:rPr>
        <w:t xml:space="preserve"> </w:t>
      </w:r>
    </w:p>
    <w:p w:rsidR="00A75E62" w:rsidRPr="006F4996" w:rsidRDefault="00A75E62" w:rsidP="00A75E62">
      <w:pPr>
        <w:pStyle w:val="FootnoteText"/>
        <w:rPr>
          <w:lang w:val="en-US"/>
        </w:rPr>
      </w:pPr>
    </w:p>
  </w:footnote>
  <w:footnote w:id="52">
    <w:p w:rsidR="00A75E62" w:rsidRPr="0081717C" w:rsidRDefault="00A75E62" w:rsidP="00A75E62">
      <w:pPr>
        <w:pStyle w:val="FootnoteText"/>
        <w:rPr>
          <w:lang w:val="en-US"/>
        </w:rPr>
      </w:pPr>
      <w:r>
        <w:rPr>
          <w:rStyle w:val="FootnoteReference"/>
        </w:rPr>
        <w:footnoteRef/>
      </w:r>
      <w:r w:rsidRPr="0081717C">
        <w:rPr>
          <w:lang w:val="en-US"/>
        </w:rPr>
        <w:t xml:space="preserve"> cite</w:t>
      </w:r>
    </w:p>
  </w:footnote>
  <w:footnote w:id="53">
    <w:p w:rsidR="00A75E62" w:rsidRPr="0081717C" w:rsidRDefault="00A75E62" w:rsidP="00A75E62">
      <w:pPr>
        <w:pStyle w:val="FootnoteText"/>
        <w:rPr>
          <w:lang w:val="en-US"/>
        </w:rPr>
      </w:pPr>
      <w:r w:rsidRPr="0081717C">
        <w:rPr>
          <w:rStyle w:val="FootnoteReference"/>
        </w:rPr>
        <w:footnoteRef/>
      </w:r>
      <w:r w:rsidRPr="0081717C">
        <w:rPr>
          <w:lang w:val="en-US"/>
        </w:rPr>
        <w:t xml:space="preserve"> </w:t>
      </w:r>
      <w:r w:rsidRPr="006F4996">
        <w:rPr>
          <w:lang w:val="en-US"/>
        </w:rPr>
        <w:t xml:space="preserve">The Netherlands Initiative for Capacity development in Higher Education </w:t>
      </w:r>
      <w:r w:rsidRPr="006F4996">
        <w:rPr>
          <w:b/>
          <w:lang w:val="en-US"/>
        </w:rPr>
        <w:t xml:space="preserve">(NICHE) </w:t>
      </w:r>
      <w:r w:rsidRPr="006F4996">
        <w:rPr>
          <w:lang w:val="en-US"/>
        </w:rPr>
        <w:t xml:space="preserve">is a Netherlands-funded development cooperation </w:t>
      </w:r>
      <w:proofErr w:type="spellStart"/>
      <w:r w:rsidRPr="006F4996">
        <w:rPr>
          <w:lang w:val="en-US"/>
        </w:rPr>
        <w:t>programme</w:t>
      </w:r>
      <w:proofErr w:type="spellEnd"/>
      <w:r w:rsidRPr="006F4996">
        <w:rPr>
          <w:lang w:val="en-US"/>
        </w:rPr>
        <w:t xml:space="preserve"> for university partnerships. By sustainably strengthening higher education and technical and vocation education and training (TVET) capacity in partner countries, it contributes to economic development and poverty reduction. </w:t>
      </w:r>
      <w:r w:rsidRPr="0081717C">
        <w:rPr>
          <w:lang w:val="en-US"/>
        </w:rPr>
        <w:t xml:space="preserve">The </w:t>
      </w:r>
      <w:r w:rsidRPr="0081717C">
        <w:rPr>
          <w:b/>
          <w:lang w:val="en-US"/>
        </w:rPr>
        <w:t>VLIR-OUS</w:t>
      </w:r>
      <w:r w:rsidRPr="0081717C">
        <w:rPr>
          <w:lang w:val="en-US"/>
        </w:rPr>
        <w:t xml:space="preserve"> and the </w:t>
      </w:r>
      <w:r w:rsidRPr="0081717C">
        <w:rPr>
          <w:b/>
          <w:lang w:val="en-US"/>
        </w:rPr>
        <w:t xml:space="preserve">CUD </w:t>
      </w:r>
      <w:r w:rsidRPr="0081717C">
        <w:rPr>
          <w:lang w:val="en-US"/>
        </w:rPr>
        <w:t xml:space="preserve">of the Flemish and Francophone communities of Belgium fund similar </w:t>
      </w:r>
      <w:proofErr w:type="spellStart"/>
      <w:r w:rsidRPr="0081717C">
        <w:rPr>
          <w:lang w:val="en-US"/>
        </w:rPr>
        <w:t>programmes</w:t>
      </w:r>
      <w:proofErr w:type="spellEnd"/>
      <w:r w:rsidRPr="0081717C">
        <w:rPr>
          <w:lang w:val="en-US"/>
        </w:rPr>
        <w:t xml:space="preserve">, one of which supports 6-12 year institutional partnerships: </w:t>
      </w:r>
      <w:hyperlink r:id="rId34" w:history="1">
        <w:r w:rsidRPr="0081717C">
          <w:rPr>
            <w:rStyle w:val="Hyperlink"/>
            <w:lang w:val="en-US"/>
          </w:rPr>
          <w:t>http://www.vliruos.be/en/project-funding/</w:t>
        </w:r>
      </w:hyperlink>
      <w:r w:rsidRPr="0081717C">
        <w:rPr>
          <w:lang w:val="en-US"/>
        </w:rPr>
        <w:t xml:space="preserve">. </w:t>
      </w:r>
      <w:proofErr w:type="spellStart"/>
      <w:r w:rsidRPr="0081717C">
        <w:rPr>
          <w:lang w:val="en-US"/>
        </w:rPr>
        <w:t>Programme</w:t>
      </w:r>
      <w:proofErr w:type="spellEnd"/>
      <w:r w:rsidRPr="0081717C">
        <w:rPr>
          <w:lang w:val="en-US"/>
        </w:rPr>
        <w:t xml:space="preserve"> budgets in both the Netherlands and Belgium have decreased in the past two years. </w:t>
      </w:r>
    </w:p>
  </w:footnote>
  <w:footnote w:id="54">
    <w:p w:rsidR="00A75E62" w:rsidRPr="00BD3A57" w:rsidRDefault="00A75E62" w:rsidP="00A75E62">
      <w:pPr>
        <w:pStyle w:val="FootnoteText"/>
        <w:rPr>
          <w:lang w:val="en-US"/>
        </w:rPr>
      </w:pPr>
      <w:r>
        <w:rPr>
          <w:rStyle w:val="FootnoteReference"/>
        </w:rPr>
        <w:footnoteRef/>
      </w:r>
      <w:r w:rsidRPr="00BD3A57">
        <w:rPr>
          <w:lang w:val="en-US"/>
        </w:rPr>
        <w:t xml:space="preserve"> </w:t>
      </w:r>
      <w:hyperlink r:id="rId35" w:history="1">
        <w:r w:rsidRPr="00BD3A57">
          <w:rPr>
            <w:rStyle w:val="Hyperlink"/>
            <w:lang w:val="en-US"/>
          </w:rPr>
          <w:t>http://www.eua.be/publications/eua-reports-studies-and-occasional-papers.aspx</w:t>
        </w:r>
      </w:hyperlink>
      <w:r w:rsidRPr="00BD3A57">
        <w:rPr>
          <w:lang w:val="en-US"/>
        </w:rPr>
        <w:t xml:space="preserve"> </w:t>
      </w:r>
    </w:p>
  </w:footnote>
  <w:footnote w:id="55">
    <w:p w:rsidR="00A75E62" w:rsidRPr="006F4996" w:rsidRDefault="00A75E62" w:rsidP="00A75E62">
      <w:pPr>
        <w:pStyle w:val="FootnoteText"/>
        <w:rPr>
          <w:lang w:val="en-US"/>
        </w:rPr>
      </w:pPr>
      <w:r>
        <w:rPr>
          <w:rStyle w:val="FootnoteReference"/>
        </w:rPr>
        <w:footnoteRef/>
      </w:r>
      <w:r w:rsidRPr="006F4996">
        <w:rPr>
          <w:lang w:val="en-US"/>
        </w:rPr>
        <w:t xml:space="preserve"> </w:t>
      </w:r>
      <w:hyperlink r:id="rId36" w:history="1">
        <w:r w:rsidRPr="006F4996">
          <w:rPr>
            <w:rStyle w:val="Hyperlink"/>
            <w:lang w:val="en-US"/>
          </w:rPr>
          <w:t>http://www.eua.be/publications/eua-policy-positions.aspx</w:t>
        </w:r>
      </w:hyperlink>
      <w:r w:rsidRPr="006F4996">
        <w:rPr>
          <w:lang w:val="en-US"/>
        </w:rPr>
        <w:t xml:space="preserve"> </w:t>
      </w:r>
    </w:p>
  </w:footnote>
  <w:footnote w:id="56">
    <w:p w:rsidR="00A75E62" w:rsidRPr="006F4996" w:rsidRDefault="00A75E62" w:rsidP="00A75E62">
      <w:pPr>
        <w:pStyle w:val="FootnoteText"/>
        <w:rPr>
          <w:lang w:val="en-US"/>
        </w:rPr>
      </w:pPr>
      <w:r>
        <w:rPr>
          <w:rStyle w:val="FootnoteReference"/>
        </w:rPr>
        <w:footnoteRef/>
      </w:r>
      <w:r w:rsidRPr="006F4996">
        <w:rPr>
          <w:lang w:val="en-US"/>
        </w:rPr>
        <w:t xml:space="preserve"> </w:t>
      </w:r>
      <w:proofErr w:type="spellStart"/>
      <w:r w:rsidRPr="006F4996">
        <w:rPr>
          <w:lang w:val="en-US"/>
        </w:rPr>
        <w:t>Colucci</w:t>
      </w:r>
      <w:proofErr w:type="spellEnd"/>
      <w:r w:rsidRPr="006F4996">
        <w:rPr>
          <w:lang w:val="en-US"/>
        </w:rPr>
        <w:t xml:space="preserve">, </w:t>
      </w:r>
      <w:proofErr w:type="spellStart"/>
      <w:r w:rsidRPr="006F4996">
        <w:rPr>
          <w:lang w:val="en-US"/>
        </w:rPr>
        <w:t>Ferencz</w:t>
      </w:r>
      <w:proofErr w:type="spellEnd"/>
      <w:r w:rsidRPr="006F4996">
        <w:rPr>
          <w:lang w:val="en-US"/>
        </w:rPr>
        <w:t xml:space="preserve">, </w:t>
      </w:r>
      <w:proofErr w:type="spellStart"/>
      <w:r w:rsidRPr="006F4996">
        <w:rPr>
          <w:lang w:val="en-US"/>
        </w:rPr>
        <w:t>Gaebel</w:t>
      </w:r>
      <w:proofErr w:type="spellEnd"/>
      <w:r w:rsidRPr="006F4996">
        <w:rPr>
          <w:lang w:val="en-US"/>
        </w:rPr>
        <w:t xml:space="preserve">, </w:t>
      </w:r>
      <w:proofErr w:type="spellStart"/>
      <w:r w:rsidRPr="006F4996">
        <w:rPr>
          <w:lang w:val="en-US"/>
        </w:rPr>
        <w:t>Waechter</w:t>
      </w:r>
      <w:proofErr w:type="spellEnd"/>
      <w:r w:rsidRPr="006F4996">
        <w:rPr>
          <w:lang w:val="en-US"/>
        </w:rPr>
        <w:t xml:space="preserve">, ‘Connecting Mobility-Policies and Practice: Recommendations and observations on national and institutional developments in Europe’, EUA Publication, 2014. </w:t>
      </w:r>
    </w:p>
  </w:footnote>
  <w:footnote w:id="57">
    <w:p w:rsidR="00A75E62" w:rsidRPr="006F4996" w:rsidRDefault="00A75E62" w:rsidP="00A75E62">
      <w:pPr>
        <w:pStyle w:val="FootnoteText"/>
        <w:rPr>
          <w:lang w:val="en-US"/>
        </w:rPr>
      </w:pPr>
      <w:r>
        <w:rPr>
          <w:rStyle w:val="FootnoteReference"/>
        </w:rPr>
        <w:footnoteRef/>
      </w:r>
      <w:r w:rsidRPr="006F4996">
        <w:rPr>
          <w:lang w:val="en-US"/>
        </w:rPr>
        <w:t xml:space="preserve"> Joint international masters </w:t>
      </w:r>
      <w:proofErr w:type="spellStart"/>
      <w:r w:rsidRPr="006F4996">
        <w:rPr>
          <w:lang w:val="en-US"/>
        </w:rPr>
        <w:t>programmes</w:t>
      </w:r>
      <w:proofErr w:type="spellEnd"/>
      <w:r w:rsidRPr="006F4996">
        <w:rPr>
          <w:lang w:val="en-US"/>
        </w:rPr>
        <w:t xml:space="preserve">; the first generation (2014): </w:t>
      </w:r>
      <w:hyperlink r:id="rId37" w:history="1">
        <w:r w:rsidRPr="006F4996">
          <w:rPr>
            <w:rStyle w:val="Hyperlink"/>
            <w:lang w:val="en-US"/>
          </w:rPr>
          <w:t>http://eacea.ec.europa.eu/erasmus_mundus/tools/publications_en.php</w:t>
        </w:r>
      </w:hyperlink>
      <w:r w:rsidRPr="006F4996">
        <w:rPr>
          <w:lang w:val="en-US"/>
        </w:rPr>
        <w:t xml:space="preserve"> </w:t>
      </w:r>
    </w:p>
  </w:footnote>
  <w:footnote w:id="58">
    <w:p w:rsidR="00A75E62" w:rsidRPr="006F4996" w:rsidRDefault="00A75E62" w:rsidP="00A75E62">
      <w:pPr>
        <w:pStyle w:val="FootnoteText"/>
        <w:rPr>
          <w:lang w:val="en-US"/>
        </w:rPr>
      </w:pPr>
      <w:r>
        <w:rPr>
          <w:rStyle w:val="FootnoteReference"/>
        </w:rPr>
        <w:footnoteRef/>
      </w:r>
      <w:r w:rsidRPr="006F4996">
        <w:rPr>
          <w:lang w:val="en-US"/>
        </w:rPr>
        <w:t xml:space="preserve"> For further info, see http://ec.europa.eu/education/policy/international-cooperation/world-policy-dialogue_en.htm</w:t>
      </w:r>
    </w:p>
  </w:footnote>
  <w:footnote w:id="59">
    <w:p w:rsidR="00A75E62" w:rsidRPr="006F4996" w:rsidRDefault="00A75E62" w:rsidP="00A75E62">
      <w:pPr>
        <w:pStyle w:val="FootnoteText"/>
        <w:rPr>
          <w:lang w:val="en-US"/>
        </w:rPr>
      </w:pPr>
      <w:r>
        <w:rPr>
          <w:rStyle w:val="FootnoteReference"/>
        </w:rPr>
        <w:footnoteRef/>
      </w:r>
      <w:r w:rsidRPr="006F4996">
        <w:rPr>
          <w:lang w:val="en-US"/>
        </w:rPr>
        <w:t xml:space="preserve"> </w:t>
      </w:r>
      <w:hyperlink r:id="rId38" w:history="1">
        <w:r w:rsidRPr="006F4996">
          <w:rPr>
            <w:rStyle w:val="Hyperlink"/>
            <w:lang w:val="en-US"/>
          </w:rPr>
          <w:t>http://www.eeas.europa.eu/lac/index_en.htm</w:t>
        </w:r>
      </w:hyperlink>
      <w:r w:rsidRPr="006F4996">
        <w:rPr>
          <w:lang w:val="en-US"/>
        </w:rPr>
        <w:t xml:space="preserve"> </w:t>
      </w:r>
    </w:p>
  </w:footnote>
  <w:footnote w:id="60">
    <w:p w:rsidR="00A75E62" w:rsidRPr="006F4996" w:rsidRDefault="00A75E62" w:rsidP="00A75E62">
      <w:pPr>
        <w:pStyle w:val="FootnoteText"/>
        <w:rPr>
          <w:lang w:val="en-US"/>
        </w:rPr>
      </w:pPr>
      <w:r>
        <w:rPr>
          <w:rStyle w:val="FootnoteReference"/>
        </w:rPr>
        <w:footnoteRef/>
      </w:r>
      <w:r w:rsidRPr="006F4996">
        <w:rPr>
          <w:lang w:val="en-US"/>
        </w:rPr>
        <w:t xml:space="preserve"> </w:t>
      </w:r>
      <w:hyperlink r:id="rId39" w:history="1">
        <w:r w:rsidRPr="006F4996">
          <w:rPr>
            <w:rStyle w:val="Hyperlink"/>
            <w:lang w:val="en-US"/>
          </w:rPr>
          <w:t>http://eeas.europa.eu/euromed/index_en.htm</w:t>
        </w:r>
      </w:hyperlink>
      <w:r w:rsidRPr="006F4996">
        <w:rPr>
          <w:lang w:val="en-US"/>
        </w:rPr>
        <w:t xml:space="preserve"> </w:t>
      </w:r>
    </w:p>
  </w:footnote>
  <w:footnote w:id="61">
    <w:p w:rsidR="00A75E62" w:rsidRPr="006F4996" w:rsidRDefault="00A75E62" w:rsidP="00A75E62">
      <w:pPr>
        <w:pStyle w:val="FootnoteText"/>
        <w:rPr>
          <w:lang w:val="en-US"/>
        </w:rPr>
      </w:pPr>
      <w:r>
        <w:rPr>
          <w:rStyle w:val="FootnoteReference"/>
        </w:rPr>
        <w:footnoteRef/>
      </w:r>
      <w:r w:rsidRPr="006F4996">
        <w:rPr>
          <w:lang w:val="en-US"/>
        </w:rPr>
        <w:t xml:space="preserve"> </w:t>
      </w:r>
      <w:hyperlink r:id="rId40" w:history="1">
        <w:r w:rsidRPr="006F4996">
          <w:rPr>
            <w:rStyle w:val="Hyperlink"/>
            <w:lang w:val="en-US"/>
          </w:rPr>
          <w:t>http://www.africa-eu-partnership.org/</w:t>
        </w:r>
      </w:hyperlink>
      <w:r w:rsidRPr="006F4996">
        <w:rPr>
          <w:lang w:val="en-US"/>
        </w:rPr>
        <w:t xml:space="preserve"> </w:t>
      </w:r>
    </w:p>
  </w:footnote>
  <w:footnote w:id="62">
    <w:p w:rsidR="00A75E62" w:rsidRPr="006F4996" w:rsidRDefault="00A75E62" w:rsidP="00A75E62">
      <w:pPr>
        <w:pStyle w:val="FootnoteText"/>
        <w:rPr>
          <w:lang w:val="en-US"/>
        </w:rPr>
      </w:pPr>
      <w:r>
        <w:rPr>
          <w:rStyle w:val="FootnoteReference"/>
        </w:rPr>
        <w:footnoteRef/>
      </w:r>
      <w:r w:rsidRPr="006F4996">
        <w:rPr>
          <w:lang w:val="en-US"/>
        </w:rPr>
        <w:t xml:space="preserve"> </w:t>
      </w:r>
      <w:hyperlink r:id="rId41" w:history="1">
        <w:r w:rsidRPr="006F4996">
          <w:rPr>
            <w:rStyle w:val="Hyperlink"/>
            <w:lang w:val="en-US"/>
          </w:rPr>
          <w:t>https://www.daad.de/miniwebs/asem/en/24366/</w:t>
        </w:r>
      </w:hyperlink>
      <w:r w:rsidRPr="006F4996">
        <w:rPr>
          <w:lang w:val="en-US"/>
        </w:rPr>
        <w:t xml:space="preserve"> </w:t>
      </w:r>
    </w:p>
  </w:footnote>
  <w:footnote w:id="63">
    <w:p w:rsidR="00A75E62" w:rsidRPr="00830BD2" w:rsidRDefault="00A75E62" w:rsidP="00A75E62">
      <w:pPr>
        <w:pStyle w:val="FootnoteText"/>
      </w:pPr>
    </w:p>
  </w:footnote>
  <w:footnote w:id="64">
    <w:p w:rsidR="00A75E62" w:rsidRPr="00C97BEC" w:rsidRDefault="00A75E62" w:rsidP="00A75E62">
      <w:pPr>
        <w:pStyle w:val="FootnoteText"/>
      </w:pPr>
      <w:r>
        <w:rPr>
          <w:rStyle w:val="FootnoteReference"/>
        </w:rPr>
        <w:footnoteRef/>
      </w:r>
      <w:r>
        <w:t xml:space="preserve"> </w:t>
      </w:r>
      <w:hyperlink r:id="rId42" w:history="1">
        <w:r w:rsidRPr="00640C10">
          <w:rPr>
            <w:rStyle w:val="Hyperlink"/>
          </w:rPr>
          <w:t>http://qache.wordpress.com/</w:t>
        </w:r>
      </w:hyperlink>
      <w:r>
        <w:t xml:space="preserve"> </w:t>
      </w:r>
    </w:p>
  </w:footnote>
  <w:footnote w:id="65">
    <w:p w:rsidR="00A75E62" w:rsidRPr="002A1DC2" w:rsidRDefault="00A75E62" w:rsidP="00A75E62">
      <w:pPr>
        <w:pStyle w:val="FootnoteText"/>
      </w:pPr>
      <w:r>
        <w:rPr>
          <w:rStyle w:val="FootnoteReference"/>
        </w:rPr>
        <w:footnoteRef/>
      </w:r>
      <w:r>
        <w:t xml:space="preserve"> </w:t>
      </w:r>
      <w:hyperlink r:id="rId43" w:history="1">
        <w:r w:rsidRPr="00640C10">
          <w:rPr>
            <w:rStyle w:val="Hyperlink"/>
          </w:rPr>
          <w:t>http://www.asean.org/news/asean-secretariat-news/item/asean-develops-framework-to-facilitate-movement-of-skilled-labour-and-professionals</w:t>
        </w:r>
      </w:hyperlink>
      <w:r>
        <w:t xml:space="preserve"> </w:t>
      </w:r>
    </w:p>
  </w:footnote>
  <w:footnote w:id="66">
    <w:p w:rsidR="00A75E62" w:rsidRPr="006F4996" w:rsidRDefault="00A75E62" w:rsidP="00A75E62">
      <w:pPr>
        <w:pStyle w:val="FootnoteText"/>
        <w:rPr>
          <w:lang w:val="en-US"/>
        </w:rPr>
      </w:pPr>
      <w:r>
        <w:rPr>
          <w:rStyle w:val="FootnoteReference"/>
        </w:rPr>
        <w:footnoteRef/>
      </w:r>
      <w:r w:rsidRPr="006F4996">
        <w:rPr>
          <w:lang w:val="en-US"/>
        </w:rPr>
        <w:t xml:space="preserve"> </w:t>
      </w:r>
      <w:proofErr w:type="gramStart"/>
      <w:r w:rsidRPr="006F4996">
        <w:rPr>
          <w:lang w:val="en-US"/>
        </w:rPr>
        <w:t xml:space="preserve">Currently being contracted to a consortium consisting of British Council, DAAD, </w:t>
      </w:r>
      <w:proofErr w:type="spellStart"/>
      <w:r w:rsidRPr="006F4996">
        <w:rPr>
          <w:lang w:val="en-US"/>
        </w:rPr>
        <w:t>Nuffic</w:t>
      </w:r>
      <w:proofErr w:type="spellEnd"/>
      <w:r w:rsidRPr="006F4996">
        <w:rPr>
          <w:lang w:val="en-US"/>
        </w:rPr>
        <w:t>, Campus France, EUA and ENQA.</w:t>
      </w:r>
      <w:proofErr w:type="gramEnd"/>
      <w:r w:rsidRPr="006F4996">
        <w:rPr>
          <w:lang w:val="en-US"/>
        </w:rPr>
        <w:t xml:space="preserve"> The project is three years (2015-2018) and will facilitate capacity building in developing QFs, a regional QA framework, a regional credit transfer system and a regional mobility </w:t>
      </w:r>
      <w:proofErr w:type="spellStart"/>
      <w:r w:rsidRPr="006F4996">
        <w:rPr>
          <w:lang w:val="en-US"/>
        </w:rPr>
        <w:t>programme</w:t>
      </w:r>
      <w:proofErr w:type="spellEnd"/>
      <w:r w:rsidRPr="006F4996">
        <w:rPr>
          <w:lang w:val="en-US"/>
        </w:rPr>
        <w:t xml:space="preserve">. </w:t>
      </w:r>
    </w:p>
  </w:footnote>
  <w:footnote w:id="67">
    <w:p w:rsidR="00A75E62" w:rsidRPr="006F4996" w:rsidRDefault="00A75E62" w:rsidP="00A75E62">
      <w:pPr>
        <w:pStyle w:val="FootnoteText"/>
        <w:rPr>
          <w:lang w:val="en-US"/>
        </w:rPr>
      </w:pPr>
      <w:r>
        <w:rPr>
          <w:rStyle w:val="FootnoteReference"/>
        </w:rPr>
        <w:footnoteRef/>
      </w:r>
      <w:r w:rsidRPr="006F4996">
        <w:rPr>
          <w:lang w:val="en-US"/>
        </w:rPr>
        <w:t xml:space="preserve"> </w:t>
      </w:r>
      <w:hyperlink r:id="rId44" w:history="1">
        <w:r w:rsidRPr="006F4996">
          <w:rPr>
            <w:rStyle w:val="Hyperlink"/>
            <w:lang w:val="en-US"/>
          </w:rPr>
          <w:t>http://alfapuentes.org/portal/node/829</w:t>
        </w:r>
      </w:hyperlink>
      <w:r w:rsidRPr="006F4996">
        <w:rPr>
          <w:lang w:val="en-US"/>
        </w:rPr>
        <w:t xml:space="preserve"> </w:t>
      </w:r>
    </w:p>
  </w:footnote>
  <w:footnote w:id="68">
    <w:p w:rsidR="00A75E62" w:rsidRPr="006F4996" w:rsidRDefault="00A75E62" w:rsidP="00A75E62">
      <w:pPr>
        <w:pStyle w:val="FootnoteText"/>
        <w:rPr>
          <w:lang w:val="en-US"/>
        </w:rPr>
      </w:pPr>
      <w:r>
        <w:rPr>
          <w:rStyle w:val="FootnoteReference"/>
        </w:rPr>
        <w:footnoteRef/>
      </w:r>
      <w:r w:rsidRPr="006F4996">
        <w:rPr>
          <w:lang w:val="en-US"/>
        </w:rPr>
        <w:t xml:space="preserve"> </w:t>
      </w:r>
      <w:hyperlink r:id="rId45" w:history="1">
        <w:r w:rsidRPr="006F4996">
          <w:rPr>
            <w:rFonts w:eastAsia="Times New Roman" w:cs="Calibri"/>
            <w:color w:val="0000FF"/>
            <w:u w:val="single"/>
            <w:lang w:val="en-US" w:eastAsia="en-GB"/>
          </w:rPr>
          <w:t>http://ec.europa.eu/education/library/study/2011/australia_en.pdf</w:t>
        </w:r>
      </w:hyperlink>
      <w:r w:rsidRPr="006F4996">
        <w:rPr>
          <w:rFonts w:cs="Calibri"/>
          <w:lang w:val="en-US"/>
        </w:rPr>
        <w:t>).</w:t>
      </w:r>
    </w:p>
  </w:footnote>
  <w:footnote w:id="69">
    <w:p w:rsidR="00A75E62" w:rsidRPr="006F4996" w:rsidRDefault="00A75E62" w:rsidP="00A75E62">
      <w:pPr>
        <w:autoSpaceDE w:val="0"/>
        <w:autoSpaceDN w:val="0"/>
        <w:adjustRightInd w:val="0"/>
        <w:spacing w:after="0" w:line="240" w:lineRule="auto"/>
        <w:rPr>
          <w:rFonts w:cs="Calibri"/>
          <w:sz w:val="20"/>
          <w:szCs w:val="20"/>
        </w:rPr>
      </w:pPr>
      <w:r>
        <w:rPr>
          <w:rStyle w:val="FootnoteReference"/>
        </w:rPr>
        <w:footnoteRef/>
      </w:r>
      <w:r w:rsidRPr="006F4996">
        <w:t xml:space="preserve"> </w:t>
      </w:r>
      <w:hyperlink r:id="rId46" w:history="1">
        <w:r w:rsidRPr="006F4996">
          <w:rPr>
            <w:rStyle w:val="Hyperlink"/>
            <w:rFonts w:cs="Calibri"/>
            <w:sz w:val="20"/>
            <w:szCs w:val="20"/>
          </w:rPr>
          <w:t>http://www.asem-education-secretariat.org/en/24903/</w:t>
        </w:r>
      </w:hyperlink>
    </w:p>
  </w:footnote>
  <w:footnote w:id="70">
    <w:p w:rsidR="00A75E62" w:rsidRPr="006F4996" w:rsidRDefault="00A75E62" w:rsidP="00A75E62">
      <w:pPr>
        <w:pStyle w:val="ListParagraph"/>
        <w:autoSpaceDE w:val="0"/>
        <w:autoSpaceDN w:val="0"/>
        <w:adjustRightInd w:val="0"/>
        <w:ind w:left="0"/>
        <w:rPr>
          <w:rFonts w:cs="Calibri"/>
          <w:sz w:val="20"/>
          <w:szCs w:val="20"/>
        </w:rPr>
      </w:pPr>
      <w:r w:rsidRPr="00690974">
        <w:rPr>
          <w:rStyle w:val="FootnoteReference"/>
        </w:rPr>
        <w:footnoteRef/>
      </w:r>
      <w:r w:rsidRPr="006F4996">
        <w:rPr>
          <w:sz w:val="20"/>
          <w:szCs w:val="20"/>
        </w:rPr>
        <w:t xml:space="preserve"> </w:t>
      </w:r>
      <w:hyperlink r:id="rId47" w:history="1">
        <w:r w:rsidRPr="006F4996">
          <w:rPr>
            <w:rStyle w:val="Hyperlink"/>
            <w:rFonts w:cs="Calibri"/>
            <w:sz w:val="20"/>
            <w:szCs w:val="20"/>
          </w:rPr>
          <w:t>http://www.asem-education-secretariat.org/imperia/md/content/asem2/events/asemme3/reader_credit_systems_and_learning_outcomes_may_2011.pdf</w:t>
        </w:r>
      </w:hyperlink>
    </w:p>
  </w:footnote>
  <w:footnote w:id="71">
    <w:p w:rsidR="00A75E62" w:rsidRPr="006F4996" w:rsidRDefault="00A75E62" w:rsidP="00A75E62">
      <w:pPr>
        <w:pStyle w:val="FootnoteText"/>
        <w:rPr>
          <w:lang w:val="en-US"/>
        </w:rPr>
      </w:pPr>
      <w:r w:rsidRPr="00690974">
        <w:rPr>
          <w:rStyle w:val="FootnoteReference"/>
        </w:rPr>
        <w:footnoteRef/>
      </w:r>
      <w:r w:rsidRPr="006F4996">
        <w:rPr>
          <w:lang w:val="en-US"/>
        </w:rPr>
        <w:t xml:space="preserve"> See </w:t>
      </w:r>
      <w:hyperlink r:id="rId48" w:history="1">
        <w:r w:rsidRPr="006F4996">
          <w:rPr>
            <w:rStyle w:val="Hyperlink"/>
            <w:lang w:val="en-US"/>
          </w:rPr>
          <w:t>http://www.bolognaexperts.net/portal/dashboard</w:t>
        </w:r>
      </w:hyperlink>
      <w:r w:rsidRPr="006F4996">
        <w:rPr>
          <w:lang w:val="en-US"/>
        </w:rPr>
        <w:t xml:space="preserve"> </w:t>
      </w:r>
    </w:p>
  </w:footnote>
  <w:footnote w:id="72">
    <w:p w:rsidR="00A75E62" w:rsidRPr="006F4996" w:rsidRDefault="00A75E62" w:rsidP="00A75E62">
      <w:pPr>
        <w:pStyle w:val="FootnoteText"/>
        <w:rPr>
          <w:lang w:val="en-US"/>
        </w:rPr>
      </w:pPr>
      <w:r>
        <w:rPr>
          <w:rStyle w:val="FootnoteReference"/>
        </w:rPr>
        <w:footnoteRef/>
      </w:r>
      <w:r w:rsidRPr="006F4996">
        <w:rPr>
          <w:lang w:val="en-US"/>
        </w:rPr>
        <w:t xml:space="preserve"> The ‘</w:t>
      </w:r>
      <w:proofErr w:type="spellStart"/>
      <w:r w:rsidRPr="006F4996">
        <w:rPr>
          <w:lang w:val="en-US"/>
        </w:rPr>
        <w:t>RecNow</w:t>
      </w:r>
      <w:proofErr w:type="spellEnd"/>
      <w:r w:rsidRPr="006F4996">
        <w:rPr>
          <w:lang w:val="en-US"/>
        </w:rPr>
        <w:t xml:space="preserve">’ project, funded by the European Commission Tempus </w:t>
      </w:r>
      <w:proofErr w:type="spellStart"/>
      <w:r w:rsidRPr="006F4996">
        <w:rPr>
          <w:lang w:val="en-US"/>
        </w:rPr>
        <w:t>Programme</w:t>
      </w:r>
      <w:proofErr w:type="spellEnd"/>
      <w:r w:rsidRPr="006F4996">
        <w:rPr>
          <w:lang w:val="en-US"/>
        </w:rPr>
        <w:t xml:space="preserve"> and coordinated by University of Bologna, is one example. It targets Jordan and Palestine. </w:t>
      </w:r>
    </w:p>
  </w:footnote>
  <w:footnote w:id="73">
    <w:p w:rsidR="00A75E62" w:rsidRPr="00690974" w:rsidRDefault="00A75E62" w:rsidP="00A75E62">
      <w:pPr>
        <w:pStyle w:val="FootnoteText"/>
        <w:rPr>
          <w:lang w:val="en-US"/>
        </w:rPr>
      </w:pPr>
      <w:r w:rsidRPr="00690974">
        <w:rPr>
          <w:rStyle w:val="FootnoteReference"/>
        </w:rPr>
        <w:footnoteRef/>
      </w:r>
      <w:r w:rsidRPr="006F4996">
        <w:rPr>
          <w:lang w:val="en-US"/>
        </w:rPr>
        <w:t xml:space="preserve"> </w:t>
      </w:r>
      <w:hyperlink r:id="rId49" w:history="1">
        <w:r w:rsidRPr="00690974">
          <w:rPr>
            <w:rStyle w:val="Hyperlink"/>
            <w:rFonts w:cs="Calibri"/>
            <w:lang w:val="en-US"/>
          </w:rPr>
          <w:t>http://www.hrk.de/hrk-international/mobility-and-mutual-recognition/framework-agreements-for-cooperation-in-higher-education/</w:t>
        </w:r>
      </w:hyperlink>
    </w:p>
  </w:footnote>
  <w:footnote w:id="74">
    <w:p w:rsidR="00A75E62" w:rsidRPr="00690974" w:rsidRDefault="00A75E62" w:rsidP="00A75E62">
      <w:pPr>
        <w:autoSpaceDE w:val="0"/>
        <w:autoSpaceDN w:val="0"/>
        <w:adjustRightInd w:val="0"/>
        <w:spacing w:after="0" w:line="240" w:lineRule="auto"/>
        <w:rPr>
          <w:rFonts w:cs="Calibri"/>
          <w:sz w:val="20"/>
          <w:szCs w:val="20"/>
        </w:rPr>
      </w:pPr>
      <w:r w:rsidRPr="00690974">
        <w:rPr>
          <w:rStyle w:val="FootnoteReference"/>
        </w:rPr>
        <w:footnoteRef/>
      </w:r>
      <w:r w:rsidRPr="00690974">
        <w:rPr>
          <w:sz w:val="20"/>
          <w:szCs w:val="20"/>
        </w:rPr>
        <w:t xml:space="preserve"> </w:t>
      </w:r>
      <w:hyperlink r:id="rId50" w:history="1">
        <w:r w:rsidRPr="00690974">
          <w:rPr>
            <w:rStyle w:val="Hyperlink"/>
            <w:rFonts w:cs="Calibri"/>
            <w:sz w:val="20"/>
            <w:szCs w:val="20"/>
          </w:rPr>
          <w:t>http://www.hrk-nexus.de/uploads/media/nexus_Leitfaden_Anerkennung.pdf</w:t>
        </w:r>
      </w:hyperlink>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200A9"/>
    <w:multiLevelType w:val="multilevel"/>
    <w:tmpl w:val="F6D25868"/>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05F6FA9"/>
    <w:multiLevelType w:val="hybridMultilevel"/>
    <w:tmpl w:val="FC76FDF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07643128"/>
    <w:multiLevelType w:val="hybridMultilevel"/>
    <w:tmpl w:val="E3CC8C04"/>
    <w:lvl w:ilvl="0" w:tplc="0CAC6582">
      <w:start w:val="1"/>
      <w:numFmt w:val="lowerLetter"/>
      <w:lvlText w:val="%1)"/>
      <w:lvlJc w:val="left"/>
      <w:pPr>
        <w:ind w:left="720" w:hanging="360"/>
      </w:pPr>
      <w:rPr>
        <w:rFonts w:ascii="Times New Roman" w:eastAsiaTheme="minorHAnsi" w:hAnsi="Times New Roman" w:cs="Times New Roman"/>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102E55FB"/>
    <w:multiLevelType w:val="hybridMultilevel"/>
    <w:tmpl w:val="5A8C2298"/>
    <w:lvl w:ilvl="0" w:tplc="0409000B">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103335B9"/>
    <w:multiLevelType w:val="hybridMultilevel"/>
    <w:tmpl w:val="5E44C2A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147E60ED"/>
    <w:multiLevelType w:val="hybridMultilevel"/>
    <w:tmpl w:val="179868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nsid w:val="150E7A4C"/>
    <w:multiLevelType w:val="hybridMultilevel"/>
    <w:tmpl w:val="2B305C4E"/>
    <w:lvl w:ilvl="0" w:tplc="0C0A0001">
      <w:start w:val="1"/>
      <w:numFmt w:val="bullet"/>
      <w:lvlText w:val=""/>
      <w:lvlJc w:val="left"/>
      <w:pPr>
        <w:ind w:left="1788" w:hanging="360"/>
      </w:pPr>
      <w:rPr>
        <w:rFonts w:ascii="Symbol" w:hAnsi="Symbol" w:hint="default"/>
      </w:rPr>
    </w:lvl>
    <w:lvl w:ilvl="1" w:tplc="0C0A0003" w:tentative="1">
      <w:start w:val="1"/>
      <w:numFmt w:val="bullet"/>
      <w:lvlText w:val="o"/>
      <w:lvlJc w:val="left"/>
      <w:pPr>
        <w:ind w:left="2508" w:hanging="360"/>
      </w:pPr>
      <w:rPr>
        <w:rFonts w:ascii="Courier New" w:hAnsi="Courier New" w:cs="Courier New" w:hint="default"/>
      </w:rPr>
    </w:lvl>
    <w:lvl w:ilvl="2" w:tplc="0C0A0005" w:tentative="1">
      <w:start w:val="1"/>
      <w:numFmt w:val="bullet"/>
      <w:lvlText w:val=""/>
      <w:lvlJc w:val="left"/>
      <w:pPr>
        <w:ind w:left="3228" w:hanging="360"/>
      </w:pPr>
      <w:rPr>
        <w:rFonts w:ascii="Wingdings" w:hAnsi="Wingdings" w:hint="default"/>
      </w:rPr>
    </w:lvl>
    <w:lvl w:ilvl="3" w:tplc="0C0A0001" w:tentative="1">
      <w:start w:val="1"/>
      <w:numFmt w:val="bullet"/>
      <w:lvlText w:val=""/>
      <w:lvlJc w:val="left"/>
      <w:pPr>
        <w:ind w:left="3948" w:hanging="360"/>
      </w:pPr>
      <w:rPr>
        <w:rFonts w:ascii="Symbol" w:hAnsi="Symbol" w:hint="default"/>
      </w:rPr>
    </w:lvl>
    <w:lvl w:ilvl="4" w:tplc="0C0A0003" w:tentative="1">
      <w:start w:val="1"/>
      <w:numFmt w:val="bullet"/>
      <w:lvlText w:val="o"/>
      <w:lvlJc w:val="left"/>
      <w:pPr>
        <w:ind w:left="4668" w:hanging="360"/>
      </w:pPr>
      <w:rPr>
        <w:rFonts w:ascii="Courier New" w:hAnsi="Courier New" w:cs="Courier New" w:hint="default"/>
      </w:rPr>
    </w:lvl>
    <w:lvl w:ilvl="5" w:tplc="0C0A0005" w:tentative="1">
      <w:start w:val="1"/>
      <w:numFmt w:val="bullet"/>
      <w:lvlText w:val=""/>
      <w:lvlJc w:val="left"/>
      <w:pPr>
        <w:ind w:left="5388" w:hanging="360"/>
      </w:pPr>
      <w:rPr>
        <w:rFonts w:ascii="Wingdings" w:hAnsi="Wingdings" w:hint="default"/>
      </w:rPr>
    </w:lvl>
    <w:lvl w:ilvl="6" w:tplc="0C0A0001" w:tentative="1">
      <w:start w:val="1"/>
      <w:numFmt w:val="bullet"/>
      <w:lvlText w:val=""/>
      <w:lvlJc w:val="left"/>
      <w:pPr>
        <w:ind w:left="6108" w:hanging="360"/>
      </w:pPr>
      <w:rPr>
        <w:rFonts w:ascii="Symbol" w:hAnsi="Symbol" w:hint="default"/>
      </w:rPr>
    </w:lvl>
    <w:lvl w:ilvl="7" w:tplc="0C0A0003" w:tentative="1">
      <w:start w:val="1"/>
      <w:numFmt w:val="bullet"/>
      <w:lvlText w:val="o"/>
      <w:lvlJc w:val="left"/>
      <w:pPr>
        <w:ind w:left="6828" w:hanging="360"/>
      </w:pPr>
      <w:rPr>
        <w:rFonts w:ascii="Courier New" w:hAnsi="Courier New" w:cs="Courier New" w:hint="default"/>
      </w:rPr>
    </w:lvl>
    <w:lvl w:ilvl="8" w:tplc="0C0A0005" w:tentative="1">
      <w:start w:val="1"/>
      <w:numFmt w:val="bullet"/>
      <w:lvlText w:val=""/>
      <w:lvlJc w:val="left"/>
      <w:pPr>
        <w:ind w:left="7548" w:hanging="360"/>
      </w:pPr>
      <w:rPr>
        <w:rFonts w:ascii="Wingdings" w:hAnsi="Wingdings" w:hint="default"/>
      </w:rPr>
    </w:lvl>
  </w:abstractNum>
  <w:abstractNum w:abstractNumId="7">
    <w:nsid w:val="1B6C3C6F"/>
    <w:multiLevelType w:val="hybridMultilevel"/>
    <w:tmpl w:val="80304440"/>
    <w:lvl w:ilvl="0" w:tplc="F94C8EA2">
      <w:start w:val="1"/>
      <w:numFmt w:val="lowerLetter"/>
      <w:lvlText w:val="%1)"/>
      <w:lvlJc w:val="left"/>
      <w:pPr>
        <w:ind w:left="360" w:hanging="360"/>
      </w:pPr>
      <w:rPr>
        <w:rFonts w:hint="default"/>
      </w:rPr>
    </w:lvl>
    <w:lvl w:ilvl="1" w:tplc="0C070019" w:tentative="1">
      <w:start w:val="1"/>
      <w:numFmt w:val="lowerLetter"/>
      <w:lvlText w:val="%2."/>
      <w:lvlJc w:val="left"/>
      <w:pPr>
        <w:ind w:left="1788" w:hanging="360"/>
      </w:pPr>
    </w:lvl>
    <w:lvl w:ilvl="2" w:tplc="0C07001B" w:tentative="1">
      <w:start w:val="1"/>
      <w:numFmt w:val="lowerRoman"/>
      <w:lvlText w:val="%3."/>
      <w:lvlJc w:val="right"/>
      <w:pPr>
        <w:ind w:left="2508" w:hanging="180"/>
      </w:pPr>
    </w:lvl>
    <w:lvl w:ilvl="3" w:tplc="0C07000F" w:tentative="1">
      <w:start w:val="1"/>
      <w:numFmt w:val="decimal"/>
      <w:lvlText w:val="%4."/>
      <w:lvlJc w:val="left"/>
      <w:pPr>
        <w:ind w:left="3228" w:hanging="360"/>
      </w:pPr>
    </w:lvl>
    <w:lvl w:ilvl="4" w:tplc="0C070019" w:tentative="1">
      <w:start w:val="1"/>
      <w:numFmt w:val="lowerLetter"/>
      <w:lvlText w:val="%5."/>
      <w:lvlJc w:val="left"/>
      <w:pPr>
        <w:ind w:left="3948" w:hanging="360"/>
      </w:pPr>
    </w:lvl>
    <w:lvl w:ilvl="5" w:tplc="0C07001B" w:tentative="1">
      <w:start w:val="1"/>
      <w:numFmt w:val="lowerRoman"/>
      <w:lvlText w:val="%6."/>
      <w:lvlJc w:val="right"/>
      <w:pPr>
        <w:ind w:left="4668" w:hanging="180"/>
      </w:pPr>
    </w:lvl>
    <w:lvl w:ilvl="6" w:tplc="0C07000F" w:tentative="1">
      <w:start w:val="1"/>
      <w:numFmt w:val="decimal"/>
      <w:lvlText w:val="%7."/>
      <w:lvlJc w:val="left"/>
      <w:pPr>
        <w:ind w:left="5388" w:hanging="360"/>
      </w:pPr>
    </w:lvl>
    <w:lvl w:ilvl="7" w:tplc="0C070019" w:tentative="1">
      <w:start w:val="1"/>
      <w:numFmt w:val="lowerLetter"/>
      <w:lvlText w:val="%8."/>
      <w:lvlJc w:val="left"/>
      <w:pPr>
        <w:ind w:left="6108" w:hanging="360"/>
      </w:pPr>
    </w:lvl>
    <w:lvl w:ilvl="8" w:tplc="0C07001B" w:tentative="1">
      <w:start w:val="1"/>
      <w:numFmt w:val="lowerRoman"/>
      <w:lvlText w:val="%9."/>
      <w:lvlJc w:val="right"/>
      <w:pPr>
        <w:ind w:left="6828" w:hanging="180"/>
      </w:pPr>
    </w:lvl>
  </w:abstractNum>
  <w:abstractNum w:abstractNumId="8">
    <w:nsid w:val="1ED639C5"/>
    <w:multiLevelType w:val="hybridMultilevel"/>
    <w:tmpl w:val="E7C04754"/>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9">
    <w:nsid w:val="23B87BE0"/>
    <w:multiLevelType w:val="hybridMultilevel"/>
    <w:tmpl w:val="47FCDD02"/>
    <w:lvl w:ilvl="0" w:tplc="90F69298">
      <w:numFmt w:val="bullet"/>
      <w:lvlText w:val="-"/>
      <w:lvlJc w:val="left"/>
      <w:pPr>
        <w:ind w:left="720" w:hanging="360"/>
      </w:pPr>
      <w:rPr>
        <w:rFonts w:ascii="Calibri" w:eastAsiaTheme="minorHAnsi" w:hAnsi="Calibri" w:cstheme="minorBidi" w:hint="default"/>
      </w:rPr>
    </w:lvl>
    <w:lvl w:ilvl="1" w:tplc="90F69298">
      <w:numFmt w:val="bullet"/>
      <w:lvlText w:val="-"/>
      <w:lvlJc w:val="left"/>
      <w:pPr>
        <w:ind w:left="1440" w:hanging="360"/>
      </w:pPr>
      <w:rPr>
        <w:rFonts w:ascii="Calibri" w:eastAsiaTheme="minorHAnsi" w:hAnsi="Calibri" w:cstheme="minorBidi"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0">
    <w:nsid w:val="24E05DBC"/>
    <w:multiLevelType w:val="hybridMultilevel"/>
    <w:tmpl w:val="BDFCEF2E"/>
    <w:lvl w:ilvl="0" w:tplc="3F5283D0">
      <w:start w:val="1"/>
      <w:numFmt w:val="lowerLetter"/>
      <w:lvlText w:val="%1)"/>
      <w:lvlJc w:val="left"/>
      <w:pPr>
        <w:ind w:left="1440" w:hanging="360"/>
      </w:pPr>
      <w:rPr>
        <w:rFonts w:hint="default"/>
        <w:lang w:val="en-US"/>
      </w:r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11">
    <w:nsid w:val="26F65466"/>
    <w:multiLevelType w:val="hybridMultilevel"/>
    <w:tmpl w:val="06BCA75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2">
    <w:nsid w:val="2ECC10C8"/>
    <w:multiLevelType w:val="hybridMultilevel"/>
    <w:tmpl w:val="B34E350E"/>
    <w:lvl w:ilvl="0" w:tplc="8E62BCC0">
      <w:start w:val="4"/>
      <w:numFmt w:val="decimal"/>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nsid w:val="30310769"/>
    <w:multiLevelType w:val="hybridMultilevel"/>
    <w:tmpl w:val="DF2C3472"/>
    <w:lvl w:ilvl="0" w:tplc="040C0001">
      <w:start w:val="1"/>
      <w:numFmt w:val="bullet"/>
      <w:lvlText w:val=""/>
      <w:lvlJc w:val="left"/>
      <w:pPr>
        <w:ind w:left="774" w:hanging="360"/>
      </w:pPr>
      <w:rPr>
        <w:rFonts w:ascii="Symbol" w:hAnsi="Symbol" w:hint="default"/>
      </w:rPr>
    </w:lvl>
    <w:lvl w:ilvl="1" w:tplc="040C0003" w:tentative="1">
      <w:start w:val="1"/>
      <w:numFmt w:val="bullet"/>
      <w:lvlText w:val="o"/>
      <w:lvlJc w:val="left"/>
      <w:pPr>
        <w:ind w:left="1494" w:hanging="360"/>
      </w:pPr>
      <w:rPr>
        <w:rFonts w:ascii="Courier New" w:hAnsi="Courier New" w:cs="Courier New" w:hint="default"/>
      </w:rPr>
    </w:lvl>
    <w:lvl w:ilvl="2" w:tplc="040C0005" w:tentative="1">
      <w:start w:val="1"/>
      <w:numFmt w:val="bullet"/>
      <w:lvlText w:val=""/>
      <w:lvlJc w:val="left"/>
      <w:pPr>
        <w:ind w:left="2214" w:hanging="360"/>
      </w:pPr>
      <w:rPr>
        <w:rFonts w:ascii="Wingdings" w:hAnsi="Wingdings" w:hint="default"/>
      </w:rPr>
    </w:lvl>
    <w:lvl w:ilvl="3" w:tplc="040C0001" w:tentative="1">
      <w:start w:val="1"/>
      <w:numFmt w:val="bullet"/>
      <w:lvlText w:val=""/>
      <w:lvlJc w:val="left"/>
      <w:pPr>
        <w:ind w:left="2934" w:hanging="360"/>
      </w:pPr>
      <w:rPr>
        <w:rFonts w:ascii="Symbol" w:hAnsi="Symbol" w:hint="default"/>
      </w:rPr>
    </w:lvl>
    <w:lvl w:ilvl="4" w:tplc="040C0003" w:tentative="1">
      <w:start w:val="1"/>
      <w:numFmt w:val="bullet"/>
      <w:lvlText w:val="o"/>
      <w:lvlJc w:val="left"/>
      <w:pPr>
        <w:ind w:left="3654" w:hanging="360"/>
      </w:pPr>
      <w:rPr>
        <w:rFonts w:ascii="Courier New" w:hAnsi="Courier New" w:cs="Courier New" w:hint="default"/>
      </w:rPr>
    </w:lvl>
    <w:lvl w:ilvl="5" w:tplc="040C0005" w:tentative="1">
      <w:start w:val="1"/>
      <w:numFmt w:val="bullet"/>
      <w:lvlText w:val=""/>
      <w:lvlJc w:val="left"/>
      <w:pPr>
        <w:ind w:left="4374" w:hanging="360"/>
      </w:pPr>
      <w:rPr>
        <w:rFonts w:ascii="Wingdings" w:hAnsi="Wingdings" w:hint="default"/>
      </w:rPr>
    </w:lvl>
    <w:lvl w:ilvl="6" w:tplc="040C0001" w:tentative="1">
      <w:start w:val="1"/>
      <w:numFmt w:val="bullet"/>
      <w:lvlText w:val=""/>
      <w:lvlJc w:val="left"/>
      <w:pPr>
        <w:ind w:left="5094" w:hanging="360"/>
      </w:pPr>
      <w:rPr>
        <w:rFonts w:ascii="Symbol" w:hAnsi="Symbol" w:hint="default"/>
      </w:rPr>
    </w:lvl>
    <w:lvl w:ilvl="7" w:tplc="040C0003" w:tentative="1">
      <w:start w:val="1"/>
      <w:numFmt w:val="bullet"/>
      <w:lvlText w:val="o"/>
      <w:lvlJc w:val="left"/>
      <w:pPr>
        <w:ind w:left="5814" w:hanging="360"/>
      </w:pPr>
      <w:rPr>
        <w:rFonts w:ascii="Courier New" w:hAnsi="Courier New" w:cs="Courier New" w:hint="default"/>
      </w:rPr>
    </w:lvl>
    <w:lvl w:ilvl="8" w:tplc="040C0005" w:tentative="1">
      <w:start w:val="1"/>
      <w:numFmt w:val="bullet"/>
      <w:lvlText w:val=""/>
      <w:lvlJc w:val="left"/>
      <w:pPr>
        <w:ind w:left="6534" w:hanging="360"/>
      </w:pPr>
      <w:rPr>
        <w:rFonts w:ascii="Wingdings" w:hAnsi="Wingdings" w:hint="default"/>
      </w:rPr>
    </w:lvl>
  </w:abstractNum>
  <w:abstractNum w:abstractNumId="14">
    <w:nsid w:val="31A41519"/>
    <w:multiLevelType w:val="hybridMultilevel"/>
    <w:tmpl w:val="DF183364"/>
    <w:lvl w:ilvl="0" w:tplc="E13098A0">
      <w:start w:val="1"/>
      <w:numFmt w:val="lowerLetter"/>
      <w:lvlText w:val="%1)"/>
      <w:lvlJc w:val="left"/>
      <w:pPr>
        <w:ind w:left="502" w:hanging="360"/>
      </w:pPr>
      <w:rPr>
        <w:rFonts w:hint="default"/>
        <w:b w:val="0"/>
      </w:rPr>
    </w:lvl>
    <w:lvl w:ilvl="1" w:tplc="04070019">
      <w:start w:val="1"/>
      <w:numFmt w:val="lowerLetter"/>
      <w:lvlText w:val="%2."/>
      <w:lvlJc w:val="left"/>
      <w:pPr>
        <w:ind w:left="1222" w:hanging="360"/>
      </w:pPr>
    </w:lvl>
    <w:lvl w:ilvl="2" w:tplc="0407001B" w:tentative="1">
      <w:start w:val="1"/>
      <w:numFmt w:val="lowerRoman"/>
      <w:lvlText w:val="%3."/>
      <w:lvlJc w:val="right"/>
      <w:pPr>
        <w:ind w:left="1942" w:hanging="180"/>
      </w:pPr>
    </w:lvl>
    <w:lvl w:ilvl="3" w:tplc="0407000F" w:tentative="1">
      <w:start w:val="1"/>
      <w:numFmt w:val="decimal"/>
      <w:lvlText w:val="%4."/>
      <w:lvlJc w:val="left"/>
      <w:pPr>
        <w:ind w:left="2662" w:hanging="360"/>
      </w:pPr>
    </w:lvl>
    <w:lvl w:ilvl="4" w:tplc="04070019" w:tentative="1">
      <w:start w:val="1"/>
      <w:numFmt w:val="lowerLetter"/>
      <w:lvlText w:val="%5."/>
      <w:lvlJc w:val="left"/>
      <w:pPr>
        <w:ind w:left="3382" w:hanging="360"/>
      </w:pPr>
    </w:lvl>
    <w:lvl w:ilvl="5" w:tplc="0407001B" w:tentative="1">
      <w:start w:val="1"/>
      <w:numFmt w:val="lowerRoman"/>
      <w:lvlText w:val="%6."/>
      <w:lvlJc w:val="right"/>
      <w:pPr>
        <w:ind w:left="4102" w:hanging="180"/>
      </w:pPr>
    </w:lvl>
    <w:lvl w:ilvl="6" w:tplc="0407000F" w:tentative="1">
      <w:start w:val="1"/>
      <w:numFmt w:val="decimal"/>
      <w:lvlText w:val="%7."/>
      <w:lvlJc w:val="left"/>
      <w:pPr>
        <w:ind w:left="4822" w:hanging="360"/>
      </w:pPr>
    </w:lvl>
    <w:lvl w:ilvl="7" w:tplc="04070019" w:tentative="1">
      <w:start w:val="1"/>
      <w:numFmt w:val="lowerLetter"/>
      <w:lvlText w:val="%8."/>
      <w:lvlJc w:val="left"/>
      <w:pPr>
        <w:ind w:left="5542" w:hanging="360"/>
      </w:pPr>
    </w:lvl>
    <w:lvl w:ilvl="8" w:tplc="0407001B" w:tentative="1">
      <w:start w:val="1"/>
      <w:numFmt w:val="lowerRoman"/>
      <w:lvlText w:val="%9."/>
      <w:lvlJc w:val="right"/>
      <w:pPr>
        <w:ind w:left="6262" w:hanging="180"/>
      </w:pPr>
    </w:lvl>
  </w:abstractNum>
  <w:abstractNum w:abstractNumId="15">
    <w:nsid w:val="332E1E0B"/>
    <w:multiLevelType w:val="hybridMultilevel"/>
    <w:tmpl w:val="873804BA"/>
    <w:lvl w:ilvl="0" w:tplc="52D2B086">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9983671"/>
    <w:multiLevelType w:val="hybridMultilevel"/>
    <w:tmpl w:val="7C9A87B0"/>
    <w:lvl w:ilvl="0" w:tplc="F6C489AC">
      <w:start w:val="1"/>
      <w:numFmt w:val="upperRoman"/>
      <w:lvlText w:val="%1."/>
      <w:lvlJc w:val="left"/>
      <w:pPr>
        <w:ind w:left="720" w:hanging="720"/>
      </w:pPr>
      <w:rPr>
        <w:rFonts w:hint="default"/>
        <w:b/>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7">
    <w:nsid w:val="3CA12F8B"/>
    <w:multiLevelType w:val="hybridMultilevel"/>
    <w:tmpl w:val="D7A2E082"/>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nsid w:val="40536083"/>
    <w:multiLevelType w:val="multilevel"/>
    <w:tmpl w:val="31B07346"/>
    <w:lvl w:ilvl="0">
      <w:start w:val="1"/>
      <w:numFmt w:val="decimal"/>
      <w:lvlText w:val="%1."/>
      <w:lvlJc w:val="left"/>
      <w:pPr>
        <w:ind w:left="360" w:hanging="360"/>
      </w:pPr>
      <w:rPr>
        <w:rFonts w:hint="default"/>
        <w:b/>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9">
    <w:nsid w:val="40D91886"/>
    <w:multiLevelType w:val="hybridMultilevel"/>
    <w:tmpl w:val="5A0E4E46"/>
    <w:lvl w:ilvl="0" w:tplc="06900B06">
      <w:numFmt w:val="bullet"/>
      <w:lvlText w:val="-"/>
      <w:lvlJc w:val="left"/>
      <w:pPr>
        <w:ind w:left="570" w:hanging="360"/>
      </w:pPr>
      <w:rPr>
        <w:rFonts w:ascii="Verdana" w:eastAsia="Times New Roman" w:hAnsi="Verdana" w:cs="Times New Roman" w:hint="default"/>
      </w:rPr>
    </w:lvl>
    <w:lvl w:ilvl="1" w:tplc="04090003" w:tentative="1">
      <w:start w:val="1"/>
      <w:numFmt w:val="bullet"/>
      <w:lvlText w:val="o"/>
      <w:lvlJc w:val="left"/>
      <w:pPr>
        <w:ind w:left="1290" w:hanging="360"/>
      </w:pPr>
      <w:rPr>
        <w:rFonts w:ascii="Courier New" w:hAnsi="Courier New" w:cs="Courier New" w:hint="default"/>
      </w:rPr>
    </w:lvl>
    <w:lvl w:ilvl="2" w:tplc="04090005" w:tentative="1">
      <w:start w:val="1"/>
      <w:numFmt w:val="bullet"/>
      <w:lvlText w:val=""/>
      <w:lvlJc w:val="left"/>
      <w:pPr>
        <w:ind w:left="2010" w:hanging="360"/>
      </w:pPr>
      <w:rPr>
        <w:rFonts w:ascii="Wingdings" w:hAnsi="Wingdings" w:hint="default"/>
      </w:rPr>
    </w:lvl>
    <w:lvl w:ilvl="3" w:tplc="04090001" w:tentative="1">
      <w:start w:val="1"/>
      <w:numFmt w:val="bullet"/>
      <w:lvlText w:val=""/>
      <w:lvlJc w:val="left"/>
      <w:pPr>
        <w:ind w:left="2730" w:hanging="360"/>
      </w:pPr>
      <w:rPr>
        <w:rFonts w:ascii="Symbol" w:hAnsi="Symbol" w:hint="default"/>
      </w:rPr>
    </w:lvl>
    <w:lvl w:ilvl="4" w:tplc="04090003" w:tentative="1">
      <w:start w:val="1"/>
      <w:numFmt w:val="bullet"/>
      <w:lvlText w:val="o"/>
      <w:lvlJc w:val="left"/>
      <w:pPr>
        <w:ind w:left="3450" w:hanging="360"/>
      </w:pPr>
      <w:rPr>
        <w:rFonts w:ascii="Courier New" w:hAnsi="Courier New" w:cs="Courier New" w:hint="default"/>
      </w:rPr>
    </w:lvl>
    <w:lvl w:ilvl="5" w:tplc="04090005" w:tentative="1">
      <w:start w:val="1"/>
      <w:numFmt w:val="bullet"/>
      <w:lvlText w:val=""/>
      <w:lvlJc w:val="left"/>
      <w:pPr>
        <w:ind w:left="4170" w:hanging="360"/>
      </w:pPr>
      <w:rPr>
        <w:rFonts w:ascii="Wingdings" w:hAnsi="Wingdings" w:hint="default"/>
      </w:rPr>
    </w:lvl>
    <w:lvl w:ilvl="6" w:tplc="04090001" w:tentative="1">
      <w:start w:val="1"/>
      <w:numFmt w:val="bullet"/>
      <w:lvlText w:val=""/>
      <w:lvlJc w:val="left"/>
      <w:pPr>
        <w:ind w:left="4890" w:hanging="360"/>
      </w:pPr>
      <w:rPr>
        <w:rFonts w:ascii="Symbol" w:hAnsi="Symbol" w:hint="default"/>
      </w:rPr>
    </w:lvl>
    <w:lvl w:ilvl="7" w:tplc="04090003" w:tentative="1">
      <w:start w:val="1"/>
      <w:numFmt w:val="bullet"/>
      <w:lvlText w:val="o"/>
      <w:lvlJc w:val="left"/>
      <w:pPr>
        <w:ind w:left="5610" w:hanging="360"/>
      </w:pPr>
      <w:rPr>
        <w:rFonts w:ascii="Courier New" w:hAnsi="Courier New" w:cs="Courier New" w:hint="default"/>
      </w:rPr>
    </w:lvl>
    <w:lvl w:ilvl="8" w:tplc="04090005" w:tentative="1">
      <w:start w:val="1"/>
      <w:numFmt w:val="bullet"/>
      <w:lvlText w:val=""/>
      <w:lvlJc w:val="left"/>
      <w:pPr>
        <w:ind w:left="6330" w:hanging="360"/>
      </w:pPr>
      <w:rPr>
        <w:rFonts w:ascii="Wingdings" w:hAnsi="Wingdings" w:hint="default"/>
      </w:rPr>
    </w:lvl>
  </w:abstractNum>
  <w:abstractNum w:abstractNumId="20">
    <w:nsid w:val="42E87EF0"/>
    <w:multiLevelType w:val="hybridMultilevel"/>
    <w:tmpl w:val="6A70ECCC"/>
    <w:lvl w:ilvl="0" w:tplc="0C0A0001">
      <w:start w:val="1"/>
      <w:numFmt w:val="bullet"/>
      <w:lvlText w:val=""/>
      <w:lvlJc w:val="left"/>
      <w:pPr>
        <w:ind w:left="360" w:hanging="360"/>
      </w:pPr>
      <w:rPr>
        <w:rFonts w:ascii="Symbol" w:hAnsi="Symbol" w:hint="default"/>
      </w:rPr>
    </w:lvl>
    <w:lvl w:ilvl="1" w:tplc="0C0A001B">
      <w:start w:val="1"/>
      <w:numFmt w:val="lowerRoman"/>
      <w:lvlText w:val="%2."/>
      <w:lvlJc w:val="right"/>
      <w:pPr>
        <w:ind w:left="1080" w:hanging="360"/>
      </w:pPr>
      <w:rPr>
        <w:rFonts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1">
    <w:nsid w:val="43235DD6"/>
    <w:multiLevelType w:val="hybridMultilevel"/>
    <w:tmpl w:val="B3DEEC34"/>
    <w:lvl w:ilvl="0" w:tplc="0B30AEC4">
      <w:start w:val="1"/>
      <w:numFmt w:val="lowerLetter"/>
      <w:lvlText w:val="%1)"/>
      <w:lvlJc w:val="left"/>
      <w:pPr>
        <w:ind w:left="786" w:hanging="360"/>
      </w:pPr>
      <w:rPr>
        <w:rFonts w:ascii="Times New Roman" w:eastAsiaTheme="minorHAnsi" w:hAnsi="Times New Roman" w:cs="Times New Roman"/>
        <w:b w:val="0"/>
        <w:color w:val="auto"/>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22">
    <w:nsid w:val="488C642E"/>
    <w:multiLevelType w:val="hybridMultilevel"/>
    <w:tmpl w:val="74AC45F8"/>
    <w:lvl w:ilvl="0" w:tplc="B8B0DDCC">
      <w:start w:val="1"/>
      <w:numFmt w:val="bullet"/>
      <w:lvlText w:val=""/>
      <w:lvlJc w:val="left"/>
      <w:pPr>
        <w:tabs>
          <w:tab w:val="num" w:pos="625"/>
        </w:tabs>
        <w:ind w:left="625" w:hanging="341"/>
      </w:pPr>
      <w:rPr>
        <w:rFonts w:ascii="Symbol" w:hAnsi="Symbol" w:hint="default"/>
        <w:sz w:val="20"/>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3">
    <w:nsid w:val="4C662E5B"/>
    <w:multiLevelType w:val="hybridMultilevel"/>
    <w:tmpl w:val="97F41800"/>
    <w:lvl w:ilvl="0" w:tplc="B16E7CF0">
      <w:start w:val="3"/>
      <w:numFmt w:val="decimal"/>
      <w:lvlText w:val="%1."/>
      <w:lvlJc w:val="left"/>
      <w:pPr>
        <w:ind w:left="720" w:hanging="360"/>
      </w:pPr>
      <w:rPr>
        <w:rFonts w:ascii="Times" w:hAnsi="Time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nsid w:val="4EA85148"/>
    <w:multiLevelType w:val="hybridMultilevel"/>
    <w:tmpl w:val="F788C43C"/>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4F4D04E2"/>
    <w:multiLevelType w:val="hybridMultilevel"/>
    <w:tmpl w:val="12BE56E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6">
    <w:nsid w:val="4FCF0969"/>
    <w:multiLevelType w:val="hybridMultilevel"/>
    <w:tmpl w:val="DC8680DE"/>
    <w:lvl w:ilvl="0" w:tplc="0E040958">
      <w:start w:val="8"/>
      <w:numFmt w:val="decimal"/>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nsid w:val="507A112A"/>
    <w:multiLevelType w:val="hybridMultilevel"/>
    <w:tmpl w:val="D7D24ED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nsid w:val="517A7AAE"/>
    <w:multiLevelType w:val="hybridMultilevel"/>
    <w:tmpl w:val="7BDC09C0"/>
    <w:lvl w:ilvl="0" w:tplc="77C66F1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nsid w:val="52043B51"/>
    <w:multiLevelType w:val="hybridMultilevel"/>
    <w:tmpl w:val="84E0088E"/>
    <w:lvl w:ilvl="0" w:tplc="EA1A8B5A">
      <w:start w:val="1"/>
      <w:numFmt w:val="lowerLetter"/>
      <w:lvlText w:val="%1)"/>
      <w:lvlJc w:val="left"/>
      <w:pPr>
        <w:ind w:left="1068" w:hanging="360"/>
      </w:pPr>
      <w:rPr>
        <w:rFonts w:ascii="Calibri" w:hAnsi="Calibri"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30">
    <w:nsid w:val="528B609A"/>
    <w:multiLevelType w:val="hybridMultilevel"/>
    <w:tmpl w:val="8EEEBB86"/>
    <w:lvl w:ilvl="0" w:tplc="8D986F38">
      <w:start w:val="1"/>
      <w:numFmt w:val="lowerLetter"/>
      <w:lvlText w:val="%1)"/>
      <w:lvlJc w:val="left"/>
      <w:pPr>
        <w:ind w:left="360" w:hanging="360"/>
      </w:pPr>
      <w:rPr>
        <w:rFonts w:hint="default"/>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nsid w:val="55875EF8"/>
    <w:multiLevelType w:val="hybridMultilevel"/>
    <w:tmpl w:val="3D6491C4"/>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2">
    <w:nsid w:val="5613652E"/>
    <w:multiLevelType w:val="hybridMultilevel"/>
    <w:tmpl w:val="D77EAD9C"/>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nsid w:val="604044A7"/>
    <w:multiLevelType w:val="hybridMultilevel"/>
    <w:tmpl w:val="E87EC26E"/>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4">
    <w:nsid w:val="6719060E"/>
    <w:multiLevelType w:val="hybridMultilevel"/>
    <w:tmpl w:val="F6EEA448"/>
    <w:lvl w:ilvl="0" w:tplc="11F8CC92">
      <w:start w:val="1"/>
      <w:numFmt w:val="decimal"/>
      <w:lvlText w:val="%1."/>
      <w:lvlJc w:val="left"/>
      <w:pPr>
        <w:ind w:left="360" w:hanging="360"/>
      </w:pPr>
      <w:rPr>
        <w:rFonts w:hint="default"/>
        <w:b/>
        <w:i w:val="0"/>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5">
    <w:nsid w:val="74135D0F"/>
    <w:multiLevelType w:val="hybridMultilevel"/>
    <w:tmpl w:val="7BBE8CB6"/>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6">
    <w:nsid w:val="79EC2E09"/>
    <w:multiLevelType w:val="multilevel"/>
    <w:tmpl w:val="99DAA70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7B0B3A6C"/>
    <w:multiLevelType w:val="hybridMultilevel"/>
    <w:tmpl w:val="A36CF23A"/>
    <w:lvl w:ilvl="0" w:tplc="352E7A28">
      <w:start w:val="4"/>
      <w:numFmt w:val="decimal"/>
      <w:lvlText w:val="%1."/>
      <w:lvlJc w:val="left"/>
      <w:pPr>
        <w:ind w:left="720" w:hanging="360"/>
      </w:pPr>
      <w:rPr>
        <w:rFonts w:ascii="Times" w:hAnsi="Times" w:hint="default"/>
        <w:b/>
        <w:i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nsid w:val="7B3025D6"/>
    <w:multiLevelType w:val="hybridMultilevel"/>
    <w:tmpl w:val="5644DE28"/>
    <w:lvl w:ilvl="0" w:tplc="AF4EB966">
      <w:start w:val="1"/>
      <w:numFmt w:val="bullet"/>
      <w:lvlText w:val=""/>
      <w:lvlJc w:val="left"/>
      <w:pPr>
        <w:tabs>
          <w:tab w:val="num" w:pos="568"/>
        </w:tabs>
        <w:ind w:left="568" w:hanging="284"/>
      </w:pPr>
      <w:rPr>
        <w:rFonts w:ascii="Wingdings" w:hAnsi="Wingdings" w:hint="default"/>
        <w:sz w:val="16"/>
      </w:rPr>
    </w:lvl>
    <w:lvl w:ilvl="1" w:tplc="04130003" w:tentative="1">
      <w:start w:val="1"/>
      <w:numFmt w:val="bullet"/>
      <w:lvlText w:val="o"/>
      <w:lvlJc w:val="left"/>
      <w:pPr>
        <w:tabs>
          <w:tab w:val="num" w:pos="1724"/>
        </w:tabs>
        <w:ind w:left="1724" w:hanging="360"/>
      </w:pPr>
      <w:rPr>
        <w:rFonts w:ascii="Courier New" w:hAnsi="Courier New" w:hint="default"/>
      </w:rPr>
    </w:lvl>
    <w:lvl w:ilvl="2" w:tplc="04130005" w:tentative="1">
      <w:start w:val="1"/>
      <w:numFmt w:val="bullet"/>
      <w:lvlText w:val=""/>
      <w:lvlJc w:val="left"/>
      <w:pPr>
        <w:tabs>
          <w:tab w:val="num" w:pos="2444"/>
        </w:tabs>
        <w:ind w:left="2444" w:hanging="360"/>
      </w:pPr>
      <w:rPr>
        <w:rFonts w:ascii="Wingdings" w:hAnsi="Wingdings" w:hint="default"/>
      </w:rPr>
    </w:lvl>
    <w:lvl w:ilvl="3" w:tplc="04130001" w:tentative="1">
      <w:start w:val="1"/>
      <w:numFmt w:val="bullet"/>
      <w:lvlText w:val=""/>
      <w:lvlJc w:val="left"/>
      <w:pPr>
        <w:tabs>
          <w:tab w:val="num" w:pos="3164"/>
        </w:tabs>
        <w:ind w:left="3164" w:hanging="360"/>
      </w:pPr>
      <w:rPr>
        <w:rFonts w:ascii="Symbol" w:hAnsi="Symbol" w:hint="default"/>
      </w:rPr>
    </w:lvl>
    <w:lvl w:ilvl="4" w:tplc="04130003" w:tentative="1">
      <w:start w:val="1"/>
      <w:numFmt w:val="bullet"/>
      <w:lvlText w:val="o"/>
      <w:lvlJc w:val="left"/>
      <w:pPr>
        <w:tabs>
          <w:tab w:val="num" w:pos="3884"/>
        </w:tabs>
        <w:ind w:left="3884" w:hanging="360"/>
      </w:pPr>
      <w:rPr>
        <w:rFonts w:ascii="Courier New" w:hAnsi="Courier New" w:hint="default"/>
      </w:rPr>
    </w:lvl>
    <w:lvl w:ilvl="5" w:tplc="04130005" w:tentative="1">
      <w:start w:val="1"/>
      <w:numFmt w:val="bullet"/>
      <w:lvlText w:val=""/>
      <w:lvlJc w:val="left"/>
      <w:pPr>
        <w:tabs>
          <w:tab w:val="num" w:pos="4604"/>
        </w:tabs>
        <w:ind w:left="4604" w:hanging="360"/>
      </w:pPr>
      <w:rPr>
        <w:rFonts w:ascii="Wingdings" w:hAnsi="Wingdings" w:hint="default"/>
      </w:rPr>
    </w:lvl>
    <w:lvl w:ilvl="6" w:tplc="04130001" w:tentative="1">
      <w:start w:val="1"/>
      <w:numFmt w:val="bullet"/>
      <w:lvlText w:val=""/>
      <w:lvlJc w:val="left"/>
      <w:pPr>
        <w:tabs>
          <w:tab w:val="num" w:pos="5324"/>
        </w:tabs>
        <w:ind w:left="5324" w:hanging="360"/>
      </w:pPr>
      <w:rPr>
        <w:rFonts w:ascii="Symbol" w:hAnsi="Symbol" w:hint="default"/>
      </w:rPr>
    </w:lvl>
    <w:lvl w:ilvl="7" w:tplc="04130003" w:tentative="1">
      <w:start w:val="1"/>
      <w:numFmt w:val="bullet"/>
      <w:lvlText w:val="o"/>
      <w:lvlJc w:val="left"/>
      <w:pPr>
        <w:tabs>
          <w:tab w:val="num" w:pos="6044"/>
        </w:tabs>
        <w:ind w:left="6044" w:hanging="360"/>
      </w:pPr>
      <w:rPr>
        <w:rFonts w:ascii="Courier New" w:hAnsi="Courier New" w:hint="default"/>
      </w:rPr>
    </w:lvl>
    <w:lvl w:ilvl="8" w:tplc="04130005" w:tentative="1">
      <w:start w:val="1"/>
      <w:numFmt w:val="bullet"/>
      <w:lvlText w:val=""/>
      <w:lvlJc w:val="left"/>
      <w:pPr>
        <w:tabs>
          <w:tab w:val="num" w:pos="6764"/>
        </w:tabs>
        <w:ind w:left="6764" w:hanging="360"/>
      </w:pPr>
      <w:rPr>
        <w:rFonts w:ascii="Wingdings" w:hAnsi="Wingdings" w:hint="default"/>
      </w:rPr>
    </w:lvl>
  </w:abstractNum>
  <w:num w:numId="1">
    <w:abstractNumId w:val="38"/>
  </w:num>
  <w:num w:numId="2">
    <w:abstractNumId w:val="22"/>
  </w:num>
  <w:num w:numId="3">
    <w:abstractNumId w:val="32"/>
  </w:num>
  <w:num w:numId="4">
    <w:abstractNumId w:val="24"/>
  </w:num>
  <w:num w:numId="5">
    <w:abstractNumId w:val="3"/>
  </w:num>
  <w:num w:numId="6">
    <w:abstractNumId w:val="18"/>
  </w:num>
  <w:num w:numId="7">
    <w:abstractNumId w:val="5"/>
  </w:num>
  <w:num w:numId="8">
    <w:abstractNumId w:val="36"/>
  </w:num>
  <w:num w:numId="9">
    <w:abstractNumId w:val="31"/>
  </w:num>
  <w:num w:numId="10">
    <w:abstractNumId w:val="0"/>
  </w:num>
  <w:num w:numId="11">
    <w:abstractNumId w:val="9"/>
  </w:num>
  <w:num w:numId="12">
    <w:abstractNumId w:val="11"/>
  </w:num>
  <w:num w:numId="13">
    <w:abstractNumId w:val="34"/>
  </w:num>
  <w:num w:numId="14">
    <w:abstractNumId w:val="27"/>
  </w:num>
  <w:num w:numId="15">
    <w:abstractNumId w:val="2"/>
  </w:num>
  <w:num w:numId="16">
    <w:abstractNumId w:val="21"/>
  </w:num>
  <w:num w:numId="17">
    <w:abstractNumId w:val="30"/>
  </w:num>
  <w:num w:numId="18">
    <w:abstractNumId w:val="29"/>
  </w:num>
  <w:num w:numId="19">
    <w:abstractNumId w:val="10"/>
  </w:num>
  <w:num w:numId="20">
    <w:abstractNumId w:val="14"/>
  </w:num>
  <w:num w:numId="21">
    <w:abstractNumId w:val="7"/>
  </w:num>
  <w:num w:numId="22">
    <w:abstractNumId w:val="37"/>
  </w:num>
  <w:num w:numId="23">
    <w:abstractNumId w:val="12"/>
  </w:num>
  <w:num w:numId="24">
    <w:abstractNumId w:val="26"/>
  </w:num>
  <w:num w:numId="25">
    <w:abstractNumId w:val="23"/>
  </w:num>
  <w:num w:numId="26">
    <w:abstractNumId w:val="25"/>
  </w:num>
  <w:num w:numId="27">
    <w:abstractNumId w:val="1"/>
  </w:num>
  <w:num w:numId="28">
    <w:abstractNumId w:val="35"/>
  </w:num>
  <w:num w:numId="29">
    <w:abstractNumId w:val="6"/>
  </w:num>
  <w:num w:numId="30">
    <w:abstractNumId w:val="20"/>
  </w:num>
  <w:num w:numId="31">
    <w:abstractNumId w:val="33"/>
  </w:num>
  <w:num w:numId="32">
    <w:abstractNumId w:val="15"/>
  </w:num>
  <w:num w:numId="33">
    <w:abstractNumId w:val="17"/>
  </w:num>
  <w:num w:numId="34">
    <w:abstractNumId w:val="16"/>
  </w:num>
  <w:num w:numId="35">
    <w:abstractNumId w:val="28"/>
  </w:num>
  <w:num w:numId="36">
    <w:abstractNumId w:val="19"/>
  </w:num>
  <w:num w:numId="37">
    <w:abstractNumId w:val="4"/>
  </w:num>
  <w:num w:numId="38">
    <w:abstractNumId w:val="8"/>
  </w:num>
  <w:num w:numId="39">
    <w:abstractNumId w:val="13"/>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1765"/>
    <w:rsid w:val="00001BA1"/>
    <w:rsid w:val="00003E7A"/>
    <w:rsid w:val="00004A9B"/>
    <w:rsid w:val="000079F2"/>
    <w:rsid w:val="00012D0D"/>
    <w:rsid w:val="000176D5"/>
    <w:rsid w:val="000253EE"/>
    <w:rsid w:val="000323AA"/>
    <w:rsid w:val="00034BAC"/>
    <w:rsid w:val="0003549C"/>
    <w:rsid w:val="00036ED9"/>
    <w:rsid w:val="00047C7B"/>
    <w:rsid w:val="000509F7"/>
    <w:rsid w:val="00050D55"/>
    <w:rsid w:val="00051715"/>
    <w:rsid w:val="00052173"/>
    <w:rsid w:val="000523DF"/>
    <w:rsid w:val="000665A0"/>
    <w:rsid w:val="00082E4D"/>
    <w:rsid w:val="00084451"/>
    <w:rsid w:val="000A45C6"/>
    <w:rsid w:val="000A62A9"/>
    <w:rsid w:val="000A64C1"/>
    <w:rsid w:val="000B6D3F"/>
    <w:rsid w:val="000C48B1"/>
    <w:rsid w:val="000C60F8"/>
    <w:rsid w:val="000E033E"/>
    <w:rsid w:val="000E2F43"/>
    <w:rsid w:val="000E7F3D"/>
    <w:rsid w:val="00104630"/>
    <w:rsid w:val="00110475"/>
    <w:rsid w:val="00111F7A"/>
    <w:rsid w:val="0011628A"/>
    <w:rsid w:val="00124D5B"/>
    <w:rsid w:val="00130BD3"/>
    <w:rsid w:val="00151200"/>
    <w:rsid w:val="001538C6"/>
    <w:rsid w:val="00156AD6"/>
    <w:rsid w:val="00156B63"/>
    <w:rsid w:val="00157FE1"/>
    <w:rsid w:val="00160040"/>
    <w:rsid w:val="00164F49"/>
    <w:rsid w:val="00170280"/>
    <w:rsid w:val="001756A5"/>
    <w:rsid w:val="0017622C"/>
    <w:rsid w:val="00177898"/>
    <w:rsid w:val="00181B67"/>
    <w:rsid w:val="001839A0"/>
    <w:rsid w:val="001A095A"/>
    <w:rsid w:val="001A7C20"/>
    <w:rsid w:val="001B0F29"/>
    <w:rsid w:val="001B4A7A"/>
    <w:rsid w:val="001B6C24"/>
    <w:rsid w:val="001B747B"/>
    <w:rsid w:val="001C0948"/>
    <w:rsid w:val="001D2855"/>
    <w:rsid w:val="001D6007"/>
    <w:rsid w:val="001D7FC4"/>
    <w:rsid w:val="001E4CCD"/>
    <w:rsid w:val="001E757E"/>
    <w:rsid w:val="001E7C2C"/>
    <w:rsid w:val="001F46D5"/>
    <w:rsid w:val="001F6E67"/>
    <w:rsid w:val="002019CB"/>
    <w:rsid w:val="0020502F"/>
    <w:rsid w:val="00205531"/>
    <w:rsid w:val="00207AA8"/>
    <w:rsid w:val="00207DBF"/>
    <w:rsid w:val="002122D7"/>
    <w:rsid w:val="00213D2F"/>
    <w:rsid w:val="002157A9"/>
    <w:rsid w:val="0021726C"/>
    <w:rsid w:val="00220054"/>
    <w:rsid w:val="00224D4B"/>
    <w:rsid w:val="00225C11"/>
    <w:rsid w:val="00225F08"/>
    <w:rsid w:val="0022669C"/>
    <w:rsid w:val="0023499C"/>
    <w:rsid w:val="0023501F"/>
    <w:rsid w:val="00245F6A"/>
    <w:rsid w:val="002552C2"/>
    <w:rsid w:val="00260A6F"/>
    <w:rsid w:val="0027056A"/>
    <w:rsid w:val="00272669"/>
    <w:rsid w:val="002747D1"/>
    <w:rsid w:val="00281621"/>
    <w:rsid w:val="00281765"/>
    <w:rsid w:val="00282C11"/>
    <w:rsid w:val="00290348"/>
    <w:rsid w:val="002960E2"/>
    <w:rsid w:val="00296830"/>
    <w:rsid w:val="002A019C"/>
    <w:rsid w:val="002A4EB6"/>
    <w:rsid w:val="002B24B0"/>
    <w:rsid w:val="002C1527"/>
    <w:rsid w:val="002C56E0"/>
    <w:rsid w:val="002C57DF"/>
    <w:rsid w:val="002F19E4"/>
    <w:rsid w:val="002F213D"/>
    <w:rsid w:val="00304647"/>
    <w:rsid w:val="003171FE"/>
    <w:rsid w:val="003202C1"/>
    <w:rsid w:val="00325746"/>
    <w:rsid w:val="00341EE0"/>
    <w:rsid w:val="00344EE4"/>
    <w:rsid w:val="00344FEE"/>
    <w:rsid w:val="00347317"/>
    <w:rsid w:val="00350B99"/>
    <w:rsid w:val="00351177"/>
    <w:rsid w:val="00355D0A"/>
    <w:rsid w:val="0036459B"/>
    <w:rsid w:val="00364CAC"/>
    <w:rsid w:val="00364FEC"/>
    <w:rsid w:val="003812A9"/>
    <w:rsid w:val="00381B39"/>
    <w:rsid w:val="00394B00"/>
    <w:rsid w:val="003964B2"/>
    <w:rsid w:val="003A02A3"/>
    <w:rsid w:val="003A217B"/>
    <w:rsid w:val="003A721F"/>
    <w:rsid w:val="003B6009"/>
    <w:rsid w:val="003B6493"/>
    <w:rsid w:val="003C402D"/>
    <w:rsid w:val="003C46CB"/>
    <w:rsid w:val="003D0C44"/>
    <w:rsid w:val="003D1EE6"/>
    <w:rsid w:val="003D6002"/>
    <w:rsid w:val="003E0B79"/>
    <w:rsid w:val="003F5CDD"/>
    <w:rsid w:val="003F7A6F"/>
    <w:rsid w:val="00406BDD"/>
    <w:rsid w:val="0042043C"/>
    <w:rsid w:val="00421987"/>
    <w:rsid w:val="00424F71"/>
    <w:rsid w:val="00426D73"/>
    <w:rsid w:val="00431DB3"/>
    <w:rsid w:val="00437948"/>
    <w:rsid w:val="004408EC"/>
    <w:rsid w:val="0044097B"/>
    <w:rsid w:val="00444826"/>
    <w:rsid w:val="0044507F"/>
    <w:rsid w:val="0045360F"/>
    <w:rsid w:val="0045760F"/>
    <w:rsid w:val="00457B17"/>
    <w:rsid w:val="00470C57"/>
    <w:rsid w:val="004717AA"/>
    <w:rsid w:val="00472346"/>
    <w:rsid w:val="004756F9"/>
    <w:rsid w:val="004807B5"/>
    <w:rsid w:val="00484587"/>
    <w:rsid w:val="00486D4C"/>
    <w:rsid w:val="00487A55"/>
    <w:rsid w:val="00491BDF"/>
    <w:rsid w:val="00492590"/>
    <w:rsid w:val="004930CE"/>
    <w:rsid w:val="004A0E71"/>
    <w:rsid w:val="004B2E99"/>
    <w:rsid w:val="004B4CB4"/>
    <w:rsid w:val="004C32F6"/>
    <w:rsid w:val="004D07EE"/>
    <w:rsid w:val="004D1150"/>
    <w:rsid w:val="004D2034"/>
    <w:rsid w:val="004D310D"/>
    <w:rsid w:val="004D68C6"/>
    <w:rsid w:val="004D7B4C"/>
    <w:rsid w:val="004E2F72"/>
    <w:rsid w:val="004F0416"/>
    <w:rsid w:val="004F19DB"/>
    <w:rsid w:val="004F25FD"/>
    <w:rsid w:val="004F32E8"/>
    <w:rsid w:val="004F5248"/>
    <w:rsid w:val="00501273"/>
    <w:rsid w:val="005038C0"/>
    <w:rsid w:val="005156E2"/>
    <w:rsid w:val="005174C9"/>
    <w:rsid w:val="00530F00"/>
    <w:rsid w:val="00535074"/>
    <w:rsid w:val="00550939"/>
    <w:rsid w:val="005518EC"/>
    <w:rsid w:val="00552674"/>
    <w:rsid w:val="00555BD0"/>
    <w:rsid w:val="00566B28"/>
    <w:rsid w:val="00570322"/>
    <w:rsid w:val="00570D95"/>
    <w:rsid w:val="00571C59"/>
    <w:rsid w:val="00577779"/>
    <w:rsid w:val="005951AE"/>
    <w:rsid w:val="005A2DA8"/>
    <w:rsid w:val="005B658D"/>
    <w:rsid w:val="005B7023"/>
    <w:rsid w:val="005B77A4"/>
    <w:rsid w:val="005C15E2"/>
    <w:rsid w:val="005C758B"/>
    <w:rsid w:val="005D264E"/>
    <w:rsid w:val="005D6381"/>
    <w:rsid w:val="005E06FC"/>
    <w:rsid w:val="005E2A41"/>
    <w:rsid w:val="005E65E3"/>
    <w:rsid w:val="005F15DB"/>
    <w:rsid w:val="005F77E9"/>
    <w:rsid w:val="005F7DC0"/>
    <w:rsid w:val="00612BB3"/>
    <w:rsid w:val="00616133"/>
    <w:rsid w:val="00641D3C"/>
    <w:rsid w:val="006474A3"/>
    <w:rsid w:val="006475CF"/>
    <w:rsid w:val="0065260B"/>
    <w:rsid w:val="0066167C"/>
    <w:rsid w:val="006630E3"/>
    <w:rsid w:val="00672670"/>
    <w:rsid w:val="00674CCD"/>
    <w:rsid w:val="006757DB"/>
    <w:rsid w:val="00676141"/>
    <w:rsid w:val="00677ECD"/>
    <w:rsid w:val="00681297"/>
    <w:rsid w:val="00682544"/>
    <w:rsid w:val="006874FE"/>
    <w:rsid w:val="00692A71"/>
    <w:rsid w:val="00693A0B"/>
    <w:rsid w:val="006A7036"/>
    <w:rsid w:val="006A7DBF"/>
    <w:rsid w:val="006B0B0B"/>
    <w:rsid w:val="006C0154"/>
    <w:rsid w:val="006C016E"/>
    <w:rsid w:val="006E14D4"/>
    <w:rsid w:val="006E198F"/>
    <w:rsid w:val="006E3D9A"/>
    <w:rsid w:val="006E525D"/>
    <w:rsid w:val="006F4996"/>
    <w:rsid w:val="00700987"/>
    <w:rsid w:val="00703289"/>
    <w:rsid w:val="007163C6"/>
    <w:rsid w:val="00726443"/>
    <w:rsid w:val="007303E6"/>
    <w:rsid w:val="007315C1"/>
    <w:rsid w:val="007330C7"/>
    <w:rsid w:val="0073333C"/>
    <w:rsid w:val="0073354E"/>
    <w:rsid w:val="00736648"/>
    <w:rsid w:val="00744088"/>
    <w:rsid w:val="007562BD"/>
    <w:rsid w:val="00757344"/>
    <w:rsid w:val="007736E2"/>
    <w:rsid w:val="00774D43"/>
    <w:rsid w:val="00776179"/>
    <w:rsid w:val="00776F6D"/>
    <w:rsid w:val="00777337"/>
    <w:rsid w:val="0078522D"/>
    <w:rsid w:val="0079185A"/>
    <w:rsid w:val="007A1474"/>
    <w:rsid w:val="007A1F62"/>
    <w:rsid w:val="007A2B2F"/>
    <w:rsid w:val="007B2A57"/>
    <w:rsid w:val="007C0494"/>
    <w:rsid w:val="007C2E55"/>
    <w:rsid w:val="007C5FAC"/>
    <w:rsid w:val="007D5A18"/>
    <w:rsid w:val="007E0AEB"/>
    <w:rsid w:val="007E4231"/>
    <w:rsid w:val="0080053B"/>
    <w:rsid w:val="00801763"/>
    <w:rsid w:val="008055EC"/>
    <w:rsid w:val="00812F98"/>
    <w:rsid w:val="0082064A"/>
    <w:rsid w:val="0082184F"/>
    <w:rsid w:val="00830765"/>
    <w:rsid w:val="0083180C"/>
    <w:rsid w:val="00832F62"/>
    <w:rsid w:val="00834CA0"/>
    <w:rsid w:val="00840785"/>
    <w:rsid w:val="008422E4"/>
    <w:rsid w:val="00844CB9"/>
    <w:rsid w:val="00845634"/>
    <w:rsid w:val="00854A27"/>
    <w:rsid w:val="0085577B"/>
    <w:rsid w:val="00862D27"/>
    <w:rsid w:val="00866DD3"/>
    <w:rsid w:val="00870DA5"/>
    <w:rsid w:val="008736F8"/>
    <w:rsid w:val="00877672"/>
    <w:rsid w:val="00893DB9"/>
    <w:rsid w:val="00893E5D"/>
    <w:rsid w:val="008A00AF"/>
    <w:rsid w:val="008A27B3"/>
    <w:rsid w:val="008A536A"/>
    <w:rsid w:val="008A78C4"/>
    <w:rsid w:val="008C016C"/>
    <w:rsid w:val="008C4044"/>
    <w:rsid w:val="008C4472"/>
    <w:rsid w:val="008C647A"/>
    <w:rsid w:val="008D0F2C"/>
    <w:rsid w:val="008D24C2"/>
    <w:rsid w:val="008D7575"/>
    <w:rsid w:val="008E45D7"/>
    <w:rsid w:val="008E509A"/>
    <w:rsid w:val="00906CD5"/>
    <w:rsid w:val="0091125B"/>
    <w:rsid w:val="00911889"/>
    <w:rsid w:val="00914161"/>
    <w:rsid w:val="0092244F"/>
    <w:rsid w:val="00926101"/>
    <w:rsid w:val="00926559"/>
    <w:rsid w:val="00926A97"/>
    <w:rsid w:val="00931630"/>
    <w:rsid w:val="009328AB"/>
    <w:rsid w:val="00932AEB"/>
    <w:rsid w:val="00933A81"/>
    <w:rsid w:val="00937F50"/>
    <w:rsid w:val="00940A24"/>
    <w:rsid w:val="00944BB1"/>
    <w:rsid w:val="009543B8"/>
    <w:rsid w:val="009553EE"/>
    <w:rsid w:val="00957D30"/>
    <w:rsid w:val="009729C8"/>
    <w:rsid w:val="00977380"/>
    <w:rsid w:val="009776FE"/>
    <w:rsid w:val="00981AF5"/>
    <w:rsid w:val="00981CB3"/>
    <w:rsid w:val="009874B2"/>
    <w:rsid w:val="00990490"/>
    <w:rsid w:val="00990FF9"/>
    <w:rsid w:val="00994090"/>
    <w:rsid w:val="0099706A"/>
    <w:rsid w:val="00997547"/>
    <w:rsid w:val="009B70E3"/>
    <w:rsid w:val="009C7518"/>
    <w:rsid w:val="009D17BC"/>
    <w:rsid w:val="009E773F"/>
    <w:rsid w:val="009F5B26"/>
    <w:rsid w:val="009F671B"/>
    <w:rsid w:val="009F7758"/>
    <w:rsid w:val="00A1633D"/>
    <w:rsid w:val="00A55E19"/>
    <w:rsid w:val="00A56F70"/>
    <w:rsid w:val="00A60979"/>
    <w:rsid w:val="00A61BE3"/>
    <w:rsid w:val="00A62AE8"/>
    <w:rsid w:val="00A6363E"/>
    <w:rsid w:val="00A637A6"/>
    <w:rsid w:val="00A70B38"/>
    <w:rsid w:val="00A72A8D"/>
    <w:rsid w:val="00A74E5B"/>
    <w:rsid w:val="00A75E62"/>
    <w:rsid w:val="00A76904"/>
    <w:rsid w:val="00A8256F"/>
    <w:rsid w:val="00A84ED1"/>
    <w:rsid w:val="00A86E50"/>
    <w:rsid w:val="00A8774F"/>
    <w:rsid w:val="00A97169"/>
    <w:rsid w:val="00A977A4"/>
    <w:rsid w:val="00AA1201"/>
    <w:rsid w:val="00AB3952"/>
    <w:rsid w:val="00AB4615"/>
    <w:rsid w:val="00AC377C"/>
    <w:rsid w:val="00AC70A4"/>
    <w:rsid w:val="00AC7EEA"/>
    <w:rsid w:val="00AE52C6"/>
    <w:rsid w:val="00AE5708"/>
    <w:rsid w:val="00AF6F63"/>
    <w:rsid w:val="00B00BF4"/>
    <w:rsid w:val="00B0475E"/>
    <w:rsid w:val="00B04EE0"/>
    <w:rsid w:val="00B0588F"/>
    <w:rsid w:val="00B0782D"/>
    <w:rsid w:val="00B07A9D"/>
    <w:rsid w:val="00B153DF"/>
    <w:rsid w:val="00B251B0"/>
    <w:rsid w:val="00B342A4"/>
    <w:rsid w:val="00B40676"/>
    <w:rsid w:val="00B416E1"/>
    <w:rsid w:val="00B42929"/>
    <w:rsid w:val="00B46725"/>
    <w:rsid w:val="00B47F27"/>
    <w:rsid w:val="00B53DDC"/>
    <w:rsid w:val="00B542A9"/>
    <w:rsid w:val="00B57F45"/>
    <w:rsid w:val="00B73C8F"/>
    <w:rsid w:val="00B86966"/>
    <w:rsid w:val="00B90FC1"/>
    <w:rsid w:val="00B922AF"/>
    <w:rsid w:val="00B95AA8"/>
    <w:rsid w:val="00B975C6"/>
    <w:rsid w:val="00BB16F3"/>
    <w:rsid w:val="00BC2885"/>
    <w:rsid w:val="00BD2329"/>
    <w:rsid w:val="00BD5CBA"/>
    <w:rsid w:val="00BD785D"/>
    <w:rsid w:val="00BE3305"/>
    <w:rsid w:val="00BE7F3C"/>
    <w:rsid w:val="00BF10BE"/>
    <w:rsid w:val="00C0621E"/>
    <w:rsid w:val="00C25730"/>
    <w:rsid w:val="00C273FE"/>
    <w:rsid w:val="00C3029E"/>
    <w:rsid w:val="00C31021"/>
    <w:rsid w:val="00C3431E"/>
    <w:rsid w:val="00C41AB8"/>
    <w:rsid w:val="00C45821"/>
    <w:rsid w:val="00C519C9"/>
    <w:rsid w:val="00C5680C"/>
    <w:rsid w:val="00C6289E"/>
    <w:rsid w:val="00C64495"/>
    <w:rsid w:val="00C72967"/>
    <w:rsid w:val="00C73ADD"/>
    <w:rsid w:val="00C73F68"/>
    <w:rsid w:val="00C7773D"/>
    <w:rsid w:val="00C82464"/>
    <w:rsid w:val="00C83098"/>
    <w:rsid w:val="00C83CFB"/>
    <w:rsid w:val="00C85433"/>
    <w:rsid w:val="00C90E88"/>
    <w:rsid w:val="00C916C6"/>
    <w:rsid w:val="00C93091"/>
    <w:rsid w:val="00C9370F"/>
    <w:rsid w:val="00CA035C"/>
    <w:rsid w:val="00CA0825"/>
    <w:rsid w:val="00CA1A33"/>
    <w:rsid w:val="00CA7AD9"/>
    <w:rsid w:val="00CB133F"/>
    <w:rsid w:val="00CC446B"/>
    <w:rsid w:val="00CC5696"/>
    <w:rsid w:val="00CC61D1"/>
    <w:rsid w:val="00CC6D20"/>
    <w:rsid w:val="00CD30AC"/>
    <w:rsid w:val="00CD3413"/>
    <w:rsid w:val="00CD6691"/>
    <w:rsid w:val="00CE093E"/>
    <w:rsid w:val="00CE1AC9"/>
    <w:rsid w:val="00CE531E"/>
    <w:rsid w:val="00CE780E"/>
    <w:rsid w:val="00CF142A"/>
    <w:rsid w:val="00CF1648"/>
    <w:rsid w:val="00CF2F3F"/>
    <w:rsid w:val="00CF5B8F"/>
    <w:rsid w:val="00D0049B"/>
    <w:rsid w:val="00D01D55"/>
    <w:rsid w:val="00D01F84"/>
    <w:rsid w:val="00D10479"/>
    <w:rsid w:val="00D113BD"/>
    <w:rsid w:val="00D15386"/>
    <w:rsid w:val="00D16E20"/>
    <w:rsid w:val="00D20A3C"/>
    <w:rsid w:val="00D27B28"/>
    <w:rsid w:val="00D30EE1"/>
    <w:rsid w:val="00D37839"/>
    <w:rsid w:val="00D439C8"/>
    <w:rsid w:val="00D45E13"/>
    <w:rsid w:val="00D46FFA"/>
    <w:rsid w:val="00D51C96"/>
    <w:rsid w:val="00D56355"/>
    <w:rsid w:val="00D64400"/>
    <w:rsid w:val="00D6682C"/>
    <w:rsid w:val="00D747D7"/>
    <w:rsid w:val="00D76B07"/>
    <w:rsid w:val="00D83D31"/>
    <w:rsid w:val="00D92444"/>
    <w:rsid w:val="00DA4D56"/>
    <w:rsid w:val="00DA7233"/>
    <w:rsid w:val="00DB34AC"/>
    <w:rsid w:val="00DB3E87"/>
    <w:rsid w:val="00DC1FC6"/>
    <w:rsid w:val="00DC72FA"/>
    <w:rsid w:val="00DC7ABD"/>
    <w:rsid w:val="00DD64DF"/>
    <w:rsid w:val="00DE0523"/>
    <w:rsid w:val="00DE0F4E"/>
    <w:rsid w:val="00DE18F6"/>
    <w:rsid w:val="00DE1B11"/>
    <w:rsid w:val="00DE48F6"/>
    <w:rsid w:val="00DE6019"/>
    <w:rsid w:val="00DF13D1"/>
    <w:rsid w:val="00DF496D"/>
    <w:rsid w:val="00E02734"/>
    <w:rsid w:val="00E02742"/>
    <w:rsid w:val="00E121BF"/>
    <w:rsid w:val="00E154A2"/>
    <w:rsid w:val="00E1620A"/>
    <w:rsid w:val="00E166EF"/>
    <w:rsid w:val="00E25E91"/>
    <w:rsid w:val="00E26CCB"/>
    <w:rsid w:val="00E27AF8"/>
    <w:rsid w:val="00E33D68"/>
    <w:rsid w:val="00E347D4"/>
    <w:rsid w:val="00E36BAB"/>
    <w:rsid w:val="00E3754B"/>
    <w:rsid w:val="00E424CE"/>
    <w:rsid w:val="00E50981"/>
    <w:rsid w:val="00E52E99"/>
    <w:rsid w:val="00E56566"/>
    <w:rsid w:val="00E66EBE"/>
    <w:rsid w:val="00E67527"/>
    <w:rsid w:val="00E707A4"/>
    <w:rsid w:val="00E70D96"/>
    <w:rsid w:val="00E72733"/>
    <w:rsid w:val="00E74BDE"/>
    <w:rsid w:val="00E75419"/>
    <w:rsid w:val="00E764D1"/>
    <w:rsid w:val="00E76A96"/>
    <w:rsid w:val="00E841A1"/>
    <w:rsid w:val="00E902ED"/>
    <w:rsid w:val="00E90AD2"/>
    <w:rsid w:val="00E97772"/>
    <w:rsid w:val="00EA374D"/>
    <w:rsid w:val="00EA43AB"/>
    <w:rsid w:val="00EB3250"/>
    <w:rsid w:val="00EB383D"/>
    <w:rsid w:val="00EB4F90"/>
    <w:rsid w:val="00EB6BC8"/>
    <w:rsid w:val="00EB7D88"/>
    <w:rsid w:val="00EC2E4E"/>
    <w:rsid w:val="00ED0E1E"/>
    <w:rsid w:val="00ED2EBF"/>
    <w:rsid w:val="00ED4DA3"/>
    <w:rsid w:val="00EE55B5"/>
    <w:rsid w:val="00EE7B86"/>
    <w:rsid w:val="00EF459E"/>
    <w:rsid w:val="00F00383"/>
    <w:rsid w:val="00F0200B"/>
    <w:rsid w:val="00F166E3"/>
    <w:rsid w:val="00F17038"/>
    <w:rsid w:val="00F22B15"/>
    <w:rsid w:val="00F24FEF"/>
    <w:rsid w:val="00F27EA3"/>
    <w:rsid w:val="00F3082B"/>
    <w:rsid w:val="00F34F93"/>
    <w:rsid w:val="00F3652F"/>
    <w:rsid w:val="00F366D2"/>
    <w:rsid w:val="00F40734"/>
    <w:rsid w:val="00F436DD"/>
    <w:rsid w:val="00F454CC"/>
    <w:rsid w:val="00F473BB"/>
    <w:rsid w:val="00F52067"/>
    <w:rsid w:val="00F53033"/>
    <w:rsid w:val="00F85610"/>
    <w:rsid w:val="00F9183B"/>
    <w:rsid w:val="00F91A63"/>
    <w:rsid w:val="00F94F12"/>
    <w:rsid w:val="00FA617C"/>
    <w:rsid w:val="00FB0AA1"/>
    <w:rsid w:val="00FB43C0"/>
    <w:rsid w:val="00FB5095"/>
    <w:rsid w:val="00FB5389"/>
    <w:rsid w:val="00FC0C0A"/>
    <w:rsid w:val="00FC3FAD"/>
    <w:rsid w:val="00FC50D0"/>
    <w:rsid w:val="00FD1EE3"/>
    <w:rsid w:val="00FE417C"/>
    <w:rsid w:val="00FE6997"/>
    <w:rsid w:val="00FF1EE3"/>
    <w:rsid w:val="00FF2358"/>
    <w:rsid w:val="00FF43B0"/>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fr-BE" w:eastAsia="fr-B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9" w:qFormat="1"/>
    <w:lsdException w:name="heading 3" w:locked="1" w:uiPriority="0" w:qFormat="1"/>
    <w:lsdException w:name="heading 4" w:locked="1" w:uiPriority="0" w:qFormat="1"/>
    <w:lsdException w:name="heading 5" w:locked="1" w:uiPriority="9"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721F"/>
    <w:pPr>
      <w:spacing w:after="200" w:line="276" w:lineRule="auto"/>
    </w:pPr>
    <w:rPr>
      <w:lang w:val="en-US" w:eastAsia="en-US"/>
    </w:rPr>
  </w:style>
  <w:style w:type="paragraph" w:styleId="Heading1">
    <w:name w:val="heading 1"/>
    <w:basedOn w:val="Normal"/>
    <w:next w:val="Normal"/>
    <w:link w:val="Heading1Char"/>
    <w:uiPriority w:val="9"/>
    <w:qFormat/>
    <w:locked/>
    <w:rsid w:val="00A75E62"/>
    <w:pPr>
      <w:keepNext/>
      <w:spacing w:before="240" w:after="60"/>
      <w:outlineLvl w:val="0"/>
    </w:pPr>
    <w:rPr>
      <w:rFonts w:ascii="Cambria" w:eastAsia="Times New Roman" w:hAnsi="Cambria"/>
      <w:b/>
      <w:bCs/>
      <w:kern w:val="32"/>
      <w:sz w:val="32"/>
      <w:szCs w:val="32"/>
      <w:lang w:val="en-GB"/>
    </w:rPr>
  </w:style>
  <w:style w:type="paragraph" w:styleId="Heading2">
    <w:name w:val="heading 2"/>
    <w:basedOn w:val="Normal"/>
    <w:next w:val="Normal"/>
    <w:link w:val="Heading2Char"/>
    <w:uiPriority w:val="9"/>
    <w:unhideWhenUsed/>
    <w:qFormat/>
    <w:locked/>
    <w:rsid w:val="00A75E62"/>
    <w:pPr>
      <w:keepNext/>
      <w:spacing w:before="240" w:after="60"/>
      <w:outlineLvl w:val="1"/>
    </w:pPr>
    <w:rPr>
      <w:rFonts w:ascii="Cambria" w:eastAsia="Times New Roman" w:hAnsi="Cambria"/>
      <w:b/>
      <w:bCs/>
      <w:i/>
      <w:iCs/>
      <w:sz w:val="28"/>
      <w:szCs w:val="28"/>
      <w:lang w:val="en-GB"/>
    </w:rPr>
  </w:style>
  <w:style w:type="paragraph" w:styleId="Heading5">
    <w:name w:val="heading 5"/>
    <w:basedOn w:val="Normal"/>
    <w:link w:val="Heading5Char"/>
    <w:uiPriority w:val="9"/>
    <w:qFormat/>
    <w:locked/>
    <w:rsid w:val="00A75E62"/>
    <w:pPr>
      <w:spacing w:before="100" w:beforeAutospacing="1" w:after="100" w:afterAutospacing="1" w:line="240" w:lineRule="auto"/>
      <w:outlineLvl w:val="4"/>
    </w:pPr>
    <w:rPr>
      <w:rFonts w:ascii="Times New Roman" w:eastAsia="Times New Roman" w:hAnsi="Times New Roman"/>
      <w:b/>
      <w:bCs/>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944B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44BB1"/>
    <w:rPr>
      <w:rFonts w:ascii="Tahoma" w:hAnsi="Tahoma" w:cs="Tahoma"/>
      <w:sz w:val="16"/>
      <w:szCs w:val="16"/>
    </w:rPr>
  </w:style>
  <w:style w:type="paragraph" w:customStyle="1" w:styleId="Default">
    <w:name w:val="Default"/>
    <w:rsid w:val="007A2B2F"/>
    <w:pPr>
      <w:autoSpaceDE w:val="0"/>
      <w:autoSpaceDN w:val="0"/>
      <w:adjustRightInd w:val="0"/>
    </w:pPr>
    <w:rPr>
      <w:rFonts w:ascii="Arial" w:hAnsi="Arial" w:cs="Arial"/>
      <w:color w:val="000000"/>
      <w:sz w:val="24"/>
      <w:szCs w:val="24"/>
      <w:lang w:val="en-US" w:eastAsia="en-US"/>
    </w:rPr>
  </w:style>
  <w:style w:type="paragraph" w:customStyle="1" w:styleId="ListParagraph1">
    <w:name w:val="List Paragraph1"/>
    <w:basedOn w:val="Normal"/>
    <w:uiPriority w:val="99"/>
    <w:rsid w:val="00D01F84"/>
    <w:pPr>
      <w:ind w:left="720"/>
      <w:contextualSpacing/>
    </w:pPr>
    <w:rPr>
      <w:rFonts w:eastAsia="Times New Roman"/>
    </w:rPr>
  </w:style>
  <w:style w:type="character" w:styleId="CommentReference">
    <w:name w:val="annotation reference"/>
    <w:basedOn w:val="DefaultParagraphFont"/>
    <w:uiPriority w:val="99"/>
    <w:semiHidden/>
    <w:rsid w:val="00944BB1"/>
    <w:rPr>
      <w:rFonts w:cs="Times New Roman"/>
      <w:sz w:val="16"/>
      <w:szCs w:val="16"/>
    </w:rPr>
  </w:style>
  <w:style w:type="paragraph" w:styleId="CommentText">
    <w:name w:val="annotation text"/>
    <w:basedOn w:val="Normal"/>
    <w:link w:val="CommentTextChar"/>
    <w:uiPriority w:val="99"/>
    <w:rsid w:val="00944BB1"/>
    <w:pPr>
      <w:spacing w:line="240" w:lineRule="auto"/>
    </w:pPr>
    <w:rPr>
      <w:sz w:val="20"/>
      <w:szCs w:val="20"/>
    </w:rPr>
  </w:style>
  <w:style w:type="character" w:customStyle="1" w:styleId="CommentTextChar">
    <w:name w:val="Comment Text Char"/>
    <w:basedOn w:val="DefaultParagraphFont"/>
    <w:link w:val="CommentText"/>
    <w:uiPriority w:val="99"/>
    <w:locked/>
    <w:rsid w:val="00944BB1"/>
    <w:rPr>
      <w:rFonts w:cs="Times New Roman"/>
      <w:sz w:val="20"/>
      <w:szCs w:val="20"/>
    </w:rPr>
  </w:style>
  <w:style w:type="paragraph" w:styleId="CommentSubject">
    <w:name w:val="annotation subject"/>
    <w:basedOn w:val="CommentText"/>
    <w:next w:val="CommentText"/>
    <w:link w:val="CommentSubjectChar"/>
    <w:uiPriority w:val="99"/>
    <w:semiHidden/>
    <w:rsid w:val="00944BB1"/>
    <w:rPr>
      <w:b/>
      <w:bCs/>
    </w:rPr>
  </w:style>
  <w:style w:type="character" w:customStyle="1" w:styleId="CommentSubjectChar">
    <w:name w:val="Comment Subject Char"/>
    <w:basedOn w:val="CommentTextChar"/>
    <w:link w:val="CommentSubject"/>
    <w:uiPriority w:val="99"/>
    <w:semiHidden/>
    <w:locked/>
    <w:rsid w:val="00944BB1"/>
    <w:rPr>
      <w:rFonts w:cs="Times New Roman"/>
      <w:b/>
      <w:bCs/>
      <w:sz w:val="20"/>
      <w:szCs w:val="20"/>
    </w:rPr>
  </w:style>
  <w:style w:type="paragraph" w:styleId="ListParagraph">
    <w:name w:val="List Paragraph"/>
    <w:aliases w:val="Fußnoten"/>
    <w:basedOn w:val="Normal"/>
    <w:uiPriority w:val="34"/>
    <w:qFormat/>
    <w:rsid w:val="004F32E8"/>
    <w:pPr>
      <w:spacing w:after="0" w:line="240" w:lineRule="auto"/>
      <w:ind w:left="720"/>
      <w:contextualSpacing/>
    </w:pPr>
    <w:rPr>
      <w:rFonts w:ascii="Times New Roman" w:eastAsia="Times New Roman" w:hAnsi="Times New Roman"/>
      <w:sz w:val="24"/>
      <w:szCs w:val="24"/>
    </w:rPr>
  </w:style>
  <w:style w:type="paragraph" w:styleId="FootnoteText">
    <w:name w:val="footnote text"/>
    <w:basedOn w:val="Normal"/>
    <w:link w:val="FootnoteTextChar"/>
    <w:uiPriority w:val="99"/>
    <w:rsid w:val="000A62A9"/>
    <w:pPr>
      <w:spacing w:after="0" w:line="240" w:lineRule="auto"/>
    </w:pPr>
    <w:rPr>
      <w:sz w:val="20"/>
      <w:szCs w:val="20"/>
      <w:lang w:val="de-DE"/>
    </w:rPr>
  </w:style>
  <w:style w:type="character" w:customStyle="1" w:styleId="FootnoteTextChar">
    <w:name w:val="Footnote Text Char"/>
    <w:basedOn w:val="DefaultParagraphFont"/>
    <w:link w:val="FootnoteText"/>
    <w:uiPriority w:val="99"/>
    <w:locked/>
    <w:rsid w:val="000A62A9"/>
    <w:rPr>
      <w:rFonts w:cs="Times New Roman"/>
      <w:sz w:val="20"/>
      <w:szCs w:val="20"/>
      <w:lang w:val="de-DE"/>
    </w:rPr>
  </w:style>
  <w:style w:type="character" w:styleId="FootnoteReference">
    <w:name w:val="footnote reference"/>
    <w:basedOn w:val="DefaultParagraphFont"/>
    <w:uiPriority w:val="99"/>
    <w:rsid w:val="000A62A9"/>
    <w:rPr>
      <w:rFonts w:cs="Times New Roman"/>
      <w:vertAlign w:val="superscript"/>
    </w:rPr>
  </w:style>
  <w:style w:type="paragraph" w:styleId="Revision">
    <w:name w:val="Revision"/>
    <w:hidden/>
    <w:uiPriority w:val="99"/>
    <w:semiHidden/>
    <w:rsid w:val="00672670"/>
    <w:rPr>
      <w:lang w:val="en-US" w:eastAsia="en-US"/>
    </w:rPr>
  </w:style>
  <w:style w:type="character" w:styleId="Hyperlink">
    <w:name w:val="Hyperlink"/>
    <w:basedOn w:val="DefaultParagraphFont"/>
    <w:uiPriority w:val="99"/>
    <w:unhideWhenUsed/>
    <w:rsid w:val="00F473BB"/>
    <w:rPr>
      <w:color w:val="0000FF"/>
      <w:u w:val="single"/>
    </w:rPr>
  </w:style>
  <w:style w:type="paragraph" w:styleId="Header">
    <w:name w:val="header"/>
    <w:basedOn w:val="Normal"/>
    <w:link w:val="HeaderChar"/>
    <w:uiPriority w:val="99"/>
    <w:unhideWhenUsed/>
    <w:rsid w:val="00906CD5"/>
    <w:pPr>
      <w:tabs>
        <w:tab w:val="center" w:pos="4536"/>
        <w:tab w:val="right" w:pos="9072"/>
      </w:tabs>
      <w:spacing w:after="0" w:line="240" w:lineRule="auto"/>
    </w:pPr>
  </w:style>
  <w:style w:type="character" w:customStyle="1" w:styleId="HeaderChar">
    <w:name w:val="Header Char"/>
    <w:basedOn w:val="DefaultParagraphFont"/>
    <w:link w:val="Header"/>
    <w:uiPriority w:val="99"/>
    <w:rsid w:val="00906CD5"/>
    <w:rPr>
      <w:lang w:val="en-US" w:eastAsia="en-US"/>
    </w:rPr>
  </w:style>
  <w:style w:type="paragraph" w:styleId="Footer">
    <w:name w:val="footer"/>
    <w:basedOn w:val="Normal"/>
    <w:link w:val="FooterChar"/>
    <w:uiPriority w:val="99"/>
    <w:unhideWhenUsed/>
    <w:rsid w:val="00906CD5"/>
    <w:pPr>
      <w:tabs>
        <w:tab w:val="center" w:pos="4536"/>
        <w:tab w:val="right" w:pos="9072"/>
      </w:tabs>
      <w:spacing w:after="0" w:line="240" w:lineRule="auto"/>
    </w:pPr>
  </w:style>
  <w:style w:type="character" w:customStyle="1" w:styleId="FooterChar">
    <w:name w:val="Footer Char"/>
    <w:basedOn w:val="DefaultParagraphFont"/>
    <w:link w:val="Footer"/>
    <w:uiPriority w:val="99"/>
    <w:rsid w:val="00906CD5"/>
    <w:rPr>
      <w:lang w:val="en-US" w:eastAsia="en-US"/>
    </w:rPr>
  </w:style>
  <w:style w:type="paragraph" w:styleId="NoSpacing">
    <w:name w:val="No Spacing"/>
    <w:uiPriority w:val="1"/>
    <w:qFormat/>
    <w:rsid w:val="0044097B"/>
    <w:rPr>
      <w:rFonts w:eastAsiaTheme="minorHAnsi" w:cs="Calibri"/>
      <w:lang w:val="de-DE" w:eastAsia="de-DE"/>
    </w:rPr>
  </w:style>
  <w:style w:type="character" w:customStyle="1" w:styleId="Heading1Char">
    <w:name w:val="Heading 1 Char"/>
    <w:basedOn w:val="DefaultParagraphFont"/>
    <w:link w:val="Heading1"/>
    <w:uiPriority w:val="9"/>
    <w:rsid w:val="00A75E62"/>
    <w:rPr>
      <w:rFonts w:ascii="Cambria" w:eastAsia="Times New Roman" w:hAnsi="Cambria"/>
      <w:b/>
      <w:bCs/>
      <w:kern w:val="32"/>
      <w:sz w:val="32"/>
      <w:szCs w:val="32"/>
      <w:lang w:val="en-GB" w:eastAsia="en-US"/>
    </w:rPr>
  </w:style>
  <w:style w:type="character" w:customStyle="1" w:styleId="Heading2Char">
    <w:name w:val="Heading 2 Char"/>
    <w:basedOn w:val="DefaultParagraphFont"/>
    <w:link w:val="Heading2"/>
    <w:uiPriority w:val="9"/>
    <w:rsid w:val="00A75E62"/>
    <w:rPr>
      <w:rFonts w:ascii="Cambria" w:eastAsia="Times New Roman" w:hAnsi="Cambria"/>
      <w:b/>
      <w:bCs/>
      <w:i/>
      <w:iCs/>
      <w:sz w:val="28"/>
      <w:szCs w:val="28"/>
      <w:lang w:val="en-GB" w:eastAsia="en-US"/>
    </w:rPr>
  </w:style>
  <w:style w:type="character" w:customStyle="1" w:styleId="Heading5Char">
    <w:name w:val="Heading 5 Char"/>
    <w:basedOn w:val="DefaultParagraphFont"/>
    <w:link w:val="Heading5"/>
    <w:uiPriority w:val="9"/>
    <w:rsid w:val="00A75E62"/>
    <w:rPr>
      <w:rFonts w:ascii="Times New Roman" w:eastAsia="Times New Roman" w:hAnsi="Times New Roman"/>
      <w:b/>
      <w:bCs/>
      <w:sz w:val="20"/>
      <w:szCs w:val="20"/>
      <w:lang w:val="en-GB" w:eastAsia="en-GB"/>
    </w:rPr>
  </w:style>
  <w:style w:type="paragraph" w:styleId="NormalWeb">
    <w:name w:val="Normal (Web)"/>
    <w:basedOn w:val="Normal"/>
    <w:uiPriority w:val="99"/>
    <w:semiHidden/>
    <w:unhideWhenUsed/>
    <w:rsid w:val="00A75E62"/>
    <w:pPr>
      <w:spacing w:before="100" w:beforeAutospacing="1" w:after="100" w:afterAutospacing="1" w:line="240" w:lineRule="auto"/>
    </w:pPr>
    <w:rPr>
      <w:rFonts w:ascii="Times New Roman" w:eastAsia="Times New Roman" w:hAnsi="Times New Roman"/>
      <w:sz w:val="24"/>
      <w:szCs w:val="24"/>
      <w:lang w:val="en-GB" w:eastAsia="en-GB"/>
    </w:rPr>
  </w:style>
  <w:style w:type="character" w:styleId="Strong">
    <w:name w:val="Strong"/>
    <w:uiPriority w:val="22"/>
    <w:qFormat/>
    <w:locked/>
    <w:rsid w:val="00A75E62"/>
    <w:rPr>
      <w:b/>
      <w:bCs/>
    </w:rPr>
  </w:style>
  <w:style w:type="paragraph" w:styleId="PlainText">
    <w:name w:val="Plain Text"/>
    <w:link w:val="PlainTextChar"/>
    <w:uiPriority w:val="99"/>
    <w:rsid w:val="00A75E62"/>
    <w:pPr>
      <w:pBdr>
        <w:top w:val="nil"/>
        <w:left w:val="nil"/>
        <w:bottom w:val="nil"/>
        <w:right w:val="nil"/>
        <w:between w:val="nil"/>
        <w:bar w:val="nil"/>
      </w:pBdr>
    </w:pPr>
    <w:rPr>
      <w:rFonts w:cs="Calibri"/>
      <w:color w:val="000000"/>
      <w:u w:color="000000"/>
      <w:bdr w:val="nil"/>
      <w:lang w:val="en-US" w:eastAsia="en-GB"/>
    </w:rPr>
  </w:style>
  <w:style w:type="character" w:customStyle="1" w:styleId="PlainTextChar">
    <w:name w:val="Plain Text Char"/>
    <w:basedOn w:val="DefaultParagraphFont"/>
    <w:link w:val="PlainText"/>
    <w:uiPriority w:val="99"/>
    <w:rsid w:val="00A75E62"/>
    <w:rPr>
      <w:rFonts w:cs="Calibri"/>
      <w:color w:val="000000"/>
      <w:u w:color="000000"/>
      <w:bdr w:val="nil"/>
      <w:lang w:val="en-US" w:eastAsia="en-GB"/>
    </w:rPr>
  </w:style>
  <w:style w:type="paragraph" w:customStyle="1" w:styleId="DokumentOverskrift">
    <w:name w:val="Dokument Overskrift"/>
    <w:basedOn w:val="Normal"/>
    <w:uiPriority w:val="1"/>
    <w:qFormat/>
    <w:rsid w:val="00A75E62"/>
    <w:pPr>
      <w:spacing w:after="0" w:line="260" w:lineRule="atLeast"/>
    </w:pPr>
    <w:rPr>
      <w:rFonts w:ascii="Georgia" w:eastAsia="Times New Roman" w:hAnsi="Georgia"/>
      <w:b/>
      <w:szCs w:val="20"/>
      <w:lang w:val="en-GB"/>
    </w:rPr>
  </w:style>
  <w:style w:type="character" w:styleId="FollowedHyperlink">
    <w:name w:val="FollowedHyperlink"/>
    <w:uiPriority w:val="99"/>
    <w:semiHidden/>
    <w:unhideWhenUsed/>
    <w:rsid w:val="00A75E62"/>
    <w:rPr>
      <w:color w:val="800080"/>
      <w:u w:val="single"/>
    </w:rPr>
  </w:style>
  <w:style w:type="paragraph" w:styleId="TOCHeading">
    <w:name w:val="TOC Heading"/>
    <w:basedOn w:val="Heading1"/>
    <w:next w:val="Normal"/>
    <w:uiPriority w:val="39"/>
    <w:qFormat/>
    <w:rsid w:val="00A75E62"/>
    <w:pPr>
      <w:keepLines/>
      <w:spacing w:before="480" w:after="0"/>
      <w:outlineLvl w:val="9"/>
    </w:pPr>
    <w:rPr>
      <w:rFonts w:eastAsia="MS Gothic"/>
      <w:color w:val="365F91"/>
      <w:kern w:val="0"/>
      <w:sz w:val="28"/>
      <w:szCs w:val="28"/>
      <w:lang w:val="en-US" w:eastAsia="ja-JP"/>
    </w:rPr>
  </w:style>
  <w:style w:type="paragraph" w:styleId="TOC1">
    <w:name w:val="toc 1"/>
    <w:basedOn w:val="Normal"/>
    <w:next w:val="Normal"/>
    <w:autoRedefine/>
    <w:uiPriority w:val="39"/>
    <w:unhideWhenUsed/>
    <w:locked/>
    <w:rsid w:val="00A75E62"/>
    <w:rPr>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fr-BE" w:eastAsia="fr-B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9" w:qFormat="1"/>
    <w:lsdException w:name="heading 3" w:locked="1" w:uiPriority="0" w:qFormat="1"/>
    <w:lsdException w:name="heading 4" w:locked="1" w:uiPriority="0" w:qFormat="1"/>
    <w:lsdException w:name="heading 5" w:locked="1" w:uiPriority="9"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721F"/>
    <w:pPr>
      <w:spacing w:after="200" w:line="276" w:lineRule="auto"/>
    </w:pPr>
    <w:rPr>
      <w:lang w:val="en-US" w:eastAsia="en-US"/>
    </w:rPr>
  </w:style>
  <w:style w:type="paragraph" w:styleId="Heading1">
    <w:name w:val="heading 1"/>
    <w:basedOn w:val="Normal"/>
    <w:next w:val="Normal"/>
    <w:link w:val="Heading1Char"/>
    <w:uiPriority w:val="9"/>
    <w:qFormat/>
    <w:locked/>
    <w:rsid w:val="00A75E62"/>
    <w:pPr>
      <w:keepNext/>
      <w:spacing w:before="240" w:after="60"/>
      <w:outlineLvl w:val="0"/>
    </w:pPr>
    <w:rPr>
      <w:rFonts w:ascii="Cambria" w:eastAsia="Times New Roman" w:hAnsi="Cambria"/>
      <w:b/>
      <w:bCs/>
      <w:kern w:val="32"/>
      <w:sz w:val="32"/>
      <w:szCs w:val="32"/>
      <w:lang w:val="en-GB"/>
    </w:rPr>
  </w:style>
  <w:style w:type="paragraph" w:styleId="Heading2">
    <w:name w:val="heading 2"/>
    <w:basedOn w:val="Normal"/>
    <w:next w:val="Normal"/>
    <w:link w:val="Heading2Char"/>
    <w:uiPriority w:val="9"/>
    <w:unhideWhenUsed/>
    <w:qFormat/>
    <w:locked/>
    <w:rsid w:val="00A75E62"/>
    <w:pPr>
      <w:keepNext/>
      <w:spacing w:before="240" w:after="60"/>
      <w:outlineLvl w:val="1"/>
    </w:pPr>
    <w:rPr>
      <w:rFonts w:ascii="Cambria" w:eastAsia="Times New Roman" w:hAnsi="Cambria"/>
      <w:b/>
      <w:bCs/>
      <w:i/>
      <w:iCs/>
      <w:sz w:val="28"/>
      <w:szCs w:val="28"/>
      <w:lang w:val="en-GB"/>
    </w:rPr>
  </w:style>
  <w:style w:type="paragraph" w:styleId="Heading5">
    <w:name w:val="heading 5"/>
    <w:basedOn w:val="Normal"/>
    <w:link w:val="Heading5Char"/>
    <w:uiPriority w:val="9"/>
    <w:qFormat/>
    <w:locked/>
    <w:rsid w:val="00A75E62"/>
    <w:pPr>
      <w:spacing w:before="100" w:beforeAutospacing="1" w:after="100" w:afterAutospacing="1" w:line="240" w:lineRule="auto"/>
      <w:outlineLvl w:val="4"/>
    </w:pPr>
    <w:rPr>
      <w:rFonts w:ascii="Times New Roman" w:eastAsia="Times New Roman" w:hAnsi="Times New Roman"/>
      <w:b/>
      <w:bCs/>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944B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44BB1"/>
    <w:rPr>
      <w:rFonts w:ascii="Tahoma" w:hAnsi="Tahoma" w:cs="Tahoma"/>
      <w:sz w:val="16"/>
      <w:szCs w:val="16"/>
    </w:rPr>
  </w:style>
  <w:style w:type="paragraph" w:customStyle="1" w:styleId="Default">
    <w:name w:val="Default"/>
    <w:rsid w:val="007A2B2F"/>
    <w:pPr>
      <w:autoSpaceDE w:val="0"/>
      <w:autoSpaceDN w:val="0"/>
      <w:adjustRightInd w:val="0"/>
    </w:pPr>
    <w:rPr>
      <w:rFonts w:ascii="Arial" w:hAnsi="Arial" w:cs="Arial"/>
      <w:color w:val="000000"/>
      <w:sz w:val="24"/>
      <w:szCs w:val="24"/>
      <w:lang w:val="en-US" w:eastAsia="en-US"/>
    </w:rPr>
  </w:style>
  <w:style w:type="paragraph" w:customStyle="1" w:styleId="ListParagraph1">
    <w:name w:val="List Paragraph1"/>
    <w:basedOn w:val="Normal"/>
    <w:uiPriority w:val="99"/>
    <w:rsid w:val="00D01F84"/>
    <w:pPr>
      <w:ind w:left="720"/>
      <w:contextualSpacing/>
    </w:pPr>
    <w:rPr>
      <w:rFonts w:eastAsia="Times New Roman"/>
    </w:rPr>
  </w:style>
  <w:style w:type="character" w:styleId="CommentReference">
    <w:name w:val="annotation reference"/>
    <w:basedOn w:val="DefaultParagraphFont"/>
    <w:uiPriority w:val="99"/>
    <w:semiHidden/>
    <w:rsid w:val="00944BB1"/>
    <w:rPr>
      <w:rFonts w:cs="Times New Roman"/>
      <w:sz w:val="16"/>
      <w:szCs w:val="16"/>
    </w:rPr>
  </w:style>
  <w:style w:type="paragraph" w:styleId="CommentText">
    <w:name w:val="annotation text"/>
    <w:basedOn w:val="Normal"/>
    <w:link w:val="CommentTextChar"/>
    <w:uiPriority w:val="99"/>
    <w:rsid w:val="00944BB1"/>
    <w:pPr>
      <w:spacing w:line="240" w:lineRule="auto"/>
    </w:pPr>
    <w:rPr>
      <w:sz w:val="20"/>
      <w:szCs w:val="20"/>
    </w:rPr>
  </w:style>
  <w:style w:type="character" w:customStyle="1" w:styleId="CommentTextChar">
    <w:name w:val="Comment Text Char"/>
    <w:basedOn w:val="DefaultParagraphFont"/>
    <w:link w:val="CommentText"/>
    <w:uiPriority w:val="99"/>
    <w:locked/>
    <w:rsid w:val="00944BB1"/>
    <w:rPr>
      <w:rFonts w:cs="Times New Roman"/>
      <w:sz w:val="20"/>
      <w:szCs w:val="20"/>
    </w:rPr>
  </w:style>
  <w:style w:type="paragraph" w:styleId="CommentSubject">
    <w:name w:val="annotation subject"/>
    <w:basedOn w:val="CommentText"/>
    <w:next w:val="CommentText"/>
    <w:link w:val="CommentSubjectChar"/>
    <w:uiPriority w:val="99"/>
    <w:semiHidden/>
    <w:rsid w:val="00944BB1"/>
    <w:rPr>
      <w:b/>
      <w:bCs/>
    </w:rPr>
  </w:style>
  <w:style w:type="character" w:customStyle="1" w:styleId="CommentSubjectChar">
    <w:name w:val="Comment Subject Char"/>
    <w:basedOn w:val="CommentTextChar"/>
    <w:link w:val="CommentSubject"/>
    <w:uiPriority w:val="99"/>
    <w:semiHidden/>
    <w:locked/>
    <w:rsid w:val="00944BB1"/>
    <w:rPr>
      <w:rFonts w:cs="Times New Roman"/>
      <w:b/>
      <w:bCs/>
      <w:sz w:val="20"/>
      <w:szCs w:val="20"/>
    </w:rPr>
  </w:style>
  <w:style w:type="paragraph" w:styleId="ListParagraph">
    <w:name w:val="List Paragraph"/>
    <w:aliases w:val="Fußnoten"/>
    <w:basedOn w:val="Normal"/>
    <w:uiPriority w:val="34"/>
    <w:qFormat/>
    <w:rsid w:val="004F32E8"/>
    <w:pPr>
      <w:spacing w:after="0" w:line="240" w:lineRule="auto"/>
      <w:ind w:left="720"/>
      <w:contextualSpacing/>
    </w:pPr>
    <w:rPr>
      <w:rFonts w:ascii="Times New Roman" w:eastAsia="Times New Roman" w:hAnsi="Times New Roman"/>
      <w:sz w:val="24"/>
      <w:szCs w:val="24"/>
    </w:rPr>
  </w:style>
  <w:style w:type="paragraph" w:styleId="FootnoteText">
    <w:name w:val="footnote text"/>
    <w:basedOn w:val="Normal"/>
    <w:link w:val="FootnoteTextChar"/>
    <w:uiPriority w:val="99"/>
    <w:rsid w:val="000A62A9"/>
    <w:pPr>
      <w:spacing w:after="0" w:line="240" w:lineRule="auto"/>
    </w:pPr>
    <w:rPr>
      <w:sz w:val="20"/>
      <w:szCs w:val="20"/>
      <w:lang w:val="de-DE"/>
    </w:rPr>
  </w:style>
  <w:style w:type="character" w:customStyle="1" w:styleId="FootnoteTextChar">
    <w:name w:val="Footnote Text Char"/>
    <w:basedOn w:val="DefaultParagraphFont"/>
    <w:link w:val="FootnoteText"/>
    <w:uiPriority w:val="99"/>
    <w:locked/>
    <w:rsid w:val="000A62A9"/>
    <w:rPr>
      <w:rFonts w:cs="Times New Roman"/>
      <w:sz w:val="20"/>
      <w:szCs w:val="20"/>
      <w:lang w:val="de-DE"/>
    </w:rPr>
  </w:style>
  <w:style w:type="character" w:styleId="FootnoteReference">
    <w:name w:val="footnote reference"/>
    <w:basedOn w:val="DefaultParagraphFont"/>
    <w:uiPriority w:val="99"/>
    <w:rsid w:val="000A62A9"/>
    <w:rPr>
      <w:rFonts w:cs="Times New Roman"/>
      <w:vertAlign w:val="superscript"/>
    </w:rPr>
  </w:style>
  <w:style w:type="paragraph" w:styleId="Revision">
    <w:name w:val="Revision"/>
    <w:hidden/>
    <w:uiPriority w:val="99"/>
    <w:semiHidden/>
    <w:rsid w:val="00672670"/>
    <w:rPr>
      <w:lang w:val="en-US" w:eastAsia="en-US"/>
    </w:rPr>
  </w:style>
  <w:style w:type="character" w:styleId="Hyperlink">
    <w:name w:val="Hyperlink"/>
    <w:basedOn w:val="DefaultParagraphFont"/>
    <w:uiPriority w:val="99"/>
    <w:unhideWhenUsed/>
    <w:rsid w:val="00F473BB"/>
    <w:rPr>
      <w:color w:val="0000FF"/>
      <w:u w:val="single"/>
    </w:rPr>
  </w:style>
  <w:style w:type="paragraph" w:styleId="Header">
    <w:name w:val="header"/>
    <w:basedOn w:val="Normal"/>
    <w:link w:val="HeaderChar"/>
    <w:uiPriority w:val="99"/>
    <w:unhideWhenUsed/>
    <w:rsid w:val="00906CD5"/>
    <w:pPr>
      <w:tabs>
        <w:tab w:val="center" w:pos="4536"/>
        <w:tab w:val="right" w:pos="9072"/>
      </w:tabs>
      <w:spacing w:after="0" w:line="240" w:lineRule="auto"/>
    </w:pPr>
  </w:style>
  <w:style w:type="character" w:customStyle="1" w:styleId="HeaderChar">
    <w:name w:val="Header Char"/>
    <w:basedOn w:val="DefaultParagraphFont"/>
    <w:link w:val="Header"/>
    <w:uiPriority w:val="99"/>
    <w:rsid w:val="00906CD5"/>
    <w:rPr>
      <w:lang w:val="en-US" w:eastAsia="en-US"/>
    </w:rPr>
  </w:style>
  <w:style w:type="paragraph" w:styleId="Footer">
    <w:name w:val="footer"/>
    <w:basedOn w:val="Normal"/>
    <w:link w:val="FooterChar"/>
    <w:uiPriority w:val="99"/>
    <w:unhideWhenUsed/>
    <w:rsid w:val="00906CD5"/>
    <w:pPr>
      <w:tabs>
        <w:tab w:val="center" w:pos="4536"/>
        <w:tab w:val="right" w:pos="9072"/>
      </w:tabs>
      <w:spacing w:after="0" w:line="240" w:lineRule="auto"/>
    </w:pPr>
  </w:style>
  <w:style w:type="character" w:customStyle="1" w:styleId="FooterChar">
    <w:name w:val="Footer Char"/>
    <w:basedOn w:val="DefaultParagraphFont"/>
    <w:link w:val="Footer"/>
    <w:uiPriority w:val="99"/>
    <w:rsid w:val="00906CD5"/>
    <w:rPr>
      <w:lang w:val="en-US" w:eastAsia="en-US"/>
    </w:rPr>
  </w:style>
  <w:style w:type="paragraph" w:styleId="NoSpacing">
    <w:name w:val="No Spacing"/>
    <w:uiPriority w:val="1"/>
    <w:qFormat/>
    <w:rsid w:val="0044097B"/>
    <w:rPr>
      <w:rFonts w:eastAsiaTheme="minorHAnsi" w:cs="Calibri"/>
      <w:lang w:val="de-DE" w:eastAsia="de-DE"/>
    </w:rPr>
  </w:style>
  <w:style w:type="character" w:customStyle="1" w:styleId="Heading1Char">
    <w:name w:val="Heading 1 Char"/>
    <w:basedOn w:val="DefaultParagraphFont"/>
    <w:link w:val="Heading1"/>
    <w:uiPriority w:val="9"/>
    <w:rsid w:val="00A75E62"/>
    <w:rPr>
      <w:rFonts w:ascii="Cambria" w:eastAsia="Times New Roman" w:hAnsi="Cambria"/>
      <w:b/>
      <w:bCs/>
      <w:kern w:val="32"/>
      <w:sz w:val="32"/>
      <w:szCs w:val="32"/>
      <w:lang w:val="en-GB" w:eastAsia="en-US"/>
    </w:rPr>
  </w:style>
  <w:style w:type="character" w:customStyle="1" w:styleId="Heading2Char">
    <w:name w:val="Heading 2 Char"/>
    <w:basedOn w:val="DefaultParagraphFont"/>
    <w:link w:val="Heading2"/>
    <w:uiPriority w:val="9"/>
    <w:rsid w:val="00A75E62"/>
    <w:rPr>
      <w:rFonts w:ascii="Cambria" w:eastAsia="Times New Roman" w:hAnsi="Cambria"/>
      <w:b/>
      <w:bCs/>
      <w:i/>
      <w:iCs/>
      <w:sz w:val="28"/>
      <w:szCs w:val="28"/>
      <w:lang w:val="en-GB" w:eastAsia="en-US"/>
    </w:rPr>
  </w:style>
  <w:style w:type="character" w:customStyle="1" w:styleId="Heading5Char">
    <w:name w:val="Heading 5 Char"/>
    <w:basedOn w:val="DefaultParagraphFont"/>
    <w:link w:val="Heading5"/>
    <w:uiPriority w:val="9"/>
    <w:rsid w:val="00A75E62"/>
    <w:rPr>
      <w:rFonts w:ascii="Times New Roman" w:eastAsia="Times New Roman" w:hAnsi="Times New Roman"/>
      <w:b/>
      <w:bCs/>
      <w:sz w:val="20"/>
      <w:szCs w:val="20"/>
      <w:lang w:val="en-GB" w:eastAsia="en-GB"/>
    </w:rPr>
  </w:style>
  <w:style w:type="paragraph" w:styleId="NormalWeb">
    <w:name w:val="Normal (Web)"/>
    <w:basedOn w:val="Normal"/>
    <w:uiPriority w:val="99"/>
    <w:semiHidden/>
    <w:unhideWhenUsed/>
    <w:rsid w:val="00A75E62"/>
    <w:pPr>
      <w:spacing w:before="100" w:beforeAutospacing="1" w:after="100" w:afterAutospacing="1" w:line="240" w:lineRule="auto"/>
    </w:pPr>
    <w:rPr>
      <w:rFonts w:ascii="Times New Roman" w:eastAsia="Times New Roman" w:hAnsi="Times New Roman"/>
      <w:sz w:val="24"/>
      <w:szCs w:val="24"/>
      <w:lang w:val="en-GB" w:eastAsia="en-GB"/>
    </w:rPr>
  </w:style>
  <w:style w:type="character" w:styleId="Strong">
    <w:name w:val="Strong"/>
    <w:uiPriority w:val="22"/>
    <w:qFormat/>
    <w:locked/>
    <w:rsid w:val="00A75E62"/>
    <w:rPr>
      <w:b/>
      <w:bCs/>
    </w:rPr>
  </w:style>
  <w:style w:type="paragraph" w:styleId="PlainText">
    <w:name w:val="Plain Text"/>
    <w:link w:val="PlainTextChar"/>
    <w:uiPriority w:val="99"/>
    <w:rsid w:val="00A75E62"/>
    <w:pPr>
      <w:pBdr>
        <w:top w:val="nil"/>
        <w:left w:val="nil"/>
        <w:bottom w:val="nil"/>
        <w:right w:val="nil"/>
        <w:between w:val="nil"/>
        <w:bar w:val="nil"/>
      </w:pBdr>
    </w:pPr>
    <w:rPr>
      <w:rFonts w:cs="Calibri"/>
      <w:color w:val="000000"/>
      <w:u w:color="000000"/>
      <w:bdr w:val="nil"/>
      <w:lang w:val="en-US" w:eastAsia="en-GB"/>
    </w:rPr>
  </w:style>
  <w:style w:type="character" w:customStyle="1" w:styleId="PlainTextChar">
    <w:name w:val="Plain Text Char"/>
    <w:basedOn w:val="DefaultParagraphFont"/>
    <w:link w:val="PlainText"/>
    <w:uiPriority w:val="99"/>
    <w:rsid w:val="00A75E62"/>
    <w:rPr>
      <w:rFonts w:cs="Calibri"/>
      <w:color w:val="000000"/>
      <w:u w:color="000000"/>
      <w:bdr w:val="nil"/>
      <w:lang w:val="en-US" w:eastAsia="en-GB"/>
    </w:rPr>
  </w:style>
  <w:style w:type="paragraph" w:customStyle="1" w:styleId="DokumentOverskrift">
    <w:name w:val="Dokument Overskrift"/>
    <w:basedOn w:val="Normal"/>
    <w:uiPriority w:val="1"/>
    <w:qFormat/>
    <w:rsid w:val="00A75E62"/>
    <w:pPr>
      <w:spacing w:after="0" w:line="260" w:lineRule="atLeast"/>
    </w:pPr>
    <w:rPr>
      <w:rFonts w:ascii="Georgia" w:eastAsia="Times New Roman" w:hAnsi="Georgia"/>
      <w:b/>
      <w:szCs w:val="20"/>
      <w:lang w:val="en-GB"/>
    </w:rPr>
  </w:style>
  <w:style w:type="character" w:styleId="FollowedHyperlink">
    <w:name w:val="FollowedHyperlink"/>
    <w:uiPriority w:val="99"/>
    <w:semiHidden/>
    <w:unhideWhenUsed/>
    <w:rsid w:val="00A75E62"/>
    <w:rPr>
      <w:color w:val="800080"/>
      <w:u w:val="single"/>
    </w:rPr>
  </w:style>
  <w:style w:type="paragraph" w:styleId="TOCHeading">
    <w:name w:val="TOC Heading"/>
    <w:basedOn w:val="Heading1"/>
    <w:next w:val="Normal"/>
    <w:uiPriority w:val="39"/>
    <w:qFormat/>
    <w:rsid w:val="00A75E62"/>
    <w:pPr>
      <w:keepLines/>
      <w:spacing w:before="480" w:after="0"/>
      <w:outlineLvl w:val="9"/>
    </w:pPr>
    <w:rPr>
      <w:rFonts w:eastAsia="MS Gothic"/>
      <w:color w:val="365F91"/>
      <w:kern w:val="0"/>
      <w:sz w:val="28"/>
      <w:szCs w:val="28"/>
      <w:lang w:val="en-US" w:eastAsia="ja-JP"/>
    </w:rPr>
  </w:style>
  <w:style w:type="paragraph" w:styleId="TOC1">
    <w:name w:val="toc 1"/>
    <w:basedOn w:val="Normal"/>
    <w:next w:val="Normal"/>
    <w:autoRedefine/>
    <w:uiPriority w:val="39"/>
    <w:unhideWhenUsed/>
    <w:locked/>
    <w:rsid w:val="00A75E62"/>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5588742">
      <w:bodyDiv w:val="1"/>
      <w:marLeft w:val="0"/>
      <w:marRight w:val="0"/>
      <w:marTop w:val="0"/>
      <w:marBottom w:val="0"/>
      <w:divBdr>
        <w:top w:val="none" w:sz="0" w:space="0" w:color="auto"/>
        <w:left w:val="none" w:sz="0" w:space="0" w:color="auto"/>
        <w:bottom w:val="none" w:sz="0" w:space="0" w:color="auto"/>
        <w:right w:val="none" w:sz="0" w:space="0" w:color="auto"/>
      </w:divBdr>
    </w:div>
    <w:div w:id="2042515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emf"/><Relationship Id="rId18" Type="http://schemas.openxmlformats.org/officeDocument/2006/relationships/hyperlink" Target="http://www.cimo.fi/services" TargetMode="External"/><Relationship Id="rId26" Type="http://schemas.openxmlformats.org/officeDocument/2006/relationships/hyperlink" Target="http://www.alfapuentes.org" TargetMode="External"/><Relationship Id="rId39" Type="http://schemas.openxmlformats.org/officeDocument/2006/relationships/customXml" Target="../customXml/item2.xml"/><Relationship Id="rId21" Type="http://schemas.openxmlformats.org/officeDocument/2006/relationships/image" Target="media/image5.emf"/><Relationship Id="rId34" Type="http://schemas.openxmlformats.org/officeDocument/2006/relationships/hyperlink" Target="http://eurorecognition.eu/manual" TargetMode="Externa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mailto:Gottfried.Bacher@bmwf.gv.at" TargetMode="External"/><Relationship Id="rId20" Type="http://schemas.openxmlformats.org/officeDocument/2006/relationships/hyperlink" Target="http://www.ehea.info" TargetMode="External"/><Relationship Id="rId29" Type="http://schemas.openxmlformats.org/officeDocument/2006/relationships/hyperlink" Target="http://ec.europa.eu/education/international-cooperation/china_en.htm" TargetMode="External"/><Relationship Id="rId41"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hyperlink" Target="http://www.asem-education-secretariat.org/en/12184/" TargetMode="External"/><Relationship Id="rId32" Type="http://schemas.openxmlformats.org/officeDocument/2006/relationships/hyperlink" Target="http://ec.europa.eu/education/international-cooperation/korea_en.htm" TargetMode="External"/><Relationship Id="rId37" Type="http://schemas.openxmlformats.org/officeDocument/2006/relationships/fontTable" Target="fontTable.xml"/><Relationship Id="rId40" Type="http://schemas.openxmlformats.org/officeDocument/2006/relationships/customXml" Target="../customXml/item3.xml"/><Relationship Id="rId5" Type="http://schemas.openxmlformats.org/officeDocument/2006/relationships/settings" Target="settings.xml"/><Relationship Id="rId15" Type="http://schemas.openxmlformats.org/officeDocument/2006/relationships/hyperlink" Target="mailto:peter.greisler@bmbf.bund.de" TargetMode="External"/><Relationship Id="rId23" Type="http://schemas.openxmlformats.org/officeDocument/2006/relationships/hyperlink" Target="http://www.studyinlithuania.lt" TargetMode="External"/><Relationship Id="rId28" Type="http://schemas.openxmlformats.org/officeDocument/2006/relationships/hyperlink" Target="http://ec.europa.eu/education/international-cooperation/brazil_en.htm" TargetMode="External"/><Relationship Id="rId36"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hyperlink" Target="http://www.hrk.de/uploads/media/Text_Code_of_Conduct.pdf" TargetMode="External"/><Relationship Id="rId31" Type="http://schemas.openxmlformats.org/officeDocument/2006/relationships/hyperlink" Target="http://ec.europa.eu/education/international-cooperation/mexico_en.htm"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package" Target="embeddings/Microsoft_Word_Document1.docx"/><Relationship Id="rId22" Type="http://schemas.openxmlformats.org/officeDocument/2006/relationships/hyperlink" Target="http://www.studyineurope.eu/" TargetMode="External"/><Relationship Id="rId27" Type="http://schemas.openxmlformats.org/officeDocument/2006/relationships/hyperlink" Target="http://ec.europa.eu/education/international-cooperation/australia_en.htm" TargetMode="External"/><Relationship Id="rId30" Type="http://schemas.openxmlformats.org/officeDocument/2006/relationships/hyperlink" Target="http://ec.europa.eu/education/international-cooperation/india_en.htm" TargetMode="External"/><Relationship Id="rId35" Type="http://schemas.openxmlformats.org/officeDocument/2006/relationships/hyperlink" Target="http://www.nfq.ie/" TargetMode="Externa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oleObject" Target="embeddings/Microsoft_Word_97_-_2003_Document1.doc"/><Relationship Id="rId17" Type="http://schemas.openxmlformats.org/officeDocument/2006/relationships/hyperlink" Target="mailto:luism.delgado@mecd.es" TargetMode="External"/><Relationship Id="rId25" Type="http://schemas.openxmlformats.org/officeDocument/2006/relationships/hyperlink" Target="http://www.asean-qa.de/" TargetMode="External"/><Relationship Id="rId33" Type="http://schemas.openxmlformats.org/officeDocument/2006/relationships/hyperlink" Target="http://www.enic-naric.net/" TargetMode="External"/><Relationship Id="rId38" Type="http://schemas.openxmlformats.org/officeDocument/2006/relationships/theme" Target="theme/theme1.xml"/></Relationships>
</file>

<file path=word/_rels/footnotes.xml.rels><?xml version="1.0" encoding="UTF-8" standalone="yes"?>
<Relationships xmlns="http://schemas.openxmlformats.org/package/2006/relationships"><Relationship Id="rId13" Type="http://schemas.openxmlformats.org/officeDocument/2006/relationships/hyperlink" Target="http://www.ehea.info/article-details.aspx?ArticleId=20" TargetMode="External"/><Relationship Id="rId18" Type="http://schemas.openxmlformats.org/officeDocument/2006/relationships/hyperlink" Target="http://www.baylat.org/start.html" TargetMode="External"/><Relationship Id="rId26" Type="http://schemas.openxmlformats.org/officeDocument/2006/relationships/hyperlink" Target="http://ec.europa.eu/euraxess/index.cfm/services/scientificVisa" TargetMode="External"/><Relationship Id="rId39" Type="http://schemas.openxmlformats.org/officeDocument/2006/relationships/hyperlink" Target="http://eeas.europa.eu/euromed/index_en.htm" TargetMode="External"/><Relationship Id="rId3" Type="http://schemas.openxmlformats.org/officeDocument/2006/relationships/hyperlink" Target="http://www.ehea.info/Uploads/(1)/Bucharest%20Communique%202012(1).pdf" TargetMode="External"/><Relationship Id="rId21" Type="http://schemas.openxmlformats.org/officeDocument/2006/relationships/hyperlink" Target="http://www.gate-germany.de/angebote/expertenwissen/international-student-barometer.html" TargetMode="External"/><Relationship Id="rId34" Type="http://schemas.openxmlformats.org/officeDocument/2006/relationships/hyperlink" Target="http://www.vliruos.be/en/project-funding/" TargetMode="External"/><Relationship Id="rId42" Type="http://schemas.openxmlformats.org/officeDocument/2006/relationships/hyperlink" Target="http://qache.wordpress.com/" TargetMode="External"/><Relationship Id="rId47" Type="http://schemas.openxmlformats.org/officeDocument/2006/relationships/hyperlink" Target="http://www.asem-education-secretariat.org/imperia/md/content/asem2/events/asemme3/reader_credit_systems_and_learning_outcomes_may_2011.pdf" TargetMode="External"/><Relationship Id="rId50" Type="http://schemas.openxmlformats.org/officeDocument/2006/relationships/hyperlink" Target="http://www.hrk-nexus.de/uploads/media/nexus_Leitfaden_Anerkennung.pdf" TargetMode="External"/><Relationship Id="rId7" Type="http://schemas.openxmlformats.org/officeDocument/2006/relationships/hyperlink" Target="http://ec.europa.eu/education/study-in-europe/" TargetMode="External"/><Relationship Id="rId12" Type="http://schemas.openxmlformats.org/officeDocument/2006/relationships/hyperlink" Target="http://ec.europa.eu/education/policy/international-cooperation/world-education_en.htm" TargetMode="External"/><Relationship Id="rId17" Type="http://schemas.openxmlformats.org/officeDocument/2006/relationships/hyperlink" Target="http://www.eaie.org/home.html" TargetMode="External"/><Relationship Id="rId25" Type="http://schemas.openxmlformats.org/officeDocument/2006/relationships/hyperlink" Target="http://ufm.dk/en/publications/2014/denmark-an-attractive-study-destination" TargetMode="External"/><Relationship Id="rId33" Type="http://schemas.openxmlformats.org/officeDocument/2006/relationships/hyperlink" Target="http://global-innovation-initiative.org/about-the-initiative/" TargetMode="External"/><Relationship Id="rId38" Type="http://schemas.openxmlformats.org/officeDocument/2006/relationships/hyperlink" Target="http://www.eeas.europa.eu/lac/index_en.htm" TargetMode="External"/><Relationship Id="rId46" Type="http://schemas.openxmlformats.org/officeDocument/2006/relationships/hyperlink" Target="http://www.asem-education-secretariat.org/en/24903/" TargetMode="External"/><Relationship Id="rId2" Type="http://schemas.openxmlformats.org/officeDocument/2006/relationships/hyperlink" Target="http://eur-lex.europa.eu/LexUriServ/LexUriServ.do?uri=COM:2011:0567:FIN:EN:PDF" TargetMode="External"/><Relationship Id="rId16" Type="http://schemas.openxmlformats.org/officeDocument/2006/relationships/hyperlink" Target="http://www.academicstockholm.se" TargetMode="External"/><Relationship Id="rId20" Type="http://schemas.openxmlformats.org/officeDocument/2006/relationships/hyperlink" Target="http://www.consilium.europa.eu/policies/era/sfic" TargetMode="External"/><Relationship Id="rId29" Type="http://schemas.openxmlformats.org/officeDocument/2006/relationships/hyperlink" Target="http://www.ehea.info/Uploads/presentations/IPN%20Survey%20Report%2025%20March%202011.pdf" TargetMode="External"/><Relationship Id="rId41" Type="http://schemas.openxmlformats.org/officeDocument/2006/relationships/hyperlink" Target="https://www.daad.de/miniwebs/asem/en/24366/" TargetMode="External"/><Relationship Id="rId1" Type="http://schemas.openxmlformats.org/officeDocument/2006/relationships/hyperlink" Target="http://eur-lex.europa.eu/legal-content/EN/TXT/PDF/?uri=CELEX:32006H0961&amp;from=EN" TargetMode="External"/><Relationship Id="rId6" Type="http://schemas.openxmlformats.org/officeDocument/2006/relationships/hyperlink" Target="http://www.ehea.info/Uploads/(1)/2012%20EHEA%20Mobility%20Strategy.pdf" TargetMode="External"/><Relationship Id="rId11" Type="http://schemas.openxmlformats.org/officeDocument/2006/relationships/hyperlink" Target="http://ec.europa.eu/languages/policy/strategic-framework/rethinking-education_en.htm" TargetMode="External"/><Relationship Id="rId24" Type="http://schemas.openxmlformats.org/officeDocument/2006/relationships/hyperlink" Target="http://ufm.dk/en/publications/2013/english-summary-enhanced-insight-through-global-outlook" TargetMode="External"/><Relationship Id="rId32" Type="http://schemas.openxmlformats.org/officeDocument/2006/relationships/hyperlink" Target="http://www.eua.be/codoc.aspx" TargetMode="External"/><Relationship Id="rId37" Type="http://schemas.openxmlformats.org/officeDocument/2006/relationships/hyperlink" Target="http://eacea.ec.europa.eu/erasmus_mundus/tools/publications_en.php" TargetMode="External"/><Relationship Id="rId40" Type="http://schemas.openxmlformats.org/officeDocument/2006/relationships/hyperlink" Target="http://www.africa-eu-partnership.org/" TargetMode="External"/><Relationship Id="rId45" Type="http://schemas.openxmlformats.org/officeDocument/2006/relationships/hyperlink" Target="http://ec.europa.eu/education/library/study/2011/australia_en.pdf" TargetMode="External"/><Relationship Id="rId5" Type="http://schemas.openxmlformats.org/officeDocument/2006/relationships/hyperlink" Target="http://www.ehea.info/Uploads/(1)/Bologna%20Process%20Implementation%20Report.pdf" TargetMode="External"/><Relationship Id="rId15" Type="http://schemas.openxmlformats.org/officeDocument/2006/relationships/hyperlink" Target="http://www.nuffic.nl/" TargetMode="External"/><Relationship Id="rId23" Type="http://schemas.openxmlformats.org/officeDocument/2006/relationships/hyperlink" Target="http://www.campusfrance.org/en/page/promoting-french-higher-education" TargetMode="External"/><Relationship Id="rId28" Type="http://schemas.openxmlformats.org/officeDocument/2006/relationships/hyperlink" Target="http://eacea.ec.europa.eu/education/eurydice/thematic_reports_en.php" TargetMode="External"/><Relationship Id="rId36" Type="http://schemas.openxmlformats.org/officeDocument/2006/relationships/hyperlink" Target="http://www.eua.be/publications/eua-policy-positions.aspx" TargetMode="External"/><Relationship Id="rId49" Type="http://schemas.openxmlformats.org/officeDocument/2006/relationships/hyperlink" Target="http://www.hrk.de/hrk-international/mobility-and-mutual-recognition/framework-agreements-for-cooperation-in-higher-education/" TargetMode="External"/><Relationship Id="rId10" Type="http://schemas.openxmlformats.org/officeDocument/2006/relationships/hyperlink" Target="http://europa.eu/legislation_summaries/education_training_youth/lifelong_learning/ef0030_en.htm" TargetMode="External"/><Relationship Id="rId19" Type="http://schemas.openxmlformats.org/officeDocument/2006/relationships/hyperlink" Target="http://www.europosgrados.org/" TargetMode="External"/><Relationship Id="rId31" Type="http://schemas.openxmlformats.org/officeDocument/2006/relationships/hyperlink" Target="http://www.alisios-project.eu/about" TargetMode="External"/><Relationship Id="rId44" Type="http://schemas.openxmlformats.org/officeDocument/2006/relationships/hyperlink" Target="http://alfapuentes.org/portal/node/829" TargetMode="External"/><Relationship Id="rId4" Type="http://schemas.openxmlformats.org/officeDocument/2006/relationships/hyperlink" Target="http://www.equi.at/dateien/Student_mobility_in_EHEA.pdf" TargetMode="External"/><Relationship Id="rId9" Type="http://schemas.openxmlformats.org/officeDocument/2006/relationships/hyperlink" Target="http://www.ehea.info/Uploads/(1)/2012%20EHEA%20Mobility%20Strategy.pdf" TargetMode="External"/><Relationship Id="rId14" Type="http://schemas.openxmlformats.org/officeDocument/2006/relationships/hyperlink" Target="http://www.aca-secretariat.be" TargetMode="External"/><Relationship Id="rId22" Type="http://schemas.openxmlformats.org/officeDocument/2006/relationships/hyperlink" Target="http://www.hrk.de/positionen/gesamtliste-beschluesse/position/convention/nationaler-kodex-fuer-das-auslaenderstudium-an-deutschen-hochschulen/" TargetMode="External"/><Relationship Id="rId27" Type="http://schemas.openxmlformats.org/officeDocument/2006/relationships/hyperlink" Target="http://www.aca-secretariat.be/index.php?id=4" TargetMode="External"/><Relationship Id="rId30" Type="http://schemas.openxmlformats.org/officeDocument/2006/relationships/hyperlink" Target="http://www.cienciasemfronteiras.gov.br/web/csf-eng/" TargetMode="External"/><Relationship Id="rId35" Type="http://schemas.openxmlformats.org/officeDocument/2006/relationships/hyperlink" Target="http://www.eua.be/publications/eua-reports-studies-and-occasional-papers.aspx" TargetMode="External"/><Relationship Id="rId43" Type="http://schemas.openxmlformats.org/officeDocument/2006/relationships/hyperlink" Target="http://www.asean.org/news/asean-secretariat-news/item/asean-develops-framework-to-facilitate-movement-of-skilled-labour-and-professionals" TargetMode="External"/><Relationship Id="rId48" Type="http://schemas.openxmlformats.org/officeDocument/2006/relationships/hyperlink" Target="http://www.bolognaexperts.net/portal/dashboard" TargetMode="External"/><Relationship Id="rId8" Type="http://schemas.openxmlformats.org/officeDocument/2006/relationships/hyperlink" Target="http://www.studyportals.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C73F7CF842B0E24AA6C7C4E6F5B069E9" ma:contentTypeVersion="0" ma:contentTypeDescription="Create a new document." ma:contentTypeScope="" ma:versionID="7bae795dcadf6c0c26748871d2c4d08e">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ECC55B2D-C86E-465A-B2A1-E93789B9499A}"/>
</file>

<file path=customXml/itemProps2.xml><?xml version="1.0" encoding="utf-8"?>
<ds:datastoreItem xmlns:ds="http://schemas.openxmlformats.org/officeDocument/2006/customXml" ds:itemID="{A1D6B69C-DD5F-4B37-B211-66D54B1B8B4D}"/>
</file>

<file path=customXml/itemProps3.xml><?xml version="1.0" encoding="utf-8"?>
<ds:datastoreItem xmlns:ds="http://schemas.openxmlformats.org/officeDocument/2006/customXml" ds:itemID="{97E09F1A-8330-4BD5-8510-69ED001B3BD6}"/>
</file>

<file path=customXml/itemProps4.xml><?xml version="1.0" encoding="utf-8"?>
<ds:datastoreItem xmlns:ds="http://schemas.openxmlformats.org/officeDocument/2006/customXml" ds:itemID="{47864FCF-B483-4A04-AE7F-49C553A820FC}"/>
</file>

<file path=docProps/app.xml><?xml version="1.0" encoding="utf-8"?>
<Properties xmlns="http://schemas.openxmlformats.org/officeDocument/2006/extended-properties" xmlns:vt="http://schemas.openxmlformats.org/officeDocument/2006/docPropsVTypes">
  <Template>Normal</Template>
  <TotalTime>16</TotalTime>
  <Pages>75</Pages>
  <Words>30905</Words>
  <Characters>176161</Characters>
  <Application>Microsoft Office Word</Application>
  <DocSecurity>0</DocSecurity>
  <Lines>1468</Lines>
  <Paragraphs>413</Paragraphs>
  <ScaleCrop>false</ScaleCrop>
  <HeadingPairs>
    <vt:vector size="6" baseType="variant">
      <vt:variant>
        <vt:lpstr>Titel</vt:lpstr>
      </vt:variant>
      <vt:variant>
        <vt:i4>1</vt:i4>
      </vt:variant>
      <vt:variant>
        <vt:lpstr>Title</vt:lpstr>
      </vt:variant>
      <vt:variant>
        <vt:i4>1</vt:i4>
      </vt:variant>
      <vt:variant>
        <vt:lpstr>Título</vt:lpstr>
      </vt:variant>
      <vt:variant>
        <vt:i4>1</vt:i4>
      </vt:variant>
    </vt:vector>
  </HeadingPairs>
  <TitlesOfParts>
    <vt:vector size="3" baseType="lpstr">
      <vt:lpstr/>
      <vt:lpstr/>
      <vt:lpstr/>
    </vt:vector>
  </TitlesOfParts>
  <Company>Toshiba</Company>
  <LinksUpToDate>false</LinksUpToDate>
  <CharactersWithSpaces>206653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Hayk Sargsyan</dc:creator>
  <cp:lastModifiedBy>BFUG Secretariat</cp:lastModifiedBy>
  <cp:revision>143</cp:revision>
  <cp:lastPrinted>2014-09-16T14:09:00Z</cp:lastPrinted>
  <dcterms:created xsi:type="dcterms:W3CDTF">2014-10-02T08:20:00Z</dcterms:created>
  <dcterms:modified xsi:type="dcterms:W3CDTF">2014-11-20T11:00:00Z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0x010100C73F7CF842B0E24AA6C7C4E6F5B069E9</vt:lpwstr>
  </property>
</Properties>
</file>