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73EA7" w14:textId="77777777" w:rsidR="00A37852" w:rsidRDefault="00A37852" w:rsidP="00A37852"/>
    <w:p w14:paraId="194B6B9B" w14:textId="77777777" w:rsidR="00A37852" w:rsidRDefault="00A37852" w:rsidP="00A37852"/>
    <w:p w14:paraId="7D6BD21A" w14:textId="77777777" w:rsidR="00A37852" w:rsidRDefault="00A37852" w:rsidP="00A37852"/>
    <w:p w14:paraId="2C682383" w14:textId="77777777" w:rsidR="00A37852" w:rsidRPr="00BA31BA" w:rsidRDefault="00A37852" w:rsidP="00A37852"/>
    <w:p w14:paraId="32271A01" w14:textId="77777777" w:rsidR="00A37852" w:rsidRPr="00BA31BA" w:rsidRDefault="00A37852" w:rsidP="00A37852">
      <w:pPr>
        <w:jc w:val="both"/>
      </w:pPr>
      <w:r w:rsidRPr="00BA31BA">
        <w:t>Strasbourg, Brussels, Vatican</w:t>
      </w:r>
      <w:r>
        <w:t xml:space="preserve"> City</w:t>
      </w:r>
      <w:r w:rsidRPr="00BA31BA">
        <w:t xml:space="preserve">, Warsaw, </w:t>
      </w:r>
      <w:r>
        <w:t>November 1</w:t>
      </w:r>
      <w:r w:rsidR="00765B5F">
        <w:t>9</w:t>
      </w:r>
      <w:r w:rsidRPr="00BA31BA">
        <w:t>, 2013</w:t>
      </w:r>
    </w:p>
    <w:p w14:paraId="211D61CC" w14:textId="77777777" w:rsidR="00A37852" w:rsidRPr="00BA31BA" w:rsidRDefault="00A37852" w:rsidP="00A37852"/>
    <w:p w14:paraId="7F3D82E2" w14:textId="77777777" w:rsidR="00A37852" w:rsidRPr="00BA31BA" w:rsidRDefault="00A37852" w:rsidP="00A37852"/>
    <w:p w14:paraId="75D305A5" w14:textId="77777777" w:rsidR="00A37852" w:rsidRPr="00BA31BA" w:rsidRDefault="00A37852" w:rsidP="00A37852"/>
    <w:p w14:paraId="3B8C7A5C" w14:textId="77777777" w:rsidR="00A37852" w:rsidRPr="00BA31BA" w:rsidRDefault="00A37852" w:rsidP="00A37852"/>
    <w:p w14:paraId="173EF929" w14:textId="77777777" w:rsidR="00A37852" w:rsidRPr="00BA31BA" w:rsidRDefault="00A37852" w:rsidP="00A37852">
      <w:pPr>
        <w:rPr>
          <w:b/>
          <w:sz w:val="28"/>
          <w:szCs w:val="28"/>
        </w:rPr>
      </w:pPr>
      <w:r w:rsidRPr="00BA31BA">
        <w:rPr>
          <w:b/>
          <w:sz w:val="28"/>
          <w:szCs w:val="28"/>
        </w:rPr>
        <w:t>STRUCTURAL REFORMS WORKING GROUP</w:t>
      </w:r>
    </w:p>
    <w:p w14:paraId="65E95649" w14:textId="77777777" w:rsidR="00A37852" w:rsidRPr="00BA31BA" w:rsidRDefault="00A37852" w:rsidP="00A37852"/>
    <w:p w14:paraId="43A017CB" w14:textId="77777777" w:rsidR="00A37852" w:rsidRPr="00BA31BA" w:rsidRDefault="00A37852" w:rsidP="00A37852">
      <w:r>
        <w:t>Ghent</w:t>
      </w:r>
      <w:r w:rsidRPr="00BA31BA">
        <w:t xml:space="preserve">, </w:t>
      </w:r>
      <w:r>
        <w:t>December 9 - 10</w:t>
      </w:r>
      <w:r w:rsidRPr="00BA31BA">
        <w:t>, 2013</w:t>
      </w:r>
    </w:p>
    <w:p w14:paraId="6FBDA873" w14:textId="77777777" w:rsidR="00A37852" w:rsidRPr="00BA31BA" w:rsidRDefault="00A37852" w:rsidP="00A37852"/>
    <w:p w14:paraId="59F43E95" w14:textId="77777777" w:rsidR="00A37852" w:rsidRPr="00BA31BA" w:rsidRDefault="00A37852" w:rsidP="00A37852"/>
    <w:p w14:paraId="0A11CF3F" w14:textId="77777777" w:rsidR="00A37852" w:rsidRPr="00BA31BA" w:rsidRDefault="00A37852" w:rsidP="00A37852"/>
    <w:p w14:paraId="684853B0" w14:textId="77777777" w:rsidR="00A37852" w:rsidRPr="00BA31BA" w:rsidRDefault="00A37852" w:rsidP="00A37852">
      <w:pPr>
        <w:rPr>
          <w:b/>
          <w:sz w:val="36"/>
          <w:szCs w:val="36"/>
        </w:rPr>
      </w:pPr>
      <w:r w:rsidRPr="00BA31BA">
        <w:rPr>
          <w:b/>
          <w:sz w:val="36"/>
          <w:szCs w:val="36"/>
        </w:rPr>
        <w:t>TOWARD A REPORT BY THE STRUCTURAL REFORMS WORKING GROUP TO THE BFUG</w:t>
      </w:r>
    </w:p>
    <w:p w14:paraId="39BF82CB" w14:textId="77777777" w:rsidR="00A37852" w:rsidRPr="00BA31BA" w:rsidRDefault="00A37852" w:rsidP="00A37852"/>
    <w:p w14:paraId="03098941" w14:textId="77777777" w:rsidR="00A37852" w:rsidRPr="00BA31BA" w:rsidRDefault="00A37852" w:rsidP="00A37852">
      <w:r>
        <w:t>Revised d</w:t>
      </w:r>
      <w:r w:rsidRPr="00BA31BA">
        <w:t>iscussion document by the Co-Chairs of the Structural Reforms Working Group</w:t>
      </w:r>
    </w:p>
    <w:p w14:paraId="1FE33E7C" w14:textId="77777777" w:rsidR="00A37852" w:rsidRPr="00BA31BA" w:rsidRDefault="00A37852" w:rsidP="00A37852"/>
    <w:p w14:paraId="6BE0D38B" w14:textId="77777777" w:rsidR="00A37852" w:rsidRPr="00BA31BA" w:rsidRDefault="00A37852" w:rsidP="00A37852"/>
    <w:p w14:paraId="2B206AB1" w14:textId="77777777" w:rsidR="00A37852" w:rsidRPr="00BA31BA" w:rsidRDefault="00A37852" w:rsidP="00A37852"/>
    <w:p w14:paraId="15A9D10F" w14:textId="77777777" w:rsidR="00A37852" w:rsidRPr="00BA31BA" w:rsidRDefault="00A37852" w:rsidP="00A37852"/>
    <w:p w14:paraId="2EC5EE3D" w14:textId="77777777" w:rsidR="00A37852" w:rsidRPr="00BA31BA" w:rsidRDefault="00A37852" w:rsidP="00A37852">
      <w:pPr>
        <w:rPr>
          <w:b/>
        </w:rPr>
      </w:pPr>
      <w:r w:rsidRPr="00BA31BA">
        <w:rPr>
          <w:b/>
        </w:rPr>
        <w:t>Item X</w:t>
      </w:r>
    </w:p>
    <w:p w14:paraId="7A516011" w14:textId="77777777" w:rsidR="00A37852" w:rsidRPr="00BA31BA" w:rsidRDefault="00A37852" w:rsidP="00A37852">
      <w:r w:rsidRPr="00BA31BA">
        <w:br w:type="page"/>
      </w:r>
    </w:p>
    <w:p w14:paraId="1EDF5813" w14:textId="77777777" w:rsidR="00A37852" w:rsidRPr="00BA31BA" w:rsidRDefault="00A37852" w:rsidP="00A37852">
      <w:pPr>
        <w:rPr>
          <w:b/>
        </w:rPr>
      </w:pPr>
      <w:r w:rsidRPr="00BA31BA">
        <w:rPr>
          <w:b/>
        </w:rPr>
        <w:lastRenderedPageBreak/>
        <w:t>INTRODUCTION</w:t>
      </w:r>
    </w:p>
    <w:p w14:paraId="794299F4" w14:textId="77777777" w:rsidR="00A37852" w:rsidRPr="00BA31BA" w:rsidRDefault="00A37852" w:rsidP="00A37852"/>
    <w:p w14:paraId="0B1929AB" w14:textId="77777777" w:rsidR="00A37852" w:rsidRPr="00BA31BA" w:rsidRDefault="00A37852" w:rsidP="00A37852">
      <w:r w:rsidRPr="00BA31BA">
        <w:t xml:space="preserve">The Structural Reforms Working Group (SRWG) is expected to submit a draft report to the BFUG in fall 2014.  </w:t>
      </w:r>
      <w:r>
        <w:t xml:space="preserve"> The SRWG discussed a first outline of the report at its meeting on September 24 – 25, 2013 and the present revised draft outline takes account of this discussion as well as of later comments received from members of the Working Group.</w:t>
      </w:r>
    </w:p>
    <w:p w14:paraId="5F603AB1" w14:textId="77777777" w:rsidR="00A37852" w:rsidRPr="00BA31BA" w:rsidRDefault="00A37852" w:rsidP="00A37852">
      <w:r w:rsidRPr="00BA31BA">
        <w:t>The present document aims to sketch an outline of the report as well as a timetable for developing it.  A sketch of the proposed outline of the report</w:t>
      </w:r>
      <w:r w:rsidR="00D57AE4">
        <w:t xml:space="preserve"> </w:t>
      </w:r>
      <w:r w:rsidRPr="00BA31BA">
        <w:t>will be found in Appendix 1, whereas a sketch of the information required for each issue (see “Information required” below), will be found in Appendix 2</w:t>
      </w:r>
      <w:r>
        <w:t xml:space="preserve"> and a draft </w:t>
      </w:r>
      <w:r w:rsidR="00D57AE4">
        <w:t>timetable</w:t>
      </w:r>
      <w:r>
        <w:t xml:space="preserve"> in Appendix 3</w:t>
      </w:r>
      <w:r w:rsidRPr="00BA31BA">
        <w:t>.</w:t>
      </w:r>
    </w:p>
    <w:p w14:paraId="09B893A3" w14:textId="77777777" w:rsidR="00A37852" w:rsidRPr="00BA31BA" w:rsidRDefault="00A37852" w:rsidP="00A37852">
      <w:r w:rsidRPr="00BA31BA">
        <w:t xml:space="preserve">The report by the SRWG will constitute the main EHEA document on structural reform in the 2012 – </w:t>
      </w:r>
      <w:proofErr w:type="gramStart"/>
      <w:r w:rsidRPr="00BA31BA">
        <w:t>15 work</w:t>
      </w:r>
      <w:proofErr w:type="gramEnd"/>
      <w:r w:rsidRPr="00BA31BA">
        <w:t xml:space="preserve"> program. It should as far as possible cover the areas listed in the terms of reference of the SRWG while keeping in mind that, on the one hand, the terms of reference are very extensive and, on the other hand, the need to see the four main policy areas covered by the terms of reference in context.</w:t>
      </w:r>
      <w:r>
        <w:t xml:space="preserve"> Following the discussion in the SRWG, the place and role of the transversal issues, such as learning outcomes and employability, have been strengthened and moved forward in the present version.</w:t>
      </w:r>
    </w:p>
    <w:p w14:paraId="090486F2" w14:textId="77777777" w:rsidR="00A37852" w:rsidRPr="00BA31BA" w:rsidRDefault="00A37852" w:rsidP="00A37852">
      <w:r w:rsidRPr="00BA31BA">
        <w:t>The SRWG is the only working group with more than one sub-group.  Each of the sub-groups should contribute to the report of the SRWG. This may raise some challenges in terms of timing but will also contribute greatly to the content of the report.</w:t>
      </w:r>
      <w:r>
        <w:t xml:space="preserve"> It is therefore the intention to include elements from each sub-group in this report and to integrate these into the various issues in which they belong.  In addition, the reports of the different sub-groups will be made available to the BFUG without weakening the principle that the main reports are submitted by the four working groups.  The reports by the sub-groups will therefore be supporting documents and all proposals brought to the BFUG must be validated by the SRWG and included in its report. This also means that the reports by the sub-groups must be submitted in spring 2014, cf. Appendix 3.</w:t>
      </w:r>
    </w:p>
    <w:p w14:paraId="0DB9A445" w14:textId="77777777" w:rsidR="00A37852" w:rsidRPr="00BA31BA" w:rsidRDefault="00A37852" w:rsidP="00A37852"/>
    <w:p w14:paraId="25DFA0F1" w14:textId="77777777" w:rsidR="00A37852" w:rsidRPr="00BA31BA" w:rsidRDefault="00A37852" w:rsidP="00A37852">
      <w:pPr>
        <w:rPr>
          <w:b/>
        </w:rPr>
      </w:pPr>
      <w:r w:rsidRPr="00BA31BA">
        <w:rPr>
          <w:b/>
        </w:rPr>
        <w:t>POLICY AND IMPLEMENTATION</w:t>
      </w:r>
    </w:p>
    <w:p w14:paraId="0F2E0808" w14:textId="77777777" w:rsidR="00A37852" w:rsidRPr="00BA31BA" w:rsidRDefault="00A37852" w:rsidP="00A37852">
      <w:r w:rsidRPr="00BA31BA">
        <w:t xml:space="preserve">One topic of discussion has been the balance between policy considerations and recommendations, on the one hand, and reporting on and identifying obstacles in the implementation of the structural reforms adopted within the EHEA so far, on the other hand.  An important issue here is the balance between the report of the three thematic working groups (structural reforms; mobility and internationalization; social dimension and lifelong learning) and the Implementation Working Group. It is important to avoid overlap and in particular to avoid asking countries and organizations to provide the same information twice to different groups. The SRWG Co-Chairs therefore recommend that the report by the Implementation WG be the main source for information on the state of implementation of structural reform and hence also on obstacles or concerns about the speed of implementation of specific aspects of structural reforms. </w:t>
      </w:r>
    </w:p>
    <w:p w14:paraId="73F6E382" w14:textId="77777777" w:rsidR="00A37852" w:rsidRPr="00BA31BA" w:rsidRDefault="00A37852" w:rsidP="00A37852">
      <w:r w:rsidRPr="00BA31BA">
        <w:lastRenderedPageBreak/>
        <w:t>Ideally, the information provided by the Implementation WG would provide a basis on which the SRWG could consider possible measures to improve implementation in areas where implementation is lagging behind. However, this would require that the report by the Implementation WG be available some time before the reports by the thematic working groups need to be submitted to the BFUG.  As we know, the opposite will be true: for the report by the Implementation WG to be based on as up to date information as possible, the first draft will not be available until early 2015.  The reports by the thematic working groups will therefore only to a limited extent be able to comment on the impl</w:t>
      </w:r>
      <w:r>
        <w:t>emen</w:t>
      </w:r>
      <w:r w:rsidRPr="00BA31BA">
        <w:t>tation of their respective policy areas, at least to the extent these comments should built on recent data.  It may, however, be possible to discuss possible recommendations on implementation with the Co-Chairs of the Implementation Working Group some time in spring 2014.</w:t>
      </w:r>
    </w:p>
    <w:p w14:paraId="6182F2CD" w14:textId="77777777" w:rsidR="00A37852" w:rsidRPr="00BA31BA" w:rsidRDefault="00A37852" w:rsidP="00A37852"/>
    <w:p w14:paraId="77A996FC" w14:textId="77777777" w:rsidR="00A37852" w:rsidRPr="00BA31BA" w:rsidRDefault="00A37852" w:rsidP="00A37852">
      <w:pPr>
        <w:rPr>
          <w:b/>
        </w:rPr>
      </w:pPr>
      <w:r w:rsidRPr="00BA31BA">
        <w:rPr>
          <w:b/>
        </w:rPr>
        <w:t>INFORMATION REQUIRED</w:t>
      </w:r>
    </w:p>
    <w:p w14:paraId="40122CB2" w14:textId="77777777" w:rsidR="00A37852" w:rsidRPr="00BA31BA" w:rsidRDefault="00A37852" w:rsidP="00A37852">
      <w:r w:rsidRPr="00BA31BA">
        <w:t>The Co-Chairs are concerned that the main issues covered by the report be presented coherently and that, without wanting to impose too rigid a scheme, they follow the same outline. For each issue, it is therefore suggested that the description follow the following outline:</w:t>
      </w:r>
    </w:p>
    <w:p w14:paraId="144978EA" w14:textId="77777777" w:rsidR="00A37852" w:rsidRPr="00BA31BA" w:rsidRDefault="00A37852" w:rsidP="00A37852"/>
    <w:p w14:paraId="61B07116" w14:textId="77777777" w:rsidR="00A37852" w:rsidRPr="00BA31BA" w:rsidRDefault="00A37852" w:rsidP="00A37852">
      <w:pPr>
        <w:ind w:left="567" w:right="713"/>
        <w:rPr>
          <w:b/>
        </w:rPr>
      </w:pPr>
      <w:r w:rsidRPr="00BA31BA">
        <w:rPr>
          <w:b/>
        </w:rPr>
        <w:t>Concept</w:t>
      </w:r>
    </w:p>
    <w:p w14:paraId="48EF4F27" w14:textId="77777777" w:rsidR="00A37852" w:rsidRPr="00BA31BA" w:rsidRDefault="00A37852" w:rsidP="00A37852">
      <w:pPr>
        <w:ind w:left="567" w:right="713"/>
      </w:pPr>
      <w:r w:rsidRPr="00BA31BA">
        <w:t>What is the concept covered? Is the concept clear or is there a need for the EHEA, at the competent level (Ministers, BFUG, Working Group, as the case may be) to clarify the concept?</w:t>
      </w:r>
    </w:p>
    <w:p w14:paraId="1FBC762B" w14:textId="77777777" w:rsidR="00A37852" w:rsidRPr="00BA31BA" w:rsidRDefault="00A37852" w:rsidP="00A37852">
      <w:pPr>
        <w:ind w:left="567" w:right="713"/>
      </w:pPr>
    </w:p>
    <w:p w14:paraId="1C0E11C9" w14:textId="77777777" w:rsidR="00A37852" w:rsidRPr="00BA31BA" w:rsidRDefault="00A37852" w:rsidP="00A37852">
      <w:pPr>
        <w:ind w:left="567" w:right="713"/>
        <w:rPr>
          <w:b/>
        </w:rPr>
      </w:pPr>
      <w:r w:rsidRPr="00BA31BA">
        <w:rPr>
          <w:b/>
        </w:rPr>
        <w:t>Description</w:t>
      </w:r>
    </w:p>
    <w:p w14:paraId="62CD0E67" w14:textId="77777777" w:rsidR="00A37852" w:rsidRPr="00BA31BA" w:rsidRDefault="00A37852" w:rsidP="00A37852">
      <w:pPr>
        <w:ind w:left="567" w:right="713"/>
      </w:pPr>
      <w:r w:rsidRPr="00BA31BA">
        <w:t>A brief description of the issue and how it relates to structural reform, as well as of the level(s) (EHEA, regional, national, institutional) concerned.</w:t>
      </w:r>
    </w:p>
    <w:p w14:paraId="6FAE8312" w14:textId="77777777" w:rsidR="00A37852" w:rsidRPr="00BA31BA" w:rsidRDefault="00A37852" w:rsidP="00A37852">
      <w:pPr>
        <w:ind w:left="567" w:right="713"/>
      </w:pPr>
    </w:p>
    <w:p w14:paraId="14E73AD5" w14:textId="77777777" w:rsidR="00A37852" w:rsidRPr="00BA31BA" w:rsidRDefault="00A37852" w:rsidP="00A37852">
      <w:pPr>
        <w:ind w:left="567" w:right="713"/>
        <w:rPr>
          <w:b/>
        </w:rPr>
      </w:pPr>
      <w:r w:rsidRPr="00BA31BA">
        <w:rPr>
          <w:b/>
        </w:rPr>
        <w:t>Issue</w:t>
      </w:r>
    </w:p>
    <w:p w14:paraId="05C8C96F" w14:textId="77777777" w:rsidR="00A37852" w:rsidRPr="00BA31BA" w:rsidRDefault="00A37852" w:rsidP="00A37852">
      <w:pPr>
        <w:ind w:left="567" w:right="713"/>
      </w:pPr>
      <w:r w:rsidRPr="00BA31BA">
        <w:t>What is the direct issue that needs to be addressed? What is the problem and why is it a part of the report?</w:t>
      </w:r>
    </w:p>
    <w:p w14:paraId="02E468D1" w14:textId="77777777" w:rsidR="00A37852" w:rsidRPr="00BA31BA" w:rsidRDefault="00A37852" w:rsidP="00A37852">
      <w:pPr>
        <w:ind w:left="567" w:right="713"/>
      </w:pPr>
    </w:p>
    <w:p w14:paraId="0F95C3F7" w14:textId="77777777" w:rsidR="00A37852" w:rsidRPr="00BA31BA" w:rsidRDefault="00A37852" w:rsidP="00A37852">
      <w:pPr>
        <w:ind w:left="567" w:right="713"/>
        <w:rPr>
          <w:b/>
        </w:rPr>
      </w:pPr>
      <w:r w:rsidRPr="00BA31BA">
        <w:rPr>
          <w:b/>
        </w:rPr>
        <w:t>Solution(s)/Recommendation(s)</w:t>
      </w:r>
    </w:p>
    <w:p w14:paraId="7F8B8A62" w14:textId="77777777" w:rsidR="00A37852" w:rsidRPr="00BA31BA" w:rsidRDefault="00A37852" w:rsidP="00A37852">
      <w:pPr>
        <w:ind w:left="567" w:right="713"/>
      </w:pPr>
      <w:r w:rsidRPr="00BA31BA">
        <w:t>What does the SRWG recommend in response to the issue? This may not only be an issue of “what?” but also o</w:t>
      </w:r>
      <w:r>
        <w:t>f “who?</w:t>
      </w:r>
      <w:proofErr w:type="gramStart"/>
      <w:r>
        <w:t>”,</w:t>
      </w:r>
      <w:proofErr w:type="gramEnd"/>
      <w:r>
        <w:t xml:space="preserve"> “how?” and “by when?”</w:t>
      </w:r>
      <w:r w:rsidRPr="00BA31BA">
        <w:t xml:space="preserve"> </w:t>
      </w:r>
    </w:p>
    <w:p w14:paraId="2748D687" w14:textId="77777777" w:rsidR="00A37852" w:rsidRPr="00BA31BA" w:rsidRDefault="00A37852" w:rsidP="00A37852">
      <w:pPr>
        <w:ind w:left="567" w:right="855"/>
      </w:pPr>
      <w:r w:rsidRPr="00BA31BA">
        <w:t xml:space="preserve">An obviously fictitious example would be a recommendation to the effect that “all EHEA members rewrite their national qualifications framework in broad </w:t>
      </w:r>
      <w:r w:rsidRPr="00BA31BA">
        <w:lastRenderedPageBreak/>
        <w:t xml:space="preserve">consultations with all stakeholders by the end of 2015”.  A perhaps not-so-fictitious example may be to propose that all EHEA members submit plans by the July 2016 (i.e. a good year after the next Ministerial conference) for how they intend to fulfill the commitment made in Berlin to issue the Diploma Supplement automatically, free of charge and in a widely spoken language, including a timetable for when this commitment will be fulfilled. </w:t>
      </w:r>
    </w:p>
    <w:p w14:paraId="305AB583" w14:textId="77777777" w:rsidR="00A37852" w:rsidRPr="00BA31BA" w:rsidRDefault="00A37852" w:rsidP="00A37852"/>
    <w:p w14:paraId="22F22C79" w14:textId="77777777" w:rsidR="00A37852" w:rsidRPr="00BA31BA" w:rsidRDefault="00A37852" w:rsidP="00A37852">
      <w:pPr>
        <w:rPr>
          <w:b/>
        </w:rPr>
      </w:pPr>
      <w:r w:rsidRPr="00BA31BA">
        <w:rPr>
          <w:b/>
        </w:rPr>
        <w:t>A FIRST OUTLINE OF THE REPORT</w:t>
      </w:r>
    </w:p>
    <w:p w14:paraId="3FA0D52E" w14:textId="77777777" w:rsidR="00A37852" w:rsidRPr="00BA31BA" w:rsidRDefault="00A37852" w:rsidP="00A37852">
      <w:r w:rsidRPr="00BA31BA">
        <w:t>In the following, we will seek to provide a first outline of the report and to indicate what could be the main content of each part.  We do not at this stage seek to provide any extensive outline of specific issues or to suggest recommendations. As mentioned, a skeleton outline is provided for reference in Appendix 1.</w:t>
      </w:r>
    </w:p>
    <w:p w14:paraId="181F1A88" w14:textId="77777777" w:rsidR="00A37852" w:rsidRPr="00BA31BA" w:rsidRDefault="00A37852" w:rsidP="00A37852"/>
    <w:p w14:paraId="7C499E8E" w14:textId="77777777" w:rsidR="00A37852" w:rsidRPr="00CF3D9C" w:rsidRDefault="00A37852" w:rsidP="00A37852">
      <w:pPr>
        <w:rPr>
          <w:b/>
        </w:rPr>
      </w:pPr>
      <w:r w:rsidRPr="00BA31BA">
        <w:rPr>
          <w:b/>
        </w:rPr>
        <w:t>Introduction</w:t>
      </w:r>
    </w:p>
    <w:p w14:paraId="2F54B4E8" w14:textId="77777777" w:rsidR="00A37852" w:rsidRDefault="00A37852" w:rsidP="00A37852">
      <w:r w:rsidRPr="00BA31BA">
        <w:t xml:space="preserve">The introduction should describe the context of the report.  This would include a description of the SRWG terms of reference (which should also be appended to the report </w:t>
      </w:r>
      <w:r w:rsidRPr="00BA31BA">
        <w:rPr>
          <w:i/>
        </w:rPr>
        <w:t xml:space="preserve">in </w:t>
      </w:r>
      <w:proofErr w:type="spellStart"/>
      <w:r w:rsidRPr="00BA31BA">
        <w:rPr>
          <w:i/>
        </w:rPr>
        <w:t>extenso</w:t>
      </w:r>
      <w:proofErr w:type="spellEnd"/>
      <w:r w:rsidRPr="00BA31BA">
        <w:t>) as well as of the four sub-groups and the relationship of the sub-groups to the SRWG.  The introduction should make the point that contributions from the sub-groups have been included in the report. It might be considered whether more extensive reports form the sub-groups will be made available electronically, in which case the SRWG report should include the reference to the web sites.  This is ultimately an issue for the BFUG to decide.</w:t>
      </w:r>
    </w:p>
    <w:p w14:paraId="5FAD03EB" w14:textId="77777777" w:rsidR="00A37852" w:rsidRPr="00CF3D9C" w:rsidRDefault="00A37852" w:rsidP="00A37852">
      <w:r>
        <w:t xml:space="preserve">It is important to note that the overarching goal of the SRWG – as of the three other working groups - is </w:t>
      </w:r>
      <w:r w:rsidRPr="00CF3D9C">
        <w:t>to develop the EHEA further. The achievement of that objective requires structural reforms</w:t>
      </w:r>
      <w:r>
        <w:t xml:space="preserve"> to be carried out </w:t>
      </w:r>
      <w:r w:rsidRPr="00CF3D9C">
        <w:t>in the participating countries in all four major policy areas covered by the SRWG. The structural reforms have to be</w:t>
      </w:r>
      <w:r>
        <w:t xml:space="preserve"> coherent and they need to be</w:t>
      </w:r>
      <w:r w:rsidRPr="00CF3D9C">
        <w:t xml:space="preserve"> implemented properly and timely. </w:t>
      </w:r>
      <w:r>
        <w:t>However, we know</w:t>
      </w:r>
      <w:r w:rsidRPr="00CF3D9C">
        <w:t xml:space="preserve"> </w:t>
      </w:r>
      <w:r>
        <w:t xml:space="preserve">- e.g. </w:t>
      </w:r>
      <w:r w:rsidRPr="00CF3D9C">
        <w:t>from the seminar on the 2</w:t>
      </w:r>
      <w:r w:rsidRPr="00CF3D9C">
        <w:rPr>
          <w:vertAlign w:val="superscript"/>
        </w:rPr>
        <w:t>nd</w:t>
      </w:r>
      <w:r w:rsidRPr="00CF3D9C">
        <w:t xml:space="preserve"> cycle and from briefings </w:t>
      </w:r>
      <w:r>
        <w:t>by</w:t>
      </w:r>
      <w:r w:rsidRPr="00CF3D9C">
        <w:t xml:space="preserve"> the third cycle working group </w:t>
      </w:r>
      <w:r>
        <w:t xml:space="preserve">- </w:t>
      </w:r>
      <w:r w:rsidRPr="00CF3D9C">
        <w:t xml:space="preserve">that a broad diversity will continue to exist with regard to </w:t>
      </w:r>
      <w:r>
        <w:t>qualifications frameworks</w:t>
      </w:r>
      <w:r w:rsidRPr="00CF3D9C">
        <w:t xml:space="preserve"> and </w:t>
      </w:r>
      <w:r>
        <w:t>quality assurance</w:t>
      </w:r>
      <w:r w:rsidRPr="00CF3D9C">
        <w:t xml:space="preserve">. </w:t>
      </w:r>
      <w:r>
        <w:t>T</w:t>
      </w:r>
      <w:r w:rsidRPr="00CF3D9C">
        <w:t xml:space="preserve">he report should </w:t>
      </w:r>
      <w:r>
        <w:t xml:space="preserve">therefore </w:t>
      </w:r>
      <w:r w:rsidRPr="00CF3D9C">
        <w:t xml:space="preserve">also point to how to deal with diversity and to how </w:t>
      </w:r>
      <w:r>
        <w:t>we could</w:t>
      </w:r>
      <w:r w:rsidRPr="00CF3D9C">
        <w:t xml:space="preserve"> make the diversity more transparent. That can be included in the transparency </w:t>
      </w:r>
      <w:r>
        <w:t>i</w:t>
      </w:r>
      <w:r w:rsidRPr="00CF3D9C">
        <w:t xml:space="preserve">ssue but that can also be included in the recommendations part of each area (QF, QA, </w:t>
      </w:r>
      <w:r>
        <w:t>recognition</w:t>
      </w:r>
      <w:r w:rsidRPr="00CF3D9C">
        <w:t xml:space="preserve">). </w:t>
      </w:r>
    </w:p>
    <w:p w14:paraId="0B7C2DD5" w14:textId="77777777" w:rsidR="00A37852" w:rsidRPr="00FE201E" w:rsidRDefault="00A37852" w:rsidP="00A37852">
      <w:r w:rsidRPr="00FE201E">
        <w:t>The report will also need to acknowledge that higher education worldwide is undergoing many changes and that many of those changes will have a (structural) impact on our higher education systems</w:t>
      </w:r>
      <w:r>
        <w:t xml:space="preserve">. </w:t>
      </w:r>
      <w:r w:rsidRPr="00FE201E">
        <w:t xml:space="preserve"> MOOCs</w:t>
      </w:r>
      <w:r>
        <w:t xml:space="preserve"> may be the most obvious example of this</w:t>
      </w:r>
      <w:r w:rsidRPr="00FE201E">
        <w:t>.</w:t>
      </w:r>
      <w:r>
        <w:t xml:space="preserve"> The report cannot fully explore the impact of these changes, in part because it already has terms of references that are both extensive and specific and in part because many of these developments are still in the making. The report could, however, make the point that the EHEA needs to follow developments closely also in the 2015 – 18 work period and that it may wish to reflect on what the impactions of some of the developments may be on the very concept of an education system.</w:t>
      </w:r>
    </w:p>
    <w:p w14:paraId="35F70797" w14:textId="77777777" w:rsidR="00A37852" w:rsidRPr="00BA31BA" w:rsidRDefault="00A37852" w:rsidP="00A37852">
      <w:r w:rsidRPr="00BA31BA">
        <w:lastRenderedPageBreak/>
        <w:t>The introduction would need to note that two important, specific areas of structural reform – the revision of the ESG and the pathfinder group on automatic recognition - lie outside of the remit of the SRWG.  Whether some reference should be made to one or both initiatives in the report will need to be assessed toward the end of the period. The SRWG will be expected to – and will expect to – comment on both initiatives at some stage.</w:t>
      </w:r>
    </w:p>
    <w:p w14:paraId="60EB0312" w14:textId="77777777" w:rsidR="00A37852" w:rsidRDefault="00A37852" w:rsidP="00A37852">
      <w:r w:rsidRPr="00BA31BA">
        <w:t>The introduction should also provide a brief background by referring to the main work on structural reforms in the EHEA so far and it should in particular refer to the reports by the working groups on recognition, qualifications frameworks and transparency instruments to the Bucharest ministerial conference. It should also note that policy developments in quality assurance have for the most part been driven by the E 4 group as well as, more recently, by EQAR.</w:t>
      </w:r>
    </w:p>
    <w:p w14:paraId="32E1B3DD" w14:textId="77777777" w:rsidR="00D57AE4" w:rsidRDefault="00D57AE4" w:rsidP="00D57AE4">
      <w:r>
        <w:t xml:space="preserve">The introduction should also make the point that structural reforms have been a major part of the EHEA agenda – as well as of the public image of the EHEA – so far.  Many structures have been reformed with an important role played by European networks and associations, such as the work of ENQA in building capacity and supporting the development of QAAs. Even if some work remains before all countries have developed e.g. national qualifications frameworks compatible with the QF-EHEA and national quality assurance agencies operating in full accordance with the ESG and thus qualified for registration in EQAR, the main challenge over the coming years will nevertheless be to ensure that the reformed structures are implemented.  This could be illustrated by the fact that national implementation of the Lisbon Recognition Convention through policies and practice for fair recognition is highly uneven and that many public countries (and institutions) have yet to deliver on the commitment made by Ministers in Berlin to issue the Diploma Supplement automatically, free of change and in a widely spoken language by 2005. </w:t>
      </w:r>
    </w:p>
    <w:p w14:paraId="17BDF576" w14:textId="77777777" w:rsidR="00A37852" w:rsidRPr="00BA31BA" w:rsidRDefault="00A37852" w:rsidP="00A37852">
      <w:r w:rsidRPr="00BA31BA">
        <w:t>Not least, the introduction should make the point that one important reason for establishing a working group on structural reforms, replacing the working groups on specific policy areas in the previous work programs, was that the BFUG felt a need to see structural reforms in context and to assess how the four main policy areas influence each other.  In this respect, the introduction should also refer to an elaborate on the considerations outlined in its terms of reference:</w:t>
      </w:r>
    </w:p>
    <w:p w14:paraId="6D7E70FA" w14:textId="77777777" w:rsidR="00A37852" w:rsidRPr="00BA31BA" w:rsidRDefault="00A37852" w:rsidP="00A37852">
      <w:pPr>
        <w:spacing w:after="120"/>
        <w:ind w:left="1134" w:right="855" w:hanging="567"/>
        <w:jc w:val="both"/>
      </w:pPr>
      <w:r w:rsidRPr="00BA31BA">
        <w:t>“The Working Group should consider structural reforms in relation to the major purposes of higher education:</w:t>
      </w:r>
    </w:p>
    <w:p w14:paraId="26C1211B" w14:textId="77777777" w:rsidR="00A37852" w:rsidRPr="00BA31BA" w:rsidRDefault="00A37852" w:rsidP="00A37852">
      <w:pPr>
        <w:numPr>
          <w:ilvl w:val="0"/>
          <w:numId w:val="1"/>
        </w:numPr>
        <w:spacing w:after="0"/>
        <w:ind w:left="1134" w:right="855" w:hanging="567"/>
      </w:pPr>
      <w:r w:rsidRPr="00BA31BA">
        <w:t>Preparing for employment;</w:t>
      </w:r>
    </w:p>
    <w:p w14:paraId="5A1FCD11" w14:textId="77777777" w:rsidR="00A37852" w:rsidRPr="00BA31BA" w:rsidRDefault="00A37852" w:rsidP="00A37852">
      <w:pPr>
        <w:numPr>
          <w:ilvl w:val="0"/>
          <w:numId w:val="1"/>
        </w:numPr>
        <w:spacing w:after="0"/>
        <w:ind w:left="1134" w:right="855" w:hanging="567"/>
      </w:pPr>
      <w:r w:rsidRPr="00BA31BA">
        <w:t>Preparing for life as active citizens in democratic societies;</w:t>
      </w:r>
    </w:p>
    <w:p w14:paraId="110AF13A" w14:textId="77777777" w:rsidR="00A37852" w:rsidRPr="00BA31BA" w:rsidRDefault="00A37852" w:rsidP="00A37852">
      <w:pPr>
        <w:numPr>
          <w:ilvl w:val="0"/>
          <w:numId w:val="1"/>
        </w:numPr>
        <w:spacing w:after="0"/>
        <w:ind w:left="1134" w:right="855" w:hanging="567"/>
      </w:pPr>
      <w:r w:rsidRPr="00BA31BA">
        <w:t>Personal development;</w:t>
      </w:r>
    </w:p>
    <w:p w14:paraId="6BD4EEB2" w14:textId="77777777" w:rsidR="00A37852" w:rsidRPr="00BA31BA" w:rsidRDefault="00A37852" w:rsidP="00A37852">
      <w:pPr>
        <w:numPr>
          <w:ilvl w:val="0"/>
          <w:numId w:val="1"/>
        </w:numPr>
        <w:spacing w:after="0"/>
        <w:ind w:left="1134" w:right="855" w:hanging="567"/>
      </w:pPr>
      <w:r w:rsidRPr="00BA31BA">
        <w:t>The development and maintenance of a broad, advanced knowledge base;</w:t>
      </w:r>
    </w:p>
    <w:p w14:paraId="62D61E72" w14:textId="77777777" w:rsidR="00A37852" w:rsidRPr="00BA31BA" w:rsidRDefault="00A37852" w:rsidP="00A37852">
      <w:pPr>
        <w:ind w:left="1134" w:right="855" w:hanging="567"/>
      </w:pPr>
    </w:p>
    <w:p w14:paraId="4B5AD7F3" w14:textId="77777777" w:rsidR="00A37852" w:rsidRPr="00BA31BA" w:rsidRDefault="00A37852" w:rsidP="00A37852">
      <w:pPr>
        <w:ind w:left="1134" w:right="855" w:hanging="567"/>
      </w:pPr>
      <w:proofErr w:type="gramStart"/>
      <w:r w:rsidRPr="00BA31BA">
        <w:t>as</w:t>
      </w:r>
      <w:proofErr w:type="gramEnd"/>
      <w:r w:rsidRPr="00BA31BA">
        <w:t xml:space="preserve"> well as the three missions:</w:t>
      </w:r>
    </w:p>
    <w:p w14:paraId="771B6BA0" w14:textId="77777777" w:rsidR="00A37852" w:rsidRPr="00BA31BA" w:rsidRDefault="00A37852" w:rsidP="00A37852">
      <w:pPr>
        <w:ind w:left="1134" w:right="855" w:hanging="567"/>
      </w:pPr>
    </w:p>
    <w:p w14:paraId="71FCDDF8" w14:textId="77777777" w:rsidR="00A37852" w:rsidRPr="00BA31BA" w:rsidRDefault="00A37852" w:rsidP="00A37852">
      <w:pPr>
        <w:numPr>
          <w:ilvl w:val="0"/>
          <w:numId w:val="3"/>
        </w:numPr>
        <w:spacing w:after="0"/>
        <w:ind w:left="1134" w:right="855" w:hanging="567"/>
      </w:pPr>
      <w:r w:rsidRPr="00BA31BA">
        <w:t xml:space="preserve">teaching and learning; </w:t>
      </w:r>
    </w:p>
    <w:p w14:paraId="0CDC753F" w14:textId="77777777" w:rsidR="00A37852" w:rsidRPr="00BA31BA" w:rsidRDefault="00A37852" w:rsidP="00A37852">
      <w:pPr>
        <w:numPr>
          <w:ilvl w:val="0"/>
          <w:numId w:val="3"/>
        </w:numPr>
        <w:spacing w:after="0"/>
        <w:ind w:left="1134" w:right="855" w:hanging="567"/>
      </w:pPr>
      <w:r w:rsidRPr="00BA31BA">
        <w:t xml:space="preserve">research; </w:t>
      </w:r>
    </w:p>
    <w:p w14:paraId="008AB8FF" w14:textId="77777777" w:rsidR="00A37852" w:rsidRPr="00BA31BA" w:rsidRDefault="00A37852" w:rsidP="00A37852">
      <w:pPr>
        <w:numPr>
          <w:ilvl w:val="0"/>
          <w:numId w:val="3"/>
        </w:numPr>
        <w:spacing w:after="0"/>
        <w:ind w:left="1134" w:right="855" w:hanging="567"/>
      </w:pPr>
      <w:proofErr w:type="gramStart"/>
      <w:r w:rsidRPr="00BA31BA">
        <w:t>service</w:t>
      </w:r>
      <w:proofErr w:type="gramEnd"/>
      <w:r w:rsidRPr="00BA31BA">
        <w:t xml:space="preserve"> to society.  </w:t>
      </w:r>
    </w:p>
    <w:p w14:paraId="64E7D092" w14:textId="77777777" w:rsidR="00A37852" w:rsidRPr="00BA31BA" w:rsidRDefault="00A37852" w:rsidP="00A37852">
      <w:pPr>
        <w:ind w:left="1134" w:right="855" w:hanging="567"/>
      </w:pPr>
    </w:p>
    <w:p w14:paraId="2C396B40" w14:textId="77777777" w:rsidR="00A37852" w:rsidRPr="00BA31BA" w:rsidRDefault="00A37852" w:rsidP="00A37852">
      <w:pPr>
        <w:pStyle w:val="Default"/>
        <w:ind w:left="1134" w:right="855" w:hanging="567"/>
        <w:rPr>
          <w:rFonts w:ascii="Times New Roman" w:hAnsi="Times New Roman" w:cs="Times New Roman"/>
          <w:color w:val="auto"/>
        </w:rPr>
      </w:pPr>
      <w:r w:rsidRPr="00BA31BA">
        <w:rPr>
          <w:rFonts w:ascii="Times New Roman" w:hAnsi="Times New Roman" w:cs="Times New Roman"/>
        </w:rPr>
        <w:lastRenderedPageBreak/>
        <w:t xml:space="preserve">It should further </w:t>
      </w:r>
      <w:r w:rsidRPr="00BA31BA">
        <w:rPr>
          <w:rFonts w:ascii="Times New Roman" w:hAnsi="Times New Roman" w:cs="Times New Roman"/>
          <w:color w:val="auto"/>
        </w:rPr>
        <w:t>be guided by the following policy considerations:</w:t>
      </w:r>
    </w:p>
    <w:p w14:paraId="31D43F02" w14:textId="77777777" w:rsidR="00A37852" w:rsidRPr="00BA31BA" w:rsidRDefault="00A37852" w:rsidP="00A37852">
      <w:pPr>
        <w:ind w:left="1134" w:right="855" w:hanging="567"/>
      </w:pPr>
    </w:p>
    <w:p w14:paraId="3681F184" w14:textId="77777777" w:rsidR="00A37852" w:rsidRPr="00BA31BA" w:rsidRDefault="00A37852" w:rsidP="00A37852">
      <w:pPr>
        <w:numPr>
          <w:ilvl w:val="0"/>
          <w:numId w:val="2"/>
        </w:numPr>
        <w:spacing w:after="0"/>
        <w:ind w:left="1134" w:right="855" w:hanging="567"/>
      </w:pPr>
      <w:r w:rsidRPr="00BA31BA">
        <w:t>Students, employers and society at large want more objective, reliable and high quality information about higher education;</w:t>
      </w:r>
    </w:p>
    <w:p w14:paraId="321B1ADD" w14:textId="77777777" w:rsidR="00A37852" w:rsidRPr="00BA31BA" w:rsidRDefault="00A37852" w:rsidP="00A37852">
      <w:pPr>
        <w:numPr>
          <w:ilvl w:val="0"/>
          <w:numId w:val="2"/>
        </w:numPr>
        <w:spacing w:after="0"/>
        <w:ind w:left="1134" w:right="855" w:hanging="567"/>
      </w:pPr>
      <w:r w:rsidRPr="00BA31BA">
        <w:t xml:space="preserve">There is an increasing societal expectation of Higher Education Institutions that they enhance the employability of graduates and provide students with skills relevant to the </w:t>
      </w:r>
      <w:proofErr w:type="spellStart"/>
      <w:r w:rsidRPr="00BA31BA">
        <w:t>labour</w:t>
      </w:r>
      <w:proofErr w:type="spellEnd"/>
      <w:r w:rsidRPr="00BA31BA">
        <w:t xml:space="preserve"> market;</w:t>
      </w:r>
    </w:p>
    <w:p w14:paraId="54E255D1" w14:textId="77777777" w:rsidR="00A37852" w:rsidRPr="00BA31BA" w:rsidRDefault="00A37852" w:rsidP="00A37852">
      <w:pPr>
        <w:numPr>
          <w:ilvl w:val="0"/>
          <w:numId w:val="2"/>
        </w:numPr>
        <w:spacing w:after="0"/>
        <w:ind w:left="1134" w:right="855" w:hanging="567"/>
      </w:pPr>
      <w:r w:rsidRPr="00BA31BA">
        <w:t>There is a need to adapt the Bologna goals and instruments for structural reforms to the ever changing context of higher education and of our societies and to the evolving needs within the EHEA;</w:t>
      </w:r>
    </w:p>
    <w:p w14:paraId="0A032259" w14:textId="77777777" w:rsidR="00A37852" w:rsidRPr="00BA31BA" w:rsidRDefault="00A37852" w:rsidP="00A37852">
      <w:pPr>
        <w:numPr>
          <w:ilvl w:val="0"/>
          <w:numId w:val="2"/>
        </w:numPr>
        <w:spacing w:after="0"/>
        <w:ind w:left="1134" w:right="855" w:hanging="567"/>
      </w:pPr>
      <w:r w:rsidRPr="00BA31BA">
        <w:t>There is a need to build trust and confidence in higher education;</w:t>
      </w:r>
    </w:p>
    <w:p w14:paraId="354967A1" w14:textId="77777777" w:rsidR="00A37852" w:rsidRPr="00BA31BA" w:rsidRDefault="00A37852" w:rsidP="00A37852">
      <w:pPr>
        <w:numPr>
          <w:ilvl w:val="0"/>
          <w:numId w:val="2"/>
        </w:numPr>
        <w:spacing w:after="0"/>
        <w:ind w:left="1134" w:right="855" w:hanging="567"/>
      </w:pPr>
      <w:r w:rsidRPr="00BA31BA">
        <w:t>The relationship between the structural reforms developed within the EHEA and their impact on other regions needs to be considered;</w:t>
      </w:r>
    </w:p>
    <w:p w14:paraId="5C196746" w14:textId="77777777" w:rsidR="00A37852" w:rsidRPr="00BA31BA" w:rsidRDefault="00A37852" w:rsidP="00A37852">
      <w:pPr>
        <w:numPr>
          <w:ilvl w:val="0"/>
          <w:numId w:val="2"/>
        </w:numPr>
        <w:spacing w:after="0"/>
        <w:ind w:left="1134" w:right="855" w:hanging="567"/>
      </w:pPr>
      <w:r w:rsidRPr="00BA31BA">
        <w:t>There is a need for a more supportive environment for academic staff and students;</w:t>
      </w:r>
    </w:p>
    <w:p w14:paraId="559BD5D3" w14:textId="77777777" w:rsidR="00A37852" w:rsidRPr="00BA31BA" w:rsidRDefault="00A37852" w:rsidP="00A37852">
      <w:pPr>
        <w:numPr>
          <w:ilvl w:val="0"/>
          <w:numId w:val="2"/>
        </w:numPr>
        <w:spacing w:after="0"/>
        <w:ind w:left="1134" w:right="855" w:hanging="567"/>
      </w:pPr>
      <w:r w:rsidRPr="00BA31BA">
        <w:t>Higher Education needs to contribute to Lifelong Learning.”</w:t>
      </w:r>
    </w:p>
    <w:p w14:paraId="5666E0FC" w14:textId="77777777" w:rsidR="00A37852" w:rsidRPr="00BA31BA" w:rsidRDefault="00A37852" w:rsidP="00A37852"/>
    <w:p w14:paraId="43D1FB83" w14:textId="77777777" w:rsidR="00A37852" w:rsidRPr="00BA31BA" w:rsidRDefault="00A37852" w:rsidP="00A37852">
      <w:r w:rsidRPr="00BA31BA">
        <w:t>Finally, the introduction should explain that the report will first consider each major policy area separately and then consider the relationship between them.</w:t>
      </w:r>
    </w:p>
    <w:p w14:paraId="69AAB3DE" w14:textId="77777777" w:rsidR="00A37852" w:rsidRDefault="00A37852" w:rsidP="00A37852"/>
    <w:p w14:paraId="54C33F56" w14:textId="77777777" w:rsidR="00A37852" w:rsidRPr="004B764E" w:rsidRDefault="00A37852" w:rsidP="00A37852">
      <w:pPr>
        <w:rPr>
          <w:b/>
        </w:rPr>
      </w:pPr>
      <w:r w:rsidRPr="004B764E">
        <w:rPr>
          <w:b/>
        </w:rPr>
        <w:t>OVERACHING ISSUES - DEVELOPING A COHERENT APPROACH TO STRUCTURAL REFORMS</w:t>
      </w:r>
    </w:p>
    <w:p w14:paraId="6161B176" w14:textId="77777777" w:rsidR="00A37852" w:rsidRDefault="00A37852" w:rsidP="00A37852">
      <w:r>
        <w:t xml:space="preserve">An important reason why the SRWG was established was a desire on the part of the BFUG to see the structural reforms at the heart of the development of the EHEA as a coherent whole as well as a concern that structural reforms within the EHEA had so far been developed piecemeal and possibly even at cross purposes. It is therefore important that the report provide a framework for considering structural reforms as a coherent whole and not just as four separate policy areas that in the 2012 – 15 period happened to have been put under the same umbrella. </w:t>
      </w:r>
    </w:p>
    <w:p w14:paraId="7BE1F94B" w14:textId="77777777" w:rsidR="00A37852" w:rsidRDefault="00A37852" w:rsidP="00A37852">
      <w:r>
        <w:t>The need to emphasize overarching issues and the need for coherent structural reforms was strongly underlined at the meeting of the SRWG on September 24 – 25 and the Co-Chairs therefore propose to underline this point more strongly in this revised draft.  In part, this can be done by moving forward some of the issues that were in the first draft placed after issues concerning specific policy areas and in part by seeking to identify further overarching issues.</w:t>
      </w:r>
    </w:p>
    <w:p w14:paraId="2725B4FF" w14:textId="77777777" w:rsidR="00A37852" w:rsidRDefault="00A37852" w:rsidP="00A37852"/>
    <w:p w14:paraId="6C9D7320" w14:textId="77777777" w:rsidR="00A37852" w:rsidRPr="00765B5F" w:rsidRDefault="00A37852" w:rsidP="00A37852">
      <w:pPr>
        <w:rPr>
          <w:b/>
          <w:i/>
        </w:rPr>
      </w:pPr>
      <w:r w:rsidRPr="00765B5F">
        <w:rPr>
          <w:b/>
          <w:i/>
        </w:rPr>
        <w:t>Structures and purposes</w:t>
      </w:r>
    </w:p>
    <w:p w14:paraId="6F568051" w14:textId="77777777" w:rsidR="00A37852" w:rsidRDefault="00A37852" w:rsidP="00A37852">
      <w:r>
        <w:t xml:space="preserve">While structural reform has taken on great importance in the development of the EHEA, and while there has been an implicit understanding that structural reforms are necessary to make European higher education better, more attractive and more “fit for purpose”, there has been little explicit discussion of what purposes higher education reforms should seek to further even if some reference to the multiple purposes of higher education can be found in successive </w:t>
      </w:r>
      <w:r>
        <w:lastRenderedPageBreak/>
        <w:t>communiqués, at least from the 2007 London Communiqué.  The terms of reference of the SRWG refer to the main purpose of higher education as</w:t>
      </w:r>
    </w:p>
    <w:p w14:paraId="6485A0A1" w14:textId="77777777" w:rsidR="00A37852" w:rsidRPr="00BA31BA" w:rsidRDefault="00A37852" w:rsidP="00A37852">
      <w:pPr>
        <w:numPr>
          <w:ilvl w:val="0"/>
          <w:numId w:val="1"/>
        </w:numPr>
        <w:spacing w:after="0"/>
        <w:ind w:left="1134" w:right="855" w:hanging="567"/>
      </w:pPr>
      <w:r w:rsidRPr="00BA31BA">
        <w:t>Preparing for employment;</w:t>
      </w:r>
    </w:p>
    <w:p w14:paraId="75702E68" w14:textId="77777777" w:rsidR="00A37852" w:rsidRPr="00BA31BA" w:rsidRDefault="00A37852" w:rsidP="00A37852">
      <w:pPr>
        <w:numPr>
          <w:ilvl w:val="0"/>
          <w:numId w:val="1"/>
        </w:numPr>
        <w:spacing w:after="0"/>
        <w:ind w:left="1134" w:right="855" w:hanging="567"/>
      </w:pPr>
      <w:r w:rsidRPr="00BA31BA">
        <w:t>Preparing for life as active citizens in democratic societies;</w:t>
      </w:r>
    </w:p>
    <w:p w14:paraId="6BB13787" w14:textId="77777777" w:rsidR="00A37852" w:rsidRDefault="00A37852" w:rsidP="00A37852">
      <w:pPr>
        <w:numPr>
          <w:ilvl w:val="0"/>
          <w:numId w:val="1"/>
        </w:numPr>
        <w:spacing w:after="0"/>
        <w:ind w:left="1134" w:right="855" w:hanging="567"/>
      </w:pPr>
      <w:r w:rsidRPr="00BA31BA">
        <w:t>Personal development;</w:t>
      </w:r>
    </w:p>
    <w:p w14:paraId="08AC17AE" w14:textId="77777777" w:rsidR="00A37852" w:rsidRDefault="00A37852" w:rsidP="00A37852">
      <w:pPr>
        <w:numPr>
          <w:ilvl w:val="0"/>
          <w:numId w:val="1"/>
        </w:numPr>
        <w:spacing w:after="0"/>
        <w:ind w:left="1134" w:right="855" w:hanging="567"/>
      </w:pPr>
      <w:r w:rsidRPr="00BA31BA">
        <w:t>The development and maintenance of a broad, advanced knowledge base</w:t>
      </w:r>
    </w:p>
    <w:p w14:paraId="4D151566" w14:textId="77777777" w:rsidR="00A37852" w:rsidRDefault="00A37852" w:rsidP="00A37852"/>
    <w:p w14:paraId="3CE2C3D2" w14:textId="77777777" w:rsidR="00A37852" w:rsidRDefault="00A37852" w:rsidP="00A37852">
      <w:proofErr w:type="gramStart"/>
      <w:r>
        <w:t>and</w:t>
      </w:r>
      <w:proofErr w:type="gramEnd"/>
      <w:r>
        <w:t>, as mentioned in the introduction, it may be worth stating explicitly that higher education in Europe needs structures that enable it to contribute in the best possible way to all four major purposes.</w:t>
      </w:r>
    </w:p>
    <w:p w14:paraId="627F19FE" w14:textId="77777777" w:rsidR="00A37852" w:rsidRDefault="00A37852" w:rsidP="00A37852"/>
    <w:p w14:paraId="411502C9" w14:textId="77777777" w:rsidR="00A37852" w:rsidRDefault="00A37852" w:rsidP="00A37852">
      <w:r>
        <w:t>The report should above all seek to develop overarching policies contributing to and depending on structural reform, such as:</w:t>
      </w:r>
    </w:p>
    <w:p w14:paraId="5E18A6DE" w14:textId="77777777" w:rsidR="00A37852" w:rsidRPr="00BA31BA" w:rsidRDefault="00A37852" w:rsidP="00A37852">
      <w:pPr>
        <w:rPr>
          <w:b/>
          <w:i/>
        </w:rPr>
      </w:pPr>
    </w:p>
    <w:p w14:paraId="72C68848" w14:textId="77777777" w:rsidR="00A37852" w:rsidRPr="00BA31BA" w:rsidRDefault="00A37852" w:rsidP="00A37852">
      <w:r w:rsidRPr="00BA31BA">
        <w:rPr>
          <w:b/>
          <w:i/>
        </w:rPr>
        <w:t>Learning outcomes</w:t>
      </w:r>
      <w:r w:rsidRPr="00BA31BA">
        <w:t xml:space="preserve"> (</w:t>
      </w:r>
      <w:proofErr w:type="spellStart"/>
      <w:r w:rsidRPr="00BA31BA">
        <w:t>ToR</w:t>
      </w:r>
      <w:proofErr w:type="spellEnd"/>
      <w:r w:rsidRPr="00BA31BA">
        <w:t xml:space="preserve"> no. 2)</w:t>
      </w:r>
    </w:p>
    <w:p w14:paraId="4567391A" w14:textId="77777777" w:rsidR="00A37852" w:rsidRDefault="00A37852" w:rsidP="00A37852">
      <w:r w:rsidRPr="00BA31BA">
        <w:t xml:space="preserve">Learning outcomes are an important element bringing the four main policy areas together. They represent a shift in focus from procedural considerations to considerations of what learners know, understand and are able to do on the basis of a qualification as well as of the attitudes they have developed in the course of their education. </w:t>
      </w:r>
      <w:r>
        <w:t>They also support implementation of the student-centered learning approach in teaching and learning processes, in which t</w:t>
      </w:r>
      <w:r w:rsidRPr="00D90EE5">
        <w:rPr>
          <w:color w:val="000000"/>
        </w:rPr>
        <w:t>each</w:t>
      </w:r>
      <w:r w:rsidRPr="00D90EE5">
        <w:rPr>
          <w:color w:val="000000"/>
        </w:rPr>
        <w:softHyphen/>
        <w:t xml:space="preserve">ers, students and institutions </w:t>
      </w:r>
      <w:r>
        <w:rPr>
          <w:color w:val="000000"/>
        </w:rPr>
        <w:t xml:space="preserve">need to continuously reflect on </w:t>
      </w:r>
      <w:r w:rsidRPr="00D90EE5">
        <w:rPr>
          <w:color w:val="000000"/>
        </w:rPr>
        <w:t>their teaching, learning and infrastructural systems</w:t>
      </w:r>
      <w:r>
        <w:rPr>
          <w:color w:val="000000"/>
        </w:rPr>
        <w:t xml:space="preserve"> in order to</w:t>
      </w:r>
      <w:r w:rsidRPr="00D90EE5">
        <w:rPr>
          <w:color w:val="000000"/>
        </w:rPr>
        <w:t xml:space="preserve"> improve the learning experience of students</w:t>
      </w:r>
      <w:r>
        <w:rPr>
          <w:color w:val="000000"/>
        </w:rPr>
        <w:t xml:space="preserve"> and </w:t>
      </w:r>
      <w:r w:rsidRPr="00D90EE5">
        <w:rPr>
          <w:color w:val="000000"/>
        </w:rPr>
        <w:t>ensure that the intended learning outcome</w:t>
      </w:r>
      <w:r>
        <w:rPr>
          <w:color w:val="000000"/>
        </w:rPr>
        <w:t>s of a given course or educational</w:t>
      </w:r>
      <w:r w:rsidRPr="00D90EE5">
        <w:rPr>
          <w:color w:val="000000"/>
        </w:rPr>
        <w:t xml:space="preserve"> component are achieved in a way that stimulates critical thinking and transferable skills</w:t>
      </w:r>
      <w:r>
        <w:t xml:space="preserve">. </w:t>
      </w:r>
    </w:p>
    <w:p w14:paraId="24067988" w14:textId="77777777" w:rsidR="00A37852" w:rsidRDefault="00A37852" w:rsidP="00A37852"/>
    <w:p w14:paraId="27711D24" w14:textId="77777777" w:rsidR="00A37852" w:rsidRDefault="00A37852" w:rsidP="00A37852">
      <w:r w:rsidRPr="00BA31BA">
        <w:t xml:space="preserve">Ideally, a confirmation of learning outcomes, linked to qualifications frameworks, obtained in programs that have been quality assured and that would in themselves be an important part of the internal quality development in higher education institutions, and that would </w:t>
      </w:r>
      <w:r>
        <w:t xml:space="preserve">further </w:t>
      </w:r>
      <w:r w:rsidRPr="00BA31BA">
        <w:t xml:space="preserve">be described and assessed in transparent ways, </w:t>
      </w:r>
      <w:r>
        <w:t>should</w:t>
      </w:r>
      <w:r w:rsidRPr="00BA31BA">
        <w:t xml:space="preserve"> be a </w:t>
      </w:r>
      <w:r>
        <w:t xml:space="preserve">key </w:t>
      </w:r>
      <w:r w:rsidRPr="00BA31BA">
        <w:t xml:space="preserve">building block of the EHEA.  At the same time, it is clear that – like automatic recognition - this is very much a goal for the future and that much work is still required for </w:t>
      </w:r>
      <w:r>
        <w:t>learning outcomes</w:t>
      </w:r>
      <w:r w:rsidRPr="00BA31BA">
        <w:t xml:space="preserve"> to become a </w:t>
      </w:r>
      <w:r>
        <w:t>key element of policy and practice in all parts of the EHEA</w:t>
      </w:r>
      <w:r w:rsidRPr="00BA31BA">
        <w:t xml:space="preserve">. Much progress has been made and in some countries learning outcomes have become an integral part not only of policy discourse but also of higher education practice.  In other countries, however, a genuine understanding of learning outcomes is still not a part of the reality of higher education. </w:t>
      </w:r>
      <w:r>
        <w:t xml:space="preserve">There may also be differences between academic disciplines in the extent to which learning outcomes have been developed and implemented.  </w:t>
      </w:r>
      <w:r w:rsidRPr="00BA31BA">
        <w:t xml:space="preserve">The issue is particularly difficult because it touches on fundamental aspects of higher education culture and practice and a change of description does not automatically entail change of practice. </w:t>
      </w:r>
    </w:p>
    <w:p w14:paraId="3977B38A" w14:textId="77777777" w:rsidR="00A37852" w:rsidRDefault="00A37852" w:rsidP="00A37852">
      <w:r w:rsidRPr="00BA31BA">
        <w:lastRenderedPageBreak/>
        <w:t>A coherent development of learning outcomes may well be one of the fundamental challenges the EHEA will face over the next years and one that will decide whether the EHEA will be built not only on coherent structures but also on coherent implementation of structures.</w:t>
      </w:r>
    </w:p>
    <w:p w14:paraId="402F7738" w14:textId="77777777" w:rsidR="00A37852" w:rsidRDefault="00A37852" w:rsidP="00A37852"/>
    <w:p w14:paraId="77FD811F" w14:textId="77777777" w:rsidR="00A37852" w:rsidRPr="00BA31BA" w:rsidRDefault="00A37852" w:rsidP="00A37852">
      <w:r>
        <w:t xml:space="preserve">The SRWG will need to consider ways in which a coherent understanding and implementation of learning outcomes may be developed and promoted across the EHEA as well as an indicative timetable.  In this, the SRWG will need to consider how the need to take account of different traditions in different countries and education systems may be balanced against the need to ensure that coherent structures are not undone through incoherent implementation, and all of this needs to be considered  in a context where financing of higher education </w:t>
      </w:r>
      <w:proofErr w:type="spellStart"/>
      <w:r>
        <w:t>si</w:t>
      </w:r>
      <w:proofErr w:type="spellEnd"/>
      <w:r>
        <w:t xml:space="preserve"> not only under considerable strain but also largely a national prerogative and a national responsibility and where the EEHA as such does not have budgets of its own even if actors within the EHEA –and in particular the European Commission – may have funding for cross-national peer learning and other forms of development of good practice..   </w:t>
      </w:r>
    </w:p>
    <w:p w14:paraId="534F8409" w14:textId="77777777" w:rsidR="00A37852" w:rsidRPr="00BA31BA" w:rsidRDefault="00A37852" w:rsidP="00A37852"/>
    <w:p w14:paraId="2C893E30" w14:textId="77777777" w:rsidR="00A37852" w:rsidRPr="00BA31BA" w:rsidRDefault="00A37852" w:rsidP="00A37852">
      <w:r w:rsidRPr="00BA31BA">
        <w:rPr>
          <w:b/>
          <w:i/>
        </w:rPr>
        <w:t>Employability</w:t>
      </w:r>
      <w:r w:rsidRPr="00BA31BA">
        <w:t xml:space="preserve"> (</w:t>
      </w:r>
      <w:proofErr w:type="spellStart"/>
      <w:r w:rsidRPr="00BA31BA">
        <w:t>ToR</w:t>
      </w:r>
      <w:proofErr w:type="spellEnd"/>
      <w:r w:rsidRPr="00BA31BA">
        <w:t xml:space="preserve"> no. 7)</w:t>
      </w:r>
    </w:p>
    <w:p w14:paraId="28238703" w14:textId="77777777" w:rsidR="00A37852" w:rsidRDefault="00A37852" w:rsidP="00A37852">
      <w:r w:rsidRPr="00BA31BA">
        <w:t xml:space="preserve">Like learning outcomes and the global dimension, employability is one of the overarching dimensions of structural reform – as well as of the agenda of the other working groups. In increasingly complex societies, advanced competences will be a prerequisite for most kinds of employment. The further development of Europe’s economy – and beyond that, of European societies – will therefore depend on higher education providing a basis for meaningful employment. Hence, the structures of the EHEA must further this goal, with implications for the quality of education, the framework and structures of qualifications, recognition and transparency. At the same time, the interpretation of “employability” must take account of the fact that employment requirements as well as the academic content of qualifications are likely to develop rapidly and that education serves a variety of purposes, including democratic citizenship and personal development.  The balance between subject specific and transversal competences, </w:t>
      </w:r>
      <w:r>
        <w:t xml:space="preserve">employers’ involvement in the development of study programs and structural changes, </w:t>
      </w:r>
      <w:r w:rsidRPr="00BA31BA">
        <w:t>the transparent description of competences as well as study programs and education systems and the transferability and comparability of quality assessments are all likely to be part of the SRWG’s consideration of the issue.</w:t>
      </w:r>
    </w:p>
    <w:p w14:paraId="75FF542E" w14:textId="77777777" w:rsidR="00765B5F" w:rsidRDefault="00765B5F" w:rsidP="00A37852"/>
    <w:p w14:paraId="5F4D5D99" w14:textId="77777777" w:rsidR="00D33426" w:rsidRPr="00BA31BA" w:rsidRDefault="00765B5F" w:rsidP="00D33426">
      <w:r w:rsidRPr="004E48D2">
        <w:rPr>
          <w:b/>
          <w:i/>
        </w:rPr>
        <w:t>Diversity and transparency</w:t>
      </w:r>
      <w:r w:rsidR="00D33426">
        <w:rPr>
          <w:b/>
          <w:i/>
        </w:rPr>
        <w:t>: i</w:t>
      </w:r>
      <w:r w:rsidR="00D33426" w:rsidRPr="00BA31BA">
        <w:rPr>
          <w:b/>
          <w:i/>
        </w:rPr>
        <w:t>mprove transparency instruments for describing individual qualifications as well as higher education systems</w:t>
      </w:r>
      <w:r w:rsidR="00D33426" w:rsidRPr="00BA31BA">
        <w:t xml:space="preserve"> (</w:t>
      </w:r>
      <w:proofErr w:type="spellStart"/>
      <w:r w:rsidR="00D33426" w:rsidRPr="00BA31BA">
        <w:t>ToR</w:t>
      </w:r>
      <w:proofErr w:type="spellEnd"/>
      <w:r w:rsidR="00D33426" w:rsidRPr="00BA31BA">
        <w:t xml:space="preserve"> no. 5)</w:t>
      </w:r>
    </w:p>
    <w:p w14:paraId="360C9E35" w14:textId="77777777" w:rsidR="00D33426" w:rsidRDefault="00D33426" w:rsidP="00D33426">
      <w:r>
        <w:t>The considerable diversity of structures and provision within the European Higher Education Area, which is one of its strengths, makes transparency a particularly important issue.  Some instruments have already been developed with the promotion of transparency as an important or even their main objective, such as the Diploma Supplement and ECTS.  Qualifications frameworks and quality assurance instruments are also important in promoting transparency.</w:t>
      </w:r>
    </w:p>
    <w:p w14:paraId="1D1E391D" w14:textId="77777777" w:rsidR="00D33426" w:rsidRPr="00BA31BA" w:rsidRDefault="00D33426" w:rsidP="00D33426">
      <w:r w:rsidRPr="00BA31BA">
        <w:lastRenderedPageBreak/>
        <w:t xml:space="preserve">The terms of reference make specific reference to the Diploma Supplement and the ECTS, the latter of which will at least in part be covered by the sub-group on the ECTS Users’ Guide.  More broadly, this task could be interpreted as making recommendations on how public authorities may, as a whole, make the information provide on their education systems more transparent.  </w:t>
      </w:r>
      <w:r>
        <w:t xml:space="preserve">Should the SRWG recommend the development of guidelines for transparency and, if yes, what would be the main elements of such guidelines? </w:t>
      </w:r>
      <w:r w:rsidRPr="00BA31BA">
        <w:t>The SRWG may also wish to consider what the role and responsibility of public authorities might be in ensuring that higher education institutions provide reliable and meaningful information to prospective students and their parents, to employers and to others who may want or need reliable information on higher education institutions and programs, including on the value and rights associated with their qualifications. The SRWG may also wish to consider how public authorities, higher education institutions and student groups may help make these groups ware of issues it is important to verify before committing to a program or employing someone on the basis a qualifications.</w:t>
      </w:r>
      <w:r>
        <w:t xml:space="preserve"> The BFUG has been given the mandate to continue monitoring a number of other </w:t>
      </w:r>
      <w:r w:rsidRPr="00E80F7E">
        <w:rPr>
          <w:lang w:val="en-GB"/>
        </w:rPr>
        <w:t xml:space="preserve">transparency tools </w:t>
      </w:r>
      <w:r>
        <w:rPr>
          <w:lang w:val="en-GB"/>
        </w:rPr>
        <w:t xml:space="preserve">which have been developed by different actors, also </w:t>
      </w:r>
      <w:r w:rsidRPr="00E80F7E">
        <w:rPr>
          <w:lang w:val="en-GB"/>
        </w:rPr>
        <w:t xml:space="preserve">outside the </w:t>
      </w:r>
      <w:r>
        <w:rPr>
          <w:lang w:val="en-GB"/>
        </w:rPr>
        <w:t xml:space="preserve">realm of the </w:t>
      </w:r>
      <w:r w:rsidRPr="00E80F7E">
        <w:rPr>
          <w:lang w:val="en-GB"/>
        </w:rPr>
        <w:t>Bologna Process</w:t>
      </w:r>
      <w:r>
        <w:rPr>
          <w:lang w:val="en-GB"/>
        </w:rPr>
        <w:t>, therefore the SRWG may wish to give an overview on this issue.</w:t>
      </w:r>
    </w:p>
    <w:p w14:paraId="2B81C98E" w14:textId="77777777" w:rsidR="00D33426" w:rsidRPr="00BA31BA" w:rsidRDefault="00D33426" w:rsidP="00D33426"/>
    <w:p w14:paraId="2D1E1305" w14:textId="77777777" w:rsidR="00A37852" w:rsidRPr="00BA31BA" w:rsidRDefault="00A37852" w:rsidP="00A37852"/>
    <w:p w14:paraId="75CC76C3" w14:textId="77777777" w:rsidR="00A37852" w:rsidRPr="00BA31BA" w:rsidRDefault="00A37852" w:rsidP="00A37852">
      <w:r w:rsidRPr="0047042A">
        <w:rPr>
          <w:b/>
          <w:i/>
        </w:rPr>
        <w:t>The role of structural reform in furthering other policy areas</w:t>
      </w:r>
      <w:r w:rsidRPr="00BA31BA">
        <w:t xml:space="preserve"> (</w:t>
      </w:r>
      <w:proofErr w:type="spellStart"/>
      <w:r w:rsidRPr="00BA31BA">
        <w:t>ToR</w:t>
      </w:r>
      <w:proofErr w:type="spellEnd"/>
      <w:r w:rsidRPr="00BA31BA">
        <w:t xml:space="preserve"> no. 6)</w:t>
      </w:r>
    </w:p>
    <w:p w14:paraId="3FF50FC6" w14:textId="77777777" w:rsidR="00A37852" w:rsidRDefault="00A37852" w:rsidP="00A37852">
      <w:r w:rsidRPr="00BA31BA">
        <w:t xml:space="preserve">This task may perhaps be best acquitted through contacts and discussions with the two other thematic working groups as well as with the Implementation Working group but </w:t>
      </w:r>
      <w:r>
        <w:t>it may be worth pointing out, at</w:t>
      </w:r>
      <w:r w:rsidRPr="00BA31BA">
        <w:t xml:space="preserve"> least in the introduction, what some of the implications </w:t>
      </w:r>
      <w:r>
        <w:t xml:space="preserve">of </w:t>
      </w:r>
      <w:r w:rsidRPr="00BA31BA">
        <w:t xml:space="preserve">structural reforms may </w:t>
      </w:r>
      <w:r>
        <w:t>be</w:t>
      </w:r>
      <w:r w:rsidRPr="00BA31BA">
        <w:t xml:space="preserve"> on other policy areas.  </w:t>
      </w:r>
    </w:p>
    <w:p w14:paraId="376AFF5D" w14:textId="77777777" w:rsidR="00A37852" w:rsidRDefault="00A37852" w:rsidP="00A37852">
      <w:r w:rsidRPr="00BA31BA">
        <w:t>As two obvious examples, education systems may, through their structures and regulations, make it easier for students to move within and between systems and to access various levels of higher education entirely or partly on the basis of non-formal qualifications – or they may impede such movement and access.   Juxtaposing information from the 2012 Implementation report, for example, shows that the countries in which the alternative learning paths are the least developed within their respective national systems are also the countries most likely to experience a sharp drop in the number of people of “classical student age” and whose institutions will hence face the most difficulties in recruiting students from within their own countries in the years to come</w:t>
      </w:r>
      <w:r w:rsidRPr="00BA31BA">
        <w:rPr>
          <w:rStyle w:val="FootnoteReference"/>
        </w:rPr>
        <w:footnoteReference w:id="1"/>
      </w:r>
      <w:r w:rsidRPr="00BA31BA">
        <w:t xml:space="preserve">.  </w:t>
      </w:r>
    </w:p>
    <w:p w14:paraId="1ED363DC" w14:textId="77777777" w:rsidR="00A37852" w:rsidRPr="00BA31BA" w:rsidRDefault="00A37852" w:rsidP="00A37852">
      <w:r w:rsidRPr="00BA31BA">
        <w:t xml:space="preserve">Likewise, quality assurance, qualifications frameworks, recognition and transparency instruments all have the potential of making mobility easier – or more difficult.  However, it may be preferable to outline these broader political aspects of structural reform in the introduction or the final part of the report. </w:t>
      </w:r>
    </w:p>
    <w:p w14:paraId="2EAAB6EE" w14:textId="77777777" w:rsidR="00A37852" w:rsidRPr="00BA31BA" w:rsidRDefault="00A37852" w:rsidP="00A37852"/>
    <w:p w14:paraId="6638914A" w14:textId="77777777" w:rsidR="00A37852" w:rsidRPr="00BA31BA" w:rsidRDefault="00A37852" w:rsidP="00A37852">
      <w:r w:rsidRPr="00BA31BA">
        <w:rPr>
          <w:b/>
          <w:i/>
        </w:rPr>
        <w:t>Global dimension</w:t>
      </w:r>
      <w:r w:rsidRPr="00BA31BA">
        <w:t xml:space="preserve"> (</w:t>
      </w:r>
      <w:proofErr w:type="spellStart"/>
      <w:r w:rsidRPr="00BA31BA">
        <w:t>ToR</w:t>
      </w:r>
      <w:proofErr w:type="spellEnd"/>
      <w:r w:rsidRPr="00BA31BA">
        <w:t xml:space="preserve"> no. 7)</w:t>
      </w:r>
    </w:p>
    <w:p w14:paraId="232AB301" w14:textId="77777777" w:rsidR="00A37852" w:rsidRDefault="00A37852" w:rsidP="00A37852">
      <w:r w:rsidRPr="00BA31BA">
        <w:lastRenderedPageBreak/>
        <w:t>While the structural reforms are developed for the EH</w:t>
      </w:r>
      <w:r>
        <w:t>E</w:t>
      </w:r>
      <w:r w:rsidRPr="00BA31BA">
        <w:t>A and its member countries, they have global implications both because EHEA mem</w:t>
      </w:r>
      <w:r>
        <w:t>be</w:t>
      </w:r>
      <w:r w:rsidRPr="00BA31BA">
        <w:t xml:space="preserve">rs interact with countries outside of the EHEA and because the EHEA has given rise to very considerable interest in other parts of the world. </w:t>
      </w:r>
      <w:r>
        <w:t xml:space="preserve">This interest has given rise to the Bologna Policy Fora held end-on with the ministerial conferences in 2009, 201 and 2012 as well as the suggestion in the 2012 Policy Forum Statement that </w:t>
      </w:r>
    </w:p>
    <w:p w14:paraId="3821EF27" w14:textId="77777777" w:rsidR="00A37852" w:rsidRPr="001D4F83" w:rsidRDefault="00A37852" w:rsidP="00A37852">
      <w:pPr>
        <w:ind w:left="709" w:right="855"/>
        <w:rPr>
          <w:sz w:val="22"/>
          <w:szCs w:val="22"/>
        </w:rPr>
      </w:pPr>
      <w:r w:rsidRPr="001D4F83">
        <w:rPr>
          <w:sz w:val="22"/>
          <w:szCs w:val="22"/>
        </w:rPr>
        <w:t>Regional exchanges and peer learning should strengthen the political commitments agreed at the Bologna Policy Fora, while also involving practitioners and representatives of the academic communities in a long term policy exchange. We agree that this policy cooperation should focus on specific topics and that it may in particular involve countries or regions which have expressed a particular interest in the topic at hand.</w:t>
      </w:r>
    </w:p>
    <w:p w14:paraId="08E07114" w14:textId="77777777" w:rsidR="00A37852" w:rsidRPr="00BA31BA" w:rsidRDefault="00A37852" w:rsidP="00A37852">
      <w:r>
        <w:t>It is important for the EHEA that our structural reforms and the reasons that led to their development are understood in other parts of the world and it is equally important that EHEA members and consultative members are informed about and understand structural issues in other parts of the world.</w:t>
      </w:r>
    </w:p>
    <w:p w14:paraId="255ED1CD" w14:textId="77777777" w:rsidR="00A37852" w:rsidRPr="00BA31BA" w:rsidRDefault="00A37852" w:rsidP="00A37852"/>
    <w:p w14:paraId="41A36E87" w14:textId="77777777" w:rsidR="00A37852" w:rsidRPr="00BA31BA" w:rsidRDefault="00A37852" w:rsidP="00A37852">
      <w:pPr>
        <w:rPr>
          <w:b/>
        </w:rPr>
      </w:pPr>
      <w:r w:rsidRPr="00BA31BA">
        <w:rPr>
          <w:b/>
        </w:rPr>
        <w:t>POLICY AREAS</w:t>
      </w:r>
    </w:p>
    <w:p w14:paraId="35D40EB4" w14:textId="77777777" w:rsidR="00A37852" w:rsidRPr="00BA31BA" w:rsidRDefault="00A37852" w:rsidP="00A37852">
      <w:r>
        <w:t xml:space="preserve">In addition to underlining and strengthening the coherence of structural reforms, the SRWG will need to consider specific policy areas, as outlined in its terms of reference. </w:t>
      </w:r>
      <w:r w:rsidRPr="00BA31BA">
        <w:t xml:space="preserve">For each of the four policy areas, the SRWG should identify specific issues that should be covered by the report and on which the SRWG may want to give recommendations.  In the report, these should be covered according of the outline given under “Information needed” above.  </w:t>
      </w:r>
    </w:p>
    <w:p w14:paraId="2344EB2E" w14:textId="77777777" w:rsidR="00A37852" w:rsidRPr="00BA31BA" w:rsidRDefault="00A37852" w:rsidP="00A37852">
      <w:r w:rsidRPr="00BA31BA">
        <w:t xml:space="preserve">In the discussion below, a cross reference to the specific tasks listed in the </w:t>
      </w:r>
      <w:proofErr w:type="spellStart"/>
      <w:r w:rsidRPr="00BA31BA">
        <w:t>ToR</w:t>
      </w:r>
      <w:proofErr w:type="spellEnd"/>
      <w:r w:rsidRPr="00BA31BA">
        <w:t xml:space="preserve"> is provided where relevant.  The first of these tasks (Consider and make recommendations on specific issues of policy and practice related to quality assurance, qualifications frameworks, recognition of qualifications and transparency instruments and their mutual interaction) as well as tasks 14  - 17</w:t>
      </w:r>
      <w:r w:rsidRPr="00BA31BA">
        <w:rPr>
          <w:rStyle w:val="FootnoteReference"/>
        </w:rPr>
        <w:footnoteReference w:id="2"/>
      </w:r>
      <w:r w:rsidRPr="00BA31BA">
        <w:t xml:space="preserve"> are relatively general and will therefore be covered by the report as a whole. Some policy issues will nevertheless be included in the discussion elbow with reference to the first specific task of the </w:t>
      </w:r>
      <w:proofErr w:type="spellStart"/>
      <w:r w:rsidRPr="00BA31BA">
        <w:t>ToR</w:t>
      </w:r>
      <w:proofErr w:type="spellEnd"/>
      <w:r w:rsidRPr="00BA31BA">
        <w:t>. As will be shown, some tasks may not warrant separate mention in the final report.  They are nevertheless referred to here, mostly under “overarching issues”, to ensure that no part of the specific tasks is overlooked. The SRWG may need to assess whether the recommendations should aim broadly or rather focus on a more limited number of issues.</w:t>
      </w:r>
    </w:p>
    <w:p w14:paraId="25FF0ABF" w14:textId="77777777" w:rsidR="00A37852" w:rsidRPr="00BA31BA" w:rsidRDefault="00A37852" w:rsidP="00A37852"/>
    <w:p w14:paraId="444BFC5B" w14:textId="77777777" w:rsidR="00A37852" w:rsidRPr="00BA31BA" w:rsidRDefault="00A37852" w:rsidP="00A37852">
      <w:r w:rsidRPr="00BA31BA">
        <w:lastRenderedPageBreak/>
        <w:t xml:space="preserve">The issues listed below are ordered according to policy area and within each area according </w:t>
      </w:r>
      <w:proofErr w:type="spellStart"/>
      <w:proofErr w:type="gramStart"/>
      <w:r w:rsidRPr="00BA31BA">
        <w:t>ot</w:t>
      </w:r>
      <w:proofErr w:type="spellEnd"/>
      <w:proofErr w:type="gramEnd"/>
      <w:r w:rsidRPr="00BA31BA">
        <w:t xml:space="preserve"> the number of the specific task as listed in the </w:t>
      </w:r>
      <w:proofErr w:type="spellStart"/>
      <w:r w:rsidRPr="00BA31BA">
        <w:t>ToR</w:t>
      </w:r>
      <w:proofErr w:type="spellEnd"/>
      <w:r w:rsidRPr="00BA31BA">
        <w:t xml:space="preserve">.  The order should therefore </w:t>
      </w:r>
      <w:r w:rsidRPr="00BA31BA">
        <w:rPr>
          <w:i/>
        </w:rPr>
        <w:t>not</w:t>
      </w:r>
      <w:r w:rsidRPr="00BA31BA">
        <w:t xml:space="preserve"> be read as an indication of relative importance or preference.</w:t>
      </w:r>
    </w:p>
    <w:p w14:paraId="321D0707" w14:textId="77777777" w:rsidR="00A37852" w:rsidRPr="00BA31BA" w:rsidRDefault="00A37852" w:rsidP="00A37852"/>
    <w:p w14:paraId="1EA35476" w14:textId="77777777" w:rsidR="00A37852" w:rsidRPr="00BA31BA" w:rsidRDefault="00A37852" w:rsidP="00A37852">
      <w:pPr>
        <w:rPr>
          <w:b/>
        </w:rPr>
      </w:pPr>
      <w:r w:rsidRPr="00BA31BA">
        <w:rPr>
          <w:b/>
        </w:rPr>
        <w:t>Quality assurance</w:t>
      </w:r>
    </w:p>
    <w:p w14:paraId="7AEC0031" w14:textId="77777777" w:rsidR="00A37852" w:rsidRPr="00BA31BA" w:rsidRDefault="00A37852" w:rsidP="00A37852">
      <w:r w:rsidRPr="00BA31BA">
        <w:rPr>
          <w:b/>
          <w:i/>
        </w:rPr>
        <w:t>Common principles of quality assurance to be applied across HE and VET</w:t>
      </w:r>
      <w:r w:rsidRPr="00BA31BA">
        <w:t xml:space="preserve"> (</w:t>
      </w:r>
      <w:proofErr w:type="spellStart"/>
      <w:r w:rsidRPr="00BA31BA">
        <w:t>ToR</w:t>
      </w:r>
      <w:proofErr w:type="spellEnd"/>
      <w:r w:rsidRPr="00BA31BA">
        <w:t xml:space="preserve"> no. 4)</w:t>
      </w:r>
    </w:p>
    <w:p w14:paraId="4AD04306" w14:textId="77777777" w:rsidR="00A37852" w:rsidRPr="00BA31BA" w:rsidRDefault="00A37852" w:rsidP="00A37852">
      <w:r w:rsidRPr="00BA31BA">
        <w:t>One of the recommendations by the Irish Presidency conference held in Dublin on March 12 – 13, 2013 was that the EQF Advisory Group and the BFUG working group on Structural Reforms, in co-operation with ENQA and EQAVET, review and make proposals to strengthen the common principles of quality assurance to be applied across HE and VET.  A first exchange of views will be held with the EQF Advisory group during the joint session on September 25.</w:t>
      </w:r>
    </w:p>
    <w:p w14:paraId="32A81453" w14:textId="77777777" w:rsidR="00A37852" w:rsidRPr="00BA31BA" w:rsidRDefault="00A37852" w:rsidP="00A37852"/>
    <w:p w14:paraId="75207124" w14:textId="77777777" w:rsidR="00A37852" w:rsidRPr="00BA31BA" w:rsidRDefault="00A37852" w:rsidP="00A37852">
      <w:r w:rsidRPr="00BA31BA">
        <w:rPr>
          <w:b/>
          <w:i/>
        </w:rPr>
        <w:t>Comment on the draft amendments to the revised ESG</w:t>
      </w:r>
      <w:r w:rsidRPr="00BA31BA">
        <w:t xml:space="preserve"> (</w:t>
      </w:r>
      <w:proofErr w:type="spellStart"/>
      <w:r w:rsidRPr="00BA31BA">
        <w:t>ToR</w:t>
      </w:r>
      <w:proofErr w:type="spellEnd"/>
      <w:r w:rsidRPr="00BA31BA">
        <w:t xml:space="preserve"> no. 10)</w:t>
      </w:r>
    </w:p>
    <w:p w14:paraId="78A16CBC" w14:textId="77777777" w:rsidR="00A37852" w:rsidRPr="00BA31BA" w:rsidRDefault="00A37852" w:rsidP="00A37852">
      <w:r w:rsidRPr="00BA31BA">
        <w:t>This task will need to be considered in the light of the BFUG thematic debate on November 7 – 8 and it may or may not be a part of the SRWG report.  Even if this point is included in the report, the SRWG will need to comment on the draft separately at its meeting on December 9 – 10, 2013</w:t>
      </w:r>
      <w:r>
        <w:t xml:space="preserve"> and possibly also in a later meeting, once the second revised version of the ESG has been developed</w:t>
      </w:r>
      <w:r w:rsidRPr="00BA31BA">
        <w:t>.</w:t>
      </w:r>
    </w:p>
    <w:p w14:paraId="63D54F79" w14:textId="77777777" w:rsidR="00A37852" w:rsidRPr="00BA31BA" w:rsidRDefault="00A37852" w:rsidP="00A37852">
      <w:pPr>
        <w:rPr>
          <w:rFonts w:ascii="Verdana" w:hAnsi="Verdana"/>
          <w:sz w:val="20"/>
          <w:szCs w:val="20"/>
        </w:rPr>
      </w:pPr>
    </w:p>
    <w:p w14:paraId="0956B372" w14:textId="77777777" w:rsidR="00A37852" w:rsidRPr="00BA31BA" w:rsidRDefault="00A37852" w:rsidP="00A37852">
      <w:r w:rsidRPr="00BA31BA">
        <w:rPr>
          <w:b/>
          <w:i/>
        </w:rPr>
        <w:t>EQAR-registered quality assurance agencies operating in countries other than their countries of origin</w:t>
      </w:r>
      <w:r w:rsidRPr="00BA31BA">
        <w:t xml:space="preserve"> (</w:t>
      </w:r>
      <w:proofErr w:type="spellStart"/>
      <w:r w:rsidRPr="00BA31BA">
        <w:t>ToR</w:t>
      </w:r>
      <w:proofErr w:type="spellEnd"/>
      <w:r w:rsidRPr="00BA31BA">
        <w:t xml:space="preserve"> no. 13)</w:t>
      </w:r>
    </w:p>
    <w:p w14:paraId="5E2ED1C3" w14:textId="77777777" w:rsidR="00A37852" w:rsidRPr="00BA31BA" w:rsidRDefault="00A37852" w:rsidP="00A37852">
      <w:r w:rsidRPr="00BA31BA">
        <w:t xml:space="preserve">The SRWG could, possibly on the basis of information provided by EQAR, give an overview of countries in which assessments by “non-national” agencies is accepted </w:t>
      </w:r>
      <w:r>
        <w:t xml:space="preserve">and the scope of the decisions by EQAR-registered agencies which are recognized </w:t>
      </w:r>
      <w:r w:rsidRPr="00BA31BA">
        <w:t xml:space="preserve">as of a date to be decided, probably in summer 2014.  </w:t>
      </w:r>
      <w:r>
        <w:t xml:space="preserve">It is recalled that there are different opinions in the SRWG as to whether this should be included as an indicator already in the 2015 implementation report but that this is a difference of opinion on timing and not on the principle.   </w:t>
      </w:r>
      <w:r w:rsidRPr="00BA31BA">
        <w:t xml:space="preserve">The SRWG may </w:t>
      </w:r>
      <w:r>
        <w:t xml:space="preserve">therefore </w:t>
      </w:r>
      <w:r w:rsidRPr="00BA31BA">
        <w:t>wish to reiterate the basic principle that such assessments should be accepted and outline steps that competent public authorities could take in this sense.  It may wish to suggest wording for the Yerevan Communiqué on this point.</w:t>
      </w:r>
    </w:p>
    <w:p w14:paraId="45320C44" w14:textId="77777777" w:rsidR="00A37852" w:rsidRPr="00BA31BA" w:rsidRDefault="00A37852" w:rsidP="00A37852"/>
    <w:p w14:paraId="2C0D7228" w14:textId="77777777" w:rsidR="00A37852" w:rsidRPr="00BA31BA" w:rsidRDefault="00A37852" w:rsidP="00A37852">
      <w:pPr>
        <w:rPr>
          <w:b/>
        </w:rPr>
      </w:pPr>
      <w:r w:rsidRPr="00BA31BA">
        <w:rPr>
          <w:b/>
        </w:rPr>
        <w:t>Qualifications frameworks</w:t>
      </w:r>
    </w:p>
    <w:p w14:paraId="1AE14020" w14:textId="77777777" w:rsidR="00A37852" w:rsidRPr="00BA31BA" w:rsidRDefault="00A37852" w:rsidP="00A37852">
      <w:r w:rsidRPr="00BA31BA">
        <w:rPr>
          <w:b/>
          <w:i/>
        </w:rPr>
        <w:t>The place of short cycle qualifications in the QF-EHEA</w:t>
      </w:r>
      <w:r w:rsidRPr="00BA31BA">
        <w:t xml:space="preserve"> (</w:t>
      </w:r>
      <w:proofErr w:type="spellStart"/>
      <w:r w:rsidRPr="00BA31BA">
        <w:t>ToR</w:t>
      </w:r>
      <w:proofErr w:type="spellEnd"/>
      <w:r w:rsidRPr="00BA31BA">
        <w:t xml:space="preserve"> no. 1 and the 2012 report by the Working Group on Qualifications Frameworks)</w:t>
      </w:r>
    </w:p>
    <w:p w14:paraId="4E65CC10" w14:textId="77777777" w:rsidR="00A37852" w:rsidRPr="00BA31BA" w:rsidRDefault="00A37852" w:rsidP="00A37852">
      <w:r w:rsidRPr="00BA31BA">
        <w:t xml:space="preserve">When Ministers adopted the QF-EHEA in Bergen in 2005, they acknowledged that countries may include short cycle qualifications within the first cycle in their national frameworks but </w:t>
      </w:r>
      <w:r w:rsidRPr="00BA31BA">
        <w:lastRenderedPageBreak/>
        <w:t>declined to make specific provision for short cycle qualifications within the QF-EHEA. Since 2005, short cycle programs have gained prominence in many countries and the EQF, adopted in 2008, includes a level 5, which is normally the level to which short cycle qualifications, whether in higher education or VET, are referenced.   The SRWG may therefore wish to consider recommending that short cycle qualifications be explicitly included in the QF-EHEA.  It should be emphasized that a recommendation to this effect would not oblige countries to include short cycle qualifications in their national frameworks</w:t>
      </w:r>
      <w:r>
        <w:t xml:space="preserve"> nor should this be an element of the stock taking exercise</w:t>
      </w:r>
      <w:r w:rsidRPr="00BA31BA">
        <w:t xml:space="preserve">. It would, however, acknowledge the </w:t>
      </w:r>
      <w:r w:rsidRPr="00BA31BA">
        <w:rPr>
          <w:i/>
        </w:rPr>
        <w:t>de facto</w:t>
      </w:r>
      <w:r w:rsidRPr="00BA31BA">
        <w:t xml:space="preserve"> importance of short cycle qualifications in many countries within the EHEA.</w:t>
      </w:r>
      <w:r>
        <w:t xml:space="preserve">  This is a potentially difficult issue on which to reach agreement and the SRWG may wish to give specific consideration to it at one of its meetings in spring 2014.</w:t>
      </w:r>
    </w:p>
    <w:p w14:paraId="325263BF" w14:textId="77777777" w:rsidR="00A37852" w:rsidRPr="00BA31BA" w:rsidRDefault="00A37852" w:rsidP="00A37852"/>
    <w:p w14:paraId="1DC95960" w14:textId="77777777" w:rsidR="00A37852" w:rsidRPr="00BA31BA" w:rsidRDefault="00A37852" w:rsidP="00A37852">
      <w:r w:rsidRPr="00BA31BA">
        <w:rPr>
          <w:b/>
          <w:i/>
        </w:rPr>
        <w:t>Referencing of access qualifications</w:t>
      </w:r>
      <w:r w:rsidRPr="00BA31BA">
        <w:t xml:space="preserve"> (</w:t>
      </w:r>
      <w:proofErr w:type="spellStart"/>
      <w:r w:rsidRPr="00BA31BA">
        <w:t>ToR</w:t>
      </w:r>
      <w:proofErr w:type="spellEnd"/>
      <w:r w:rsidRPr="00BA31BA">
        <w:t xml:space="preserve"> no. 1 1 and the 2012 report by the Working Group on Qualifications Frameworks)</w:t>
      </w:r>
    </w:p>
    <w:p w14:paraId="50767A30" w14:textId="77777777" w:rsidR="00A37852" w:rsidRPr="00BA31BA" w:rsidRDefault="00A37852" w:rsidP="00A37852">
      <w:r w:rsidRPr="00BA31BA">
        <w:t xml:space="preserve">The referencing of school leaving qualifications giving access to higher education has been identified as a major challenge to the usefulness of the overarching frameworks. As pointed out in the 2012 report by the Working Group on Qualifications Frameworks, if some school leaving qualifications are referenced against EQF level 5, the logical implications would be that school leaving qualifications from countries in which they are referenced against level 4 would not be fully recognized for access and, conversely, that countries referencing their access qualifications against EQF level 5 would expect these to be recognized for credits toward a frit degree as they would de facto be considered to be at the level of short cycle qualifications.  Should these not be the expected consequences, there would be no logical basis for the referencing. In principle, there would therefore be good reason for the SRWG to make a recommendation on this issue. However, there now seems to be a constructive dialogue on the issue within the EQF framework and it is important not to make recommendations that might upset this dialogue.  The SRWG should therefore reserve judgment on whether to make a recommendation until a relatively late stage of its work – but it should keep the possibility open. </w:t>
      </w:r>
    </w:p>
    <w:p w14:paraId="6C3A53C2" w14:textId="77777777" w:rsidR="00A37852" w:rsidRPr="00BA31BA" w:rsidRDefault="00A37852" w:rsidP="00A37852"/>
    <w:p w14:paraId="14AC2EE4" w14:textId="77777777" w:rsidR="00A37852" w:rsidRPr="00BA31BA" w:rsidRDefault="00A37852" w:rsidP="00A37852">
      <w:r w:rsidRPr="00BA31BA">
        <w:rPr>
          <w:b/>
          <w:i/>
        </w:rPr>
        <w:t>Third cycle qualifications</w:t>
      </w:r>
      <w:r w:rsidRPr="00BA31BA">
        <w:t xml:space="preserve"> (</w:t>
      </w:r>
      <w:proofErr w:type="spellStart"/>
      <w:r w:rsidRPr="00BA31BA">
        <w:t>ToR</w:t>
      </w:r>
      <w:proofErr w:type="spellEnd"/>
      <w:r w:rsidRPr="00BA31BA">
        <w:t xml:space="preserve"> no. 8)</w:t>
      </w:r>
    </w:p>
    <w:p w14:paraId="2C8FAC95" w14:textId="77777777" w:rsidR="00A37852" w:rsidRPr="00BA31BA" w:rsidRDefault="00A37852" w:rsidP="00A37852">
      <w:r w:rsidRPr="00BA31BA">
        <w:t>This part of the report should be developed on the basis of suggestions by the relevant sub-group.</w:t>
      </w:r>
    </w:p>
    <w:p w14:paraId="1EDC9C1C" w14:textId="77777777" w:rsidR="00A37852" w:rsidRPr="00BA31BA" w:rsidRDefault="00A37852" w:rsidP="00A37852"/>
    <w:p w14:paraId="105D98B2" w14:textId="77777777" w:rsidR="00A37852" w:rsidRPr="00BA31BA" w:rsidRDefault="00A37852" w:rsidP="00A37852">
      <w:r w:rsidRPr="00BA31BA">
        <w:rPr>
          <w:b/>
          <w:i/>
        </w:rPr>
        <w:t>Implementation of qualifications frameworks</w:t>
      </w:r>
      <w:r w:rsidRPr="00BA31BA">
        <w:t xml:space="preserve"> (</w:t>
      </w:r>
      <w:proofErr w:type="spellStart"/>
      <w:r w:rsidRPr="00BA31BA">
        <w:t>ToR</w:t>
      </w:r>
      <w:proofErr w:type="spellEnd"/>
      <w:r w:rsidRPr="00BA31BA">
        <w:t xml:space="preserve"> no. 8)</w:t>
      </w:r>
    </w:p>
    <w:p w14:paraId="71B792D1" w14:textId="77777777" w:rsidR="00A37852" w:rsidRPr="004B764E" w:rsidRDefault="00A37852" w:rsidP="00A37852">
      <w:pPr>
        <w:pStyle w:val="CommentText"/>
        <w:rPr>
          <w:sz w:val="24"/>
          <w:szCs w:val="24"/>
        </w:rPr>
      </w:pPr>
      <w:r w:rsidRPr="004B764E">
        <w:rPr>
          <w:sz w:val="24"/>
          <w:szCs w:val="24"/>
        </w:rPr>
        <w:t>This part of the report should be developed on the basis of suggestions by the relevant sub-group. The report should include a reference to student participation in the processes of implementation, self-certification and referencing of the National Qualifications Frameworks against the QF-EHEA and the EQF.</w:t>
      </w:r>
    </w:p>
    <w:p w14:paraId="2A8857EF" w14:textId="77777777" w:rsidR="00A37852" w:rsidRPr="00BA31BA" w:rsidRDefault="00A37852" w:rsidP="00A37852"/>
    <w:p w14:paraId="4BA236FA" w14:textId="77777777" w:rsidR="00A37852" w:rsidRPr="00BA31BA" w:rsidRDefault="00A37852" w:rsidP="00A37852"/>
    <w:p w14:paraId="2923F5C7" w14:textId="77777777" w:rsidR="00A37852" w:rsidRPr="00BA31BA" w:rsidRDefault="00A37852" w:rsidP="00A37852">
      <w:r w:rsidRPr="00BA31BA">
        <w:rPr>
          <w:b/>
        </w:rPr>
        <w:t>Recognition</w:t>
      </w:r>
    </w:p>
    <w:p w14:paraId="6398AEC7" w14:textId="77777777" w:rsidR="00A37852" w:rsidRPr="00BA31BA" w:rsidRDefault="00A37852" w:rsidP="00A37852"/>
    <w:p w14:paraId="7376002D" w14:textId="77777777" w:rsidR="00A37852" w:rsidRPr="00BA31BA" w:rsidRDefault="00A37852" w:rsidP="00A37852">
      <w:r w:rsidRPr="00BA31BA">
        <w:rPr>
          <w:b/>
          <w:i/>
        </w:rPr>
        <w:t>Review national legislation to fully comply with the Lisbon Recognition Convention and promote the use of the EAR-manual to advance recognition practices</w:t>
      </w:r>
      <w:r w:rsidRPr="00BA31BA">
        <w:t xml:space="preserve"> (</w:t>
      </w:r>
      <w:proofErr w:type="spellStart"/>
      <w:r w:rsidRPr="00BA31BA">
        <w:t>ToR</w:t>
      </w:r>
      <w:proofErr w:type="spellEnd"/>
      <w:r w:rsidRPr="00BA31BA">
        <w:t xml:space="preserve"> no. 1 and the Bucharest Communiqué)</w:t>
      </w:r>
    </w:p>
    <w:p w14:paraId="10F1B02B" w14:textId="77777777" w:rsidR="00A37852" w:rsidRPr="00BA31BA" w:rsidRDefault="00A37852" w:rsidP="00A37852">
      <w:r w:rsidRPr="00BA31BA">
        <w:t>This is possibly an area where research could be commissioned (see overarching issues, below) or where the ENIC and NARIC Networks could be asked to provide a contribution. The analysis of the 2007 national action plans for recognition</w:t>
      </w:r>
      <w:r w:rsidRPr="00BA31BA">
        <w:rPr>
          <w:rStyle w:val="FootnoteReference"/>
        </w:rPr>
        <w:footnoteReference w:id="3"/>
      </w:r>
      <w:r w:rsidRPr="00BA31BA">
        <w:t xml:space="preserve"> clearly identify discrepancies between what countries have committed to through the Bologna Process and the actual state of implementation, including when it comes to adapting national legislation of the only legally binding text of the EHEA.</w:t>
      </w:r>
    </w:p>
    <w:p w14:paraId="230011CD" w14:textId="77777777" w:rsidR="00A37852" w:rsidRPr="00BA31BA" w:rsidRDefault="00A37852" w:rsidP="00A37852"/>
    <w:p w14:paraId="54B7B771" w14:textId="77777777" w:rsidR="00A37852" w:rsidRPr="00BA31BA" w:rsidRDefault="00A37852" w:rsidP="00A37852">
      <w:r w:rsidRPr="00BA31BA">
        <w:rPr>
          <w:b/>
          <w:i/>
        </w:rPr>
        <w:t>The use of qualifications frameworks to improve fair recognition</w:t>
      </w:r>
      <w:r w:rsidRPr="00BA31BA">
        <w:t xml:space="preserve"> (</w:t>
      </w:r>
      <w:proofErr w:type="spellStart"/>
      <w:r w:rsidRPr="00BA31BA">
        <w:t>ToR</w:t>
      </w:r>
      <w:proofErr w:type="spellEnd"/>
      <w:r w:rsidRPr="00BA31BA">
        <w:t>, no. 3)</w:t>
      </w:r>
    </w:p>
    <w:p w14:paraId="27055F51" w14:textId="77777777" w:rsidR="00A37852" w:rsidRPr="00BA31BA" w:rsidRDefault="00A37852" w:rsidP="00A37852">
      <w:r w:rsidRPr="00BA31BA">
        <w:t>Qualifications frameworks should provide clear answers to some of the questions credentials evaluators would normally ask about a foreign qualification, notably about quality, level and workload, and should also be helpful in assessing learning outcomes. The Lisbon Recognition Convention Committee adopted a new subsidiary text to the Convention on this topic in June 2013</w:t>
      </w:r>
      <w:r w:rsidRPr="00BA31BA">
        <w:rPr>
          <w:rStyle w:val="FootnoteReference"/>
        </w:rPr>
        <w:footnoteReference w:id="4"/>
      </w:r>
      <w:r w:rsidRPr="00BA31BA">
        <w:t>. The SRWG may wish to consider how this Recommendation could best be implemented and how recognition policies could be further developed.  It may wish to ask the Network of national correspondents for qualifications framework to consider this issue at its meeting in November 2013.</w:t>
      </w:r>
    </w:p>
    <w:p w14:paraId="1426642B" w14:textId="77777777" w:rsidR="00A37852" w:rsidRPr="00BA31BA" w:rsidRDefault="00A37852" w:rsidP="00A37852"/>
    <w:p w14:paraId="1FDD92E0" w14:textId="77777777" w:rsidR="00A37852" w:rsidRPr="00BA31BA" w:rsidRDefault="00A37852" w:rsidP="00A37852"/>
    <w:p w14:paraId="12585945" w14:textId="77777777" w:rsidR="00A37852" w:rsidRPr="00BA31BA" w:rsidRDefault="00A37852" w:rsidP="00A37852">
      <w:r w:rsidRPr="00BA31BA">
        <w:rPr>
          <w:b/>
          <w:i/>
        </w:rPr>
        <w:t>Recognition of prior learning</w:t>
      </w:r>
      <w:r w:rsidRPr="00BA31BA">
        <w:t xml:space="preserve"> (</w:t>
      </w:r>
      <w:proofErr w:type="spellStart"/>
      <w:r w:rsidRPr="00BA31BA">
        <w:t>ToR</w:t>
      </w:r>
      <w:proofErr w:type="spellEnd"/>
      <w:r w:rsidRPr="00BA31BA">
        <w:t xml:space="preserve"> no. 8)</w:t>
      </w:r>
    </w:p>
    <w:p w14:paraId="626560E4" w14:textId="77777777" w:rsidR="00A37852" w:rsidRPr="00BA31BA" w:rsidRDefault="00A37852" w:rsidP="00A37852">
      <w:r w:rsidRPr="00BA31BA">
        <w:t>This part of the report should be developed on the basis of suggestions by the relevant sub-group.</w:t>
      </w:r>
      <w:r>
        <w:t xml:space="preserve"> It should include reference to the importance of recognition of prior learning in widening access to higher education.</w:t>
      </w:r>
    </w:p>
    <w:p w14:paraId="6642E6D7" w14:textId="77777777" w:rsidR="00A37852" w:rsidRPr="00BA31BA" w:rsidRDefault="00A37852" w:rsidP="00A37852"/>
    <w:p w14:paraId="2F9EA20B" w14:textId="77777777" w:rsidR="00A37852" w:rsidRPr="00BA31BA" w:rsidRDefault="00A37852" w:rsidP="00A37852">
      <w:r w:rsidRPr="00BA31BA">
        <w:rPr>
          <w:b/>
          <w:i/>
        </w:rPr>
        <w:t>Automatic recognition</w:t>
      </w:r>
      <w:r w:rsidRPr="00BA31BA">
        <w:t xml:space="preserve"> (Pathfinder group)</w:t>
      </w:r>
    </w:p>
    <w:p w14:paraId="73BB54F6" w14:textId="77777777" w:rsidR="00A37852" w:rsidRPr="00BA31BA" w:rsidRDefault="00A37852" w:rsidP="00A37852">
      <w:r w:rsidRPr="00BA31BA">
        <w:lastRenderedPageBreak/>
        <w:t>The issue of automatic recognition is under the remit of the pathfinder group, which will report directly to the BFUG. As with the revision of the ESG, the SRWG may nevertheless be invited to comment on the proposal, either separately or as a part of its report.</w:t>
      </w:r>
    </w:p>
    <w:p w14:paraId="74B760D1" w14:textId="77777777" w:rsidR="00A37852" w:rsidRPr="00BA31BA" w:rsidRDefault="00A37852" w:rsidP="00A37852"/>
    <w:p w14:paraId="3A0A3114" w14:textId="77777777" w:rsidR="00A37852" w:rsidRPr="00BA31BA" w:rsidRDefault="00A37852" w:rsidP="00A37852"/>
    <w:p w14:paraId="3409AF8C" w14:textId="77777777" w:rsidR="00A37852" w:rsidRPr="00BA31BA" w:rsidRDefault="00A37852" w:rsidP="00A37852">
      <w:pPr>
        <w:rPr>
          <w:b/>
        </w:rPr>
      </w:pPr>
      <w:r w:rsidRPr="00BA31BA">
        <w:rPr>
          <w:b/>
        </w:rPr>
        <w:t>Transparency</w:t>
      </w:r>
    </w:p>
    <w:p w14:paraId="72A05B2F" w14:textId="77777777" w:rsidR="00A37852" w:rsidRPr="00BA31BA" w:rsidRDefault="00A37852" w:rsidP="00A37852">
      <w:r w:rsidRPr="00BA31BA">
        <w:rPr>
          <w:b/>
          <w:i/>
        </w:rPr>
        <w:t>Diploma Supplement</w:t>
      </w:r>
      <w:r w:rsidRPr="00BA31BA">
        <w:t xml:space="preserve"> (</w:t>
      </w:r>
      <w:proofErr w:type="spellStart"/>
      <w:r w:rsidRPr="00BA31BA">
        <w:t>ToR</w:t>
      </w:r>
      <w:proofErr w:type="spellEnd"/>
      <w:r w:rsidRPr="00BA31BA">
        <w:t xml:space="preserve"> no. 1)</w:t>
      </w:r>
    </w:p>
    <w:p w14:paraId="0CD7054D" w14:textId="77777777" w:rsidR="00A37852" w:rsidRPr="00BA31BA" w:rsidRDefault="00A37852" w:rsidP="00A37852">
      <w:r w:rsidRPr="00BA31BA">
        <w:t xml:space="preserve">The Diploma Supplement is a transparency instrument under the Lisbon Recognition Convention as well as a part of </w:t>
      </w:r>
      <w:proofErr w:type="spellStart"/>
      <w:r w:rsidRPr="00BA31BA">
        <w:t>Europass</w:t>
      </w:r>
      <w:proofErr w:type="spellEnd"/>
      <w:r w:rsidRPr="00BA31BA">
        <w:t xml:space="preserve">.  There are at least two potential issues linked to the Diploma Supplement.  </w:t>
      </w:r>
    </w:p>
    <w:p w14:paraId="2FF30BC1" w14:textId="77777777" w:rsidR="00A37852" w:rsidRPr="00BA31BA" w:rsidRDefault="00A37852" w:rsidP="00A37852">
      <w:r w:rsidRPr="00BA31BA">
        <w:t>The first is that in spite of ministers having committed to issuing the Diploma Supplement automatically, free of charge and in a widely spoken language by 2005, 8 years later this is still far from being a reality in the EHEA – and it seems likely this will also be the case in 20</w:t>
      </w:r>
      <w:r>
        <w:t>1</w:t>
      </w:r>
      <w:r w:rsidRPr="00BA31BA">
        <w:t>5, 10 years after this commitment should have been honored.  The SRWG may therefore wish to consider a recommendation on how countries can now live up to their commitment; e.g. by recommending that countries submit plans and timetables for implementation.</w:t>
      </w:r>
    </w:p>
    <w:p w14:paraId="1A16A81C" w14:textId="77777777" w:rsidR="00A37852" w:rsidRPr="00BA31BA" w:rsidRDefault="00A37852" w:rsidP="00A37852">
      <w:r w:rsidRPr="00BA31BA">
        <w:t>The other issue is whether the Diploma Supplement should be reconsidered in the light of developments since it was adopted in the late 1990s.  These developments include a stronger emphasis on learning outcomes, the development of national qualifications frameworks compatible with the QF-EHEA and the/or the EQF, and a much stronger emphasis on external quality assurance, including the development of ENQA and EQAR and the adoption of the ESG.   On the other hand, due account should be taken of the fact that because the Diploma Supplement was developed jointly by three international institutions in two different formal settings, as described above, modifying it will be an elaborate process in which, as far as the Lisbon Recognition Convention is concerned, the next opportunity would be the meeting of the Convention Committee in 2016. A recommendation at the ministerial conference in 2015 would therefore be timely but work on a revision would need to be launched earlier. The procedures for adopting a revised version within the EU system would need to be clarified – it is clear that neither body (the EU or the Lisbon Recognition Convention Committee) can adopt a revised Diploma Supplement without the consent of the other.</w:t>
      </w:r>
    </w:p>
    <w:p w14:paraId="723BE81A" w14:textId="77777777" w:rsidR="00A37852" w:rsidRPr="00BA31BA" w:rsidRDefault="00A37852" w:rsidP="00A37852">
      <w:pPr>
        <w:rPr>
          <w:u w:val="single"/>
        </w:rPr>
      </w:pPr>
    </w:p>
    <w:p w14:paraId="7F44148B" w14:textId="77777777" w:rsidR="00A37852" w:rsidRPr="00BA31BA" w:rsidRDefault="00A37852" w:rsidP="00A37852">
      <w:pPr>
        <w:rPr>
          <w:u w:val="single"/>
        </w:rPr>
      </w:pPr>
    </w:p>
    <w:p w14:paraId="71D5164C" w14:textId="77777777" w:rsidR="00A37852" w:rsidRPr="00BA31BA" w:rsidRDefault="00A37852" w:rsidP="00A37852"/>
    <w:p w14:paraId="16C560EA" w14:textId="77777777" w:rsidR="00A37852" w:rsidRPr="00BA31BA" w:rsidRDefault="00A37852" w:rsidP="00A37852"/>
    <w:p w14:paraId="2D23BBDD" w14:textId="77777777" w:rsidR="00A37852" w:rsidRPr="00BA31BA" w:rsidRDefault="00A37852" w:rsidP="00A37852">
      <w:r w:rsidRPr="00BA31BA">
        <w:rPr>
          <w:b/>
          <w:i/>
        </w:rPr>
        <w:t>Review of the ECTS Users’ Guide</w:t>
      </w:r>
      <w:r w:rsidRPr="00BA31BA">
        <w:t xml:space="preserve"> (</w:t>
      </w:r>
      <w:proofErr w:type="spellStart"/>
      <w:r w:rsidRPr="00BA31BA">
        <w:t>ToR</w:t>
      </w:r>
      <w:proofErr w:type="spellEnd"/>
      <w:r w:rsidRPr="00BA31BA">
        <w:t xml:space="preserve"> no. 8)</w:t>
      </w:r>
    </w:p>
    <w:p w14:paraId="4EEAD25E" w14:textId="77777777" w:rsidR="00A37852" w:rsidRPr="00BA31BA" w:rsidRDefault="00A37852" w:rsidP="00A37852">
      <w:r w:rsidRPr="00BA31BA">
        <w:t>This part of the report should be developed on the basis of suggestions by the relevant sub-group.</w:t>
      </w:r>
    </w:p>
    <w:p w14:paraId="21954C1F" w14:textId="77777777" w:rsidR="00A37852" w:rsidRPr="00BA31BA" w:rsidRDefault="00A37852" w:rsidP="00A37852"/>
    <w:p w14:paraId="77961148" w14:textId="77777777" w:rsidR="00A37852" w:rsidRPr="00BA31BA" w:rsidRDefault="00A37852" w:rsidP="00A37852"/>
    <w:p w14:paraId="5321F70F" w14:textId="77777777" w:rsidR="00A37852" w:rsidRPr="00BA31BA" w:rsidRDefault="00A37852" w:rsidP="00A37852">
      <w:r w:rsidRPr="002D051E">
        <w:rPr>
          <w:b/>
          <w:i/>
        </w:rPr>
        <w:t>Joint degrees and programs</w:t>
      </w:r>
      <w:r w:rsidRPr="00BA31BA">
        <w:t xml:space="preserve"> (</w:t>
      </w:r>
      <w:proofErr w:type="spellStart"/>
      <w:r w:rsidRPr="00BA31BA">
        <w:t>ToR</w:t>
      </w:r>
      <w:proofErr w:type="spellEnd"/>
      <w:r w:rsidRPr="00BA31BA">
        <w:t xml:space="preserve"> no. 9)</w:t>
      </w:r>
    </w:p>
    <w:p w14:paraId="590FD6AF" w14:textId="77777777" w:rsidR="00A37852" w:rsidRPr="00BA31BA" w:rsidRDefault="00A37852" w:rsidP="00A37852">
      <w:r w:rsidRPr="00BA31BA">
        <w:t xml:space="preserve">This part of the report should be developed on the basis of suggestions by the </w:t>
      </w:r>
      <w:r w:rsidRPr="00BA31BA">
        <w:rPr>
          <w:i/>
        </w:rPr>
        <w:t>ad hoc</w:t>
      </w:r>
      <w:r w:rsidRPr="00BA31BA">
        <w:t xml:space="preserve"> group appointed by the BFUG on the joint proposal of the SRWG and the WG on Mobility and Internationalization. The proposals need to be coordinated with the latter and may be submitted either as a part of the SRWG report, of the report by the WG Mobility and Internationalization or separately.</w:t>
      </w:r>
    </w:p>
    <w:p w14:paraId="4FABE86A" w14:textId="77777777" w:rsidR="00A37852" w:rsidRPr="00BA31BA" w:rsidRDefault="00A37852" w:rsidP="00A37852"/>
    <w:p w14:paraId="1100197B" w14:textId="77777777" w:rsidR="00A37852" w:rsidRPr="00BA31BA" w:rsidRDefault="00A37852" w:rsidP="00A37852">
      <w:r w:rsidRPr="002C749D">
        <w:rPr>
          <w:b/>
          <w:i/>
        </w:rPr>
        <w:t>Help identify and set priorities for peer learning activities</w:t>
      </w:r>
      <w:r w:rsidRPr="00BA31BA">
        <w:t xml:space="preserve"> (</w:t>
      </w:r>
      <w:proofErr w:type="spellStart"/>
      <w:r w:rsidRPr="00BA31BA">
        <w:t>ToR</w:t>
      </w:r>
      <w:proofErr w:type="spellEnd"/>
      <w:r w:rsidRPr="00BA31BA">
        <w:t xml:space="preserve"> no. 11)</w:t>
      </w:r>
    </w:p>
    <w:p w14:paraId="4BDE3789" w14:textId="77777777" w:rsidR="00A37852" w:rsidRPr="00BA31BA" w:rsidRDefault="00A37852" w:rsidP="00A37852">
      <w:r w:rsidRPr="00BA31BA">
        <w:t>This will be done annually though proposals to the BFUG and will not necessarily be covered in the report.</w:t>
      </w:r>
    </w:p>
    <w:p w14:paraId="270550EC" w14:textId="77777777" w:rsidR="00A37852" w:rsidRPr="00BA31BA" w:rsidRDefault="00A37852" w:rsidP="00A37852"/>
    <w:p w14:paraId="11FE3286" w14:textId="77777777" w:rsidR="00A37852" w:rsidRPr="00BA31BA" w:rsidRDefault="00A37852" w:rsidP="00A37852">
      <w:r w:rsidRPr="002C749D">
        <w:rPr>
          <w:b/>
          <w:i/>
        </w:rPr>
        <w:t>Organize, or stimulate the organization of, Bologna conferences, mini-seminars, peer learning activities and events on issues related to structural reforms</w:t>
      </w:r>
      <w:r w:rsidRPr="00BA31BA">
        <w:t xml:space="preserve"> (</w:t>
      </w:r>
      <w:proofErr w:type="spellStart"/>
      <w:r w:rsidRPr="00BA31BA">
        <w:t>ToR</w:t>
      </w:r>
      <w:proofErr w:type="spellEnd"/>
      <w:r w:rsidRPr="00BA31BA">
        <w:t xml:space="preserve"> no. 12)</w:t>
      </w:r>
    </w:p>
    <w:p w14:paraId="5FE4E86A" w14:textId="77777777" w:rsidR="00A37852" w:rsidRPr="00BA31BA" w:rsidRDefault="00A37852" w:rsidP="00A37852">
      <w:r w:rsidRPr="00BA31BA">
        <w:t>This will be a brief part of the report, if included at all, and there is a clear link t</w:t>
      </w:r>
      <w:r>
        <w:t xml:space="preserve">o several other specific tasks. At its meeting in Vilnius, the BFUG clearly expressed a desire to see a limited number of peer learning activities starting in fall 2014 and running through 2015 on the reasoning that, at least as far as the activities will depend on funding by the European Commission, it will be difficult to launch these earlier or to support more than a very limited number. The Bologna Secretariat will circulate a revised proposed list on the </w:t>
      </w:r>
      <w:proofErr w:type="spellStart"/>
      <w:r>
        <w:t>bassi</w:t>
      </w:r>
      <w:proofErr w:type="spellEnd"/>
      <w:r>
        <w:t xml:space="preserve"> of the debate in Vilnius. Countries and organizations may of course organize other peer learning activities without financial support from the European Commission.</w:t>
      </w:r>
    </w:p>
    <w:p w14:paraId="6BB50B03" w14:textId="77777777" w:rsidR="00A37852" w:rsidRPr="00BA31BA" w:rsidRDefault="00A37852" w:rsidP="00A37852"/>
    <w:p w14:paraId="1B74707F" w14:textId="77777777" w:rsidR="00A37852" w:rsidRPr="00BA31BA" w:rsidRDefault="00A37852" w:rsidP="00A37852">
      <w:r w:rsidRPr="0047042A">
        <w:rPr>
          <w:b/>
          <w:i/>
        </w:rPr>
        <w:t>Commission research</w:t>
      </w:r>
      <w:r w:rsidRPr="00BA31BA">
        <w:t xml:space="preserve"> (</w:t>
      </w:r>
      <w:proofErr w:type="spellStart"/>
      <w:r w:rsidRPr="00BA31BA">
        <w:t>ToR</w:t>
      </w:r>
      <w:proofErr w:type="spellEnd"/>
      <w:r w:rsidRPr="00BA31BA">
        <w:t xml:space="preserve"> no. 14)</w:t>
      </w:r>
    </w:p>
    <w:p w14:paraId="5D0C7C18" w14:textId="77777777" w:rsidR="00A37852" w:rsidRPr="00BA31BA" w:rsidRDefault="00A37852" w:rsidP="00A37852">
      <w:r w:rsidRPr="00BA31BA">
        <w:t xml:space="preserve">The SRWG may wish to do so – and would then also need to </w:t>
      </w:r>
      <w:proofErr w:type="gramStart"/>
      <w:r w:rsidRPr="00BA31BA">
        <w:t>raise</w:t>
      </w:r>
      <w:proofErr w:type="gramEnd"/>
      <w:r w:rsidRPr="00BA31BA">
        <w:t xml:space="preserve"> the funding required, e.g. through countries and organizations participating in the SRWG.  At its September meeting, the SRWG may wish to consider whether research could be commissioned in one or more policy areas; the self-certification and referencing of national qualifications frameworks might be one such area</w:t>
      </w:r>
      <w:r>
        <w:t xml:space="preserve"> and the review of national legislation on recognition another</w:t>
      </w:r>
      <w:r w:rsidRPr="00BA31BA">
        <w:t>.</w:t>
      </w:r>
      <w:r>
        <w:t xml:space="preserve"> In both cases, the SRWG might wish to commission research on the level of student participation in the above mentioned processes in various national contexts. </w:t>
      </w:r>
    </w:p>
    <w:p w14:paraId="43019B41" w14:textId="77777777" w:rsidR="00A37852" w:rsidRPr="00BA31BA" w:rsidRDefault="00A37852" w:rsidP="00A37852"/>
    <w:p w14:paraId="2FADF417" w14:textId="77777777" w:rsidR="00A37852" w:rsidRPr="00BA31BA" w:rsidRDefault="00A37852" w:rsidP="00A37852">
      <w:r w:rsidRPr="00BA31BA">
        <w:t>To the extent research is commissioned, this may be mentioned in the report under the relevant policy area.</w:t>
      </w:r>
      <w:r>
        <w:t xml:space="preserve"> So far, however, the lack of funding for research has made this proposal difficult to implement in practice and at this stage, it seems unrealistic for the SRWG as such to commission </w:t>
      </w:r>
      <w:r>
        <w:lastRenderedPageBreak/>
        <w:t>research unless this can be done – very rapidly - through national authorities or consultative members and financed directly by these.</w:t>
      </w:r>
    </w:p>
    <w:p w14:paraId="3F79EA47" w14:textId="77777777" w:rsidR="00A37852" w:rsidRPr="00BA31BA" w:rsidRDefault="00A37852" w:rsidP="00A37852"/>
    <w:p w14:paraId="431D6A0E" w14:textId="77777777" w:rsidR="00A37852" w:rsidRPr="00BA31BA" w:rsidRDefault="00A37852" w:rsidP="00A37852"/>
    <w:p w14:paraId="5A7A60C5" w14:textId="77777777" w:rsidR="00A37852" w:rsidRPr="00BA31BA" w:rsidRDefault="00A37852" w:rsidP="00A37852">
      <w:pPr>
        <w:rPr>
          <w:b/>
        </w:rPr>
      </w:pPr>
      <w:r w:rsidRPr="00BA31BA">
        <w:rPr>
          <w:b/>
        </w:rPr>
        <w:t>Structural reform</w:t>
      </w:r>
      <w:r>
        <w:rPr>
          <w:b/>
        </w:rPr>
        <w:t>s</w:t>
      </w:r>
      <w:r w:rsidRPr="00BA31BA">
        <w:rPr>
          <w:b/>
        </w:rPr>
        <w:t xml:space="preserve"> in the EHEA</w:t>
      </w:r>
    </w:p>
    <w:p w14:paraId="23DF3C8F" w14:textId="77777777" w:rsidR="00A37852" w:rsidRPr="00BA31BA" w:rsidRDefault="00A37852" w:rsidP="00A37852">
      <w:r w:rsidRPr="00BA31BA">
        <w:t xml:space="preserve">In this </w:t>
      </w:r>
      <w:r>
        <w:t xml:space="preserve">concluding </w:t>
      </w:r>
      <w:r w:rsidRPr="00BA31BA">
        <w:t xml:space="preserve">part of the report, the SRWG should discuss the relationship between the various policy </w:t>
      </w:r>
      <w:proofErr w:type="gramStart"/>
      <w:r w:rsidRPr="00BA31BA">
        <w:t>areas,</w:t>
      </w:r>
      <w:proofErr w:type="gramEnd"/>
      <w:r w:rsidRPr="00BA31BA">
        <w:t xml:space="preserve"> consider where specific policies have served to develop coherent structural reforms and where they may have worked at counter purposes.   In this part, the report should also seek to outline its broader recommendations for how structural reforms should develop over the next few years, most suitable up to 2020.  The recommendations should cover both content and methodology and should address the issue of how structural reforms might best be taken forward in the 2015 – 18 EHEA work program.</w:t>
      </w:r>
    </w:p>
    <w:p w14:paraId="46230F5E" w14:textId="77777777" w:rsidR="00A37852" w:rsidRPr="00BA31BA" w:rsidRDefault="00A37852" w:rsidP="00A37852"/>
    <w:p w14:paraId="4A1165AF" w14:textId="77777777" w:rsidR="00A37852" w:rsidRPr="00BA31BA" w:rsidRDefault="00A37852" w:rsidP="00A37852"/>
    <w:p w14:paraId="1876D0EE" w14:textId="77777777" w:rsidR="00A37852" w:rsidRPr="00BA31BA" w:rsidRDefault="00A37852" w:rsidP="00A37852">
      <w:pPr>
        <w:rPr>
          <w:b/>
        </w:rPr>
      </w:pPr>
      <w:r w:rsidRPr="00BA31BA">
        <w:rPr>
          <w:b/>
        </w:rPr>
        <w:t>TIMETABLE AND METHODOLOGY FOR THE SRWG</w:t>
      </w:r>
    </w:p>
    <w:p w14:paraId="2139F296" w14:textId="77777777" w:rsidR="00A37852" w:rsidRDefault="00A37852" w:rsidP="00A37852">
      <w:r w:rsidRPr="00BA31BA">
        <w:t xml:space="preserve">As mentioned, the discussions of the SRWG should now focus on developing the report.  </w:t>
      </w:r>
      <w:r>
        <w:t>Once the outline of the report has been approved at the SRWG meeting on December 9 – 10, t</w:t>
      </w:r>
      <w:r w:rsidRPr="00BA31BA">
        <w:t>he Co-Chairs will aim to develop the draft report as discussion</w:t>
      </w:r>
      <w:r>
        <w:t>s</w:t>
      </w:r>
      <w:r w:rsidRPr="00BA31BA">
        <w:t xml:space="preserve"> progress and in preparation for these. </w:t>
      </w:r>
      <w:r>
        <w:t xml:space="preserve"> A tentative timetable is presented in Appendix 3. At the same time, it should be understood that some adjustments to the outline of the draft report and the timetable may be required as work progresses.</w:t>
      </w:r>
    </w:p>
    <w:p w14:paraId="471C19D7" w14:textId="77777777" w:rsidR="00A37852" w:rsidRPr="00BA31BA" w:rsidRDefault="00A37852" w:rsidP="00A37852"/>
    <w:p w14:paraId="1C183389" w14:textId="77777777" w:rsidR="00A37852" w:rsidRPr="00BA31BA" w:rsidRDefault="00A37852" w:rsidP="00A37852"/>
    <w:p w14:paraId="677DCDDB" w14:textId="77777777" w:rsidR="00A37852" w:rsidRPr="00BA31BA" w:rsidRDefault="00A37852" w:rsidP="00A37852"/>
    <w:p w14:paraId="604F4883" w14:textId="77777777" w:rsidR="00A37852" w:rsidRPr="00BA31BA" w:rsidRDefault="00A37852" w:rsidP="00A37852"/>
    <w:p w14:paraId="5C9DB064" w14:textId="77777777" w:rsidR="00A37852" w:rsidRDefault="00A37852" w:rsidP="00A37852">
      <w:r>
        <w:br w:type="page"/>
      </w:r>
    </w:p>
    <w:p w14:paraId="2884CE43" w14:textId="77777777" w:rsidR="00A37852" w:rsidRPr="00BA31BA" w:rsidRDefault="00A37852" w:rsidP="00A37852"/>
    <w:p w14:paraId="09E9A354" w14:textId="77777777" w:rsidR="00A37852" w:rsidRPr="00BA31BA" w:rsidRDefault="00A37852" w:rsidP="00A37852">
      <w:pPr>
        <w:rPr>
          <w:b/>
        </w:rPr>
      </w:pPr>
      <w:proofErr w:type="gramStart"/>
      <w:r w:rsidRPr="00BA31BA">
        <w:rPr>
          <w:b/>
        </w:rPr>
        <w:t>APPENDIX  1</w:t>
      </w:r>
      <w:proofErr w:type="gramEnd"/>
    </w:p>
    <w:p w14:paraId="632B8FD3" w14:textId="77777777" w:rsidR="00A37852" w:rsidRPr="00BA31BA" w:rsidRDefault="00A37852" w:rsidP="00A37852"/>
    <w:p w14:paraId="19398857" w14:textId="77777777" w:rsidR="00A37852" w:rsidRPr="00BA31BA" w:rsidRDefault="00A37852" w:rsidP="00A37852">
      <w:pPr>
        <w:rPr>
          <w:b/>
        </w:rPr>
      </w:pPr>
      <w:r w:rsidRPr="00BA31BA">
        <w:rPr>
          <w:b/>
        </w:rPr>
        <w:t>OUTLINE OF THE DRAFT REPORT</w:t>
      </w:r>
    </w:p>
    <w:p w14:paraId="4F3040A7" w14:textId="77777777" w:rsidR="00A37852" w:rsidRPr="00BA31BA" w:rsidRDefault="00A37852" w:rsidP="00A37852"/>
    <w:p w14:paraId="092D38B6" w14:textId="77777777" w:rsidR="00A37852" w:rsidRPr="00BA31BA" w:rsidRDefault="00A37852" w:rsidP="00A37852">
      <w:r w:rsidRPr="00BA31BA">
        <w:t>Introduction</w:t>
      </w:r>
    </w:p>
    <w:p w14:paraId="26E56321" w14:textId="77777777" w:rsidR="00A37852" w:rsidRDefault="00A37852" w:rsidP="00A37852">
      <w:r>
        <w:t>Overarching issues – developing a coherent approach to structural reforms</w:t>
      </w:r>
    </w:p>
    <w:p w14:paraId="4918A7A1" w14:textId="77777777" w:rsidR="00A37852" w:rsidRDefault="00A37852" w:rsidP="00A37852"/>
    <w:p w14:paraId="51E39FA2" w14:textId="77777777" w:rsidR="00A37852" w:rsidRDefault="00A37852" w:rsidP="00A37852">
      <w:pPr>
        <w:pStyle w:val="ListParagraph"/>
        <w:numPr>
          <w:ilvl w:val="0"/>
          <w:numId w:val="7"/>
        </w:numPr>
      </w:pPr>
      <w:r>
        <w:t>Structures and the purposes of higher education</w:t>
      </w:r>
    </w:p>
    <w:p w14:paraId="246FE305" w14:textId="77777777" w:rsidR="00A37852" w:rsidRDefault="00A37852" w:rsidP="00A37852"/>
    <w:p w14:paraId="7364F022" w14:textId="77777777" w:rsidR="00A37852" w:rsidRDefault="00A37852" w:rsidP="00A37852">
      <w:pPr>
        <w:pStyle w:val="ListParagraph"/>
        <w:numPr>
          <w:ilvl w:val="0"/>
          <w:numId w:val="7"/>
        </w:numPr>
      </w:pPr>
      <w:r>
        <w:t>Learning outcomes</w:t>
      </w:r>
    </w:p>
    <w:p w14:paraId="025D46D6" w14:textId="77777777" w:rsidR="00A37852" w:rsidRDefault="00A37852" w:rsidP="00A37852"/>
    <w:p w14:paraId="4F73243B" w14:textId="77777777" w:rsidR="00A37852" w:rsidRDefault="00A37852" w:rsidP="00A37852">
      <w:pPr>
        <w:pStyle w:val="ListParagraph"/>
        <w:numPr>
          <w:ilvl w:val="0"/>
          <w:numId w:val="7"/>
        </w:numPr>
      </w:pPr>
      <w:r>
        <w:t>Employability</w:t>
      </w:r>
    </w:p>
    <w:p w14:paraId="0F41D6E3" w14:textId="77777777" w:rsidR="00AC1EF4" w:rsidRDefault="00AC1EF4" w:rsidP="00AC1EF4">
      <w:pPr>
        <w:pStyle w:val="ListParagraph"/>
      </w:pPr>
    </w:p>
    <w:p w14:paraId="6BDD78B6" w14:textId="77777777" w:rsidR="00AC1EF4" w:rsidRDefault="00AC1EF4" w:rsidP="00AC1EF4">
      <w:pPr>
        <w:pStyle w:val="ListParagraph"/>
      </w:pPr>
    </w:p>
    <w:p w14:paraId="2A6CCB70" w14:textId="77777777" w:rsidR="00AC1EF4" w:rsidRDefault="00AC1EF4" w:rsidP="00A37852">
      <w:pPr>
        <w:pStyle w:val="ListParagraph"/>
        <w:numPr>
          <w:ilvl w:val="0"/>
          <w:numId w:val="7"/>
        </w:numPr>
      </w:pPr>
      <w:r>
        <w:t>Transparency</w:t>
      </w:r>
    </w:p>
    <w:p w14:paraId="2AC56221" w14:textId="77777777" w:rsidR="00A37852" w:rsidRDefault="00A37852" w:rsidP="00A37852"/>
    <w:p w14:paraId="715248AD" w14:textId="77777777" w:rsidR="00A37852" w:rsidRDefault="00A37852" w:rsidP="00A37852">
      <w:pPr>
        <w:pStyle w:val="ListParagraph"/>
        <w:numPr>
          <w:ilvl w:val="0"/>
          <w:numId w:val="7"/>
        </w:numPr>
      </w:pPr>
      <w:r>
        <w:t>The role of structural reform in developing other policy areas</w:t>
      </w:r>
    </w:p>
    <w:p w14:paraId="7CBB19FE" w14:textId="77777777" w:rsidR="00A37852" w:rsidRDefault="00A37852" w:rsidP="00A37852"/>
    <w:p w14:paraId="30E11CEF" w14:textId="77777777" w:rsidR="00A37852" w:rsidRDefault="00A37852" w:rsidP="00A37852">
      <w:pPr>
        <w:pStyle w:val="ListParagraph"/>
        <w:numPr>
          <w:ilvl w:val="0"/>
          <w:numId w:val="7"/>
        </w:numPr>
      </w:pPr>
      <w:r>
        <w:t>Global dimension</w:t>
      </w:r>
    </w:p>
    <w:p w14:paraId="471FD9CF" w14:textId="77777777" w:rsidR="00A37852" w:rsidRPr="00BA31BA" w:rsidRDefault="00A37852" w:rsidP="00A37852"/>
    <w:p w14:paraId="2BF3C400" w14:textId="77777777" w:rsidR="00A37852" w:rsidRPr="00BA31BA" w:rsidRDefault="00A37852" w:rsidP="00A37852">
      <w:r w:rsidRPr="00BA31BA">
        <w:t>Specific policy areas</w:t>
      </w:r>
    </w:p>
    <w:p w14:paraId="41B2F9C2" w14:textId="77777777" w:rsidR="00A37852" w:rsidRPr="00BA31BA" w:rsidRDefault="00A37852" w:rsidP="00A37852"/>
    <w:p w14:paraId="0A246571" w14:textId="77777777" w:rsidR="00A37852" w:rsidRPr="00BA31BA" w:rsidRDefault="00A37852" w:rsidP="00A37852">
      <w:pPr>
        <w:pStyle w:val="ListParagraph"/>
        <w:numPr>
          <w:ilvl w:val="0"/>
          <w:numId w:val="5"/>
        </w:numPr>
      </w:pPr>
      <w:r w:rsidRPr="00BA31BA">
        <w:t>Quality assurance</w:t>
      </w:r>
    </w:p>
    <w:p w14:paraId="31544AFC" w14:textId="77777777" w:rsidR="00A37852" w:rsidRPr="00BA31BA" w:rsidRDefault="00A37852" w:rsidP="00A37852"/>
    <w:p w14:paraId="09CD8276" w14:textId="77777777" w:rsidR="00A37852" w:rsidRPr="00BA31BA" w:rsidRDefault="00A37852" w:rsidP="00A37852">
      <w:pPr>
        <w:pStyle w:val="ListParagraph"/>
        <w:numPr>
          <w:ilvl w:val="0"/>
          <w:numId w:val="5"/>
        </w:numPr>
      </w:pPr>
      <w:r w:rsidRPr="00BA31BA">
        <w:t>Qualifications frameworks</w:t>
      </w:r>
    </w:p>
    <w:p w14:paraId="2C12A556" w14:textId="77777777" w:rsidR="00A37852" w:rsidRPr="00BA31BA" w:rsidRDefault="00A37852" w:rsidP="00A37852"/>
    <w:p w14:paraId="625D9E1F" w14:textId="77777777" w:rsidR="00A37852" w:rsidRPr="00BA31BA" w:rsidRDefault="00A37852" w:rsidP="00A37852">
      <w:pPr>
        <w:pStyle w:val="ListParagraph"/>
        <w:numPr>
          <w:ilvl w:val="0"/>
          <w:numId w:val="5"/>
        </w:numPr>
      </w:pPr>
      <w:r w:rsidRPr="00BA31BA">
        <w:t>Recognition of qualifications</w:t>
      </w:r>
    </w:p>
    <w:p w14:paraId="3C87E8D9" w14:textId="77777777" w:rsidR="00A37852" w:rsidRPr="00BA31BA" w:rsidRDefault="00A37852" w:rsidP="00A37852"/>
    <w:p w14:paraId="44FCA1A7" w14:textId="77777777" w:rsidR="00A37852" w:rsidRPr="00BA31BA" w:rsidRDefault="00A37852" w:rsidP="00A37852">
      <w:pPr>
        <w:pStyle w:val="ListParagraph"/>
        <w:numPr>
          <w:ilvl w:val="0"/>
          <w:numId w:val="5"/>
        </w:numPr>
      </w:pPr>
      <w:r w:rsidRPr="00BA31BA">
        <w:t>Transparency</w:t>
      </w:r>
    </w:p>
    <w:p w14:paraId="2AD24ED3" w14:textId="77777777" w:rsidR="00A37852" w:rsidRPr="00BA31BA" w:rsidRDefault="00A37852" w:rsidP="00A37852"/>
    <w:p w14:paraId="6126AF3F" w14:textId="77777777" w:rsidR="00A37852" w:rsidRPr="00BA31BA" w:rsidRDefault="00A37852" w:rsidP="00A37852">
      <w:pPr>
        <w:pStyle w:val="ListParagraph"/>
        <w:numPr>
          <w:ilvl w:val="0"/>
          <w:numId w:val="5"/>
        </w:numPr>
      </w:pPr>
      <w:r>
        <w:t>Miscellaneous</w:t>
      </w:r>
      <w:r w:rsidRPr="00BA31BA">
        <w:t xml:space="preserve"> issues</w:t>
      </w:r>
    </w:p>
    <w:p w14:paraId="241DDF60" w14:textId="77777777" w:rsidR="00A37852" w:rsidRPr="00BA31BA" w:rsidRDefault="00A37852" w:rsidP="00A37852"/>
    <w:p w14:paraId="290F3766" w14:textId="77777777" w:rsidR="00A37852" w:rsidRDefault="00F73000" w:rsidP="00A37852">
      <w:r>
        <w:t xml:space="preserve">Conclusion: </w:t>
      </w:r>
      <w:r w:rsidR="00A37852" w:rsidRPr="00BA31BA">
        <w:t>Structural reform</w:t>
      </w:r>
      <w:r w:rsidR="00A37852">
        <w:t>s</w:t>
      </w:r>
      <w:r w:rsidR="00A37852" w:rsidRPr="00BA31BA">
        <w:t xml:space="preserve"> in the EHEA</w:t>
      </w:r>
    </w:p>
    <w:p w14:paraId="47CD0F82" w14:textId="77777777" w:rsidR="00F73000" w:rsidRDefault="00F73000" w:rsidP="00A37852"/>
    <w:p w14:paraId="20D8C4B2" w14:textId="77777777" w:rsidR="00F73000" w:rsidRPr="00BA31BA" w:rsidRDefault="00F73000" w:rsidP="00A37852">
      <w:r>
        <w:t>Summary of recommendations</w:t>
      </w:r>
    </w:p>
    <w:p w14:paraId="36FEABAB" w14:textId="77777777" w:rsidR="00A37852" w:rsidRPr="00BA31BA" w:rsidRDefault="00A37852" w:rsidP="00A37852"/>
    <w:p w14:paraId="630C9224" w14:textId="77777777" w:rsidR="00A37852" w:rsidRPr="00BA31BA" w:rsidRDefault="00A37852" w:rsidP="00A37852">
      <w:r w:rsidRPr="00BA31BA">
        <w:br w:type="page"/>
      </w:r>
    </w:p>
    <w:p w14:paraId="744F52CE" w14:textId="77777777" w:rsidR="00A37852" w:rsidRPr="00BA31BA" w:rsidRDefault="00A37852" w:rsidP="00A37852">
      <w:pPr>
        <w:rPr>
          <w:b/>
        </w:rPr>
      </w:pPr>
      <w:r w:rsidRPr="00BA31BA">
        <w:rPr>
          <w:b/>
        </w:rPr>
        <w:lastRenderedPageBreak/>
        <w:t>APPENDIX 2</w:t>
      </w:r>
    </w:p>
    <w:p w14:paraId="22289FF9" w14:textId="77777777" w:rsidR="00A37852" w:rsidRPr="00BA31BA" w:rsidRDefault="00A37852" w:rsidP="00A37852"/>
    <w:p w14:paraId="0B8DE61B" w14:textId="77777777" w:rsidR="00A37852" w:rsidRPr="00BA31BA" w:rsidRDefault="00A37852" w:rsidP="00A37852">
      <w:pPr>
        <w:rPr>
          <w:b/>
        </w:rPr>
      </w:pPr>
      <w:r w:rsidRPr="00BA31BA">
        <w:rPr>
          <w:b/>
        </w:rPr>
        <w:t>INFORMATION REQUIRED</w:t>
      </w:r>
    </w:p>
    <w:p w14:paraId="5DC15AB2" w14:textId="77777777" w:rsidR="00A37852" w:rsidRPr="00BA31BA" w:rsidRDefault="00A37852" w:rsidP="00A37852">
      <w:pPr>
        <w:rPr>
          <w:b/>
        </w:rPr>
      </w:pPr>
    </w:p>
    <w:p w14:paraId="5DC1440A" w14:textId="77777777" w:rsidR="00A37852" w:rsidRPr="00BA31BA" w:rsidRDefault="00A37852" w:rsidP="00A37852">
      <w:r w:rsidRPr="00BA31BA">
        <w:t>For each major issue, the following elements should be included:</w:t>
      </w:r>
    </w:p>
    <w:p w14:paraId="5A5C2A9E" w14:textId="77777777" w:rsidR="00A37852" w:rsidRPr="00BA31BA" w:rsidRDefault="00A37852" w:rsidP="00A37852"/>
    <w:p w14:paraId="1CDBDA53" w14:textId="77777777" w:rsidR="00A37852" w:rsidRPr="00BA31BA" w:rsidRDefault="00A37852" w:rsidP="00A37852">
      <w:pPr>
        <w:pStyle w:val="ListParagraph"/>
        <w:numPr>
          <w:ilvl w:val="0"/>
          <w:numId w:val="6"/>
        </w:numPr>
      </w:pPr>
      <w:r w:rsidRPr="00BA31BA">
        <w:t>Concept</w:t>
      </w:r>
    </w:p>
    <w:p w14:paraId="39535D59" w14:textId="77777777" w:rsidR="00A37852" w:rsidRPr="00BA31BA" w:rsidRDefault="00A37852" w:rsidP="00A37852"/>
    <w:p w14:paraId="4E30E5D7" w14:textId="77777777" w:rsidR="00A37852" w:rsidRPr="00BA31BA" w:rsidRDefault="00A37852" w:rsidP="00A37852">
      <w:pPr>
        <w:pStyle w:val="ListParagraph"/>
        <w:numPr>
          <w:ilvl w:val="0"/>
          <w:numId w:val="6"/>
        </w:numPr>
      </w:pPr>
      <w:r w:rsidRPr="00BA31BA">
        <w:t>Description</w:t>
      </w:r>
    </w:p>
    <w:p w14:paraId="44EE4006" w14:textId="77777777" w:rsidR="00A37852" w:rsidRPr="00BA31BA" w:rsidRDefault="00A37852" w:rsidP="00A37852"/>
    <w:p w14:paraId="031AF4A2" w14:textId="77777777" w:rsidR="00A37852" w:rsidRPr="00BA31BA" w:rsidRDefault="00A37852" w:rsidP="00A37852">
      <w:pPr>
        <w:pStyle w:val="ListParagraph"/>
        <w:numPr>
          <w:ilvl w:val="0"/>
          <w:numId w:val="6"/>
        </w:numPr>
      </w:pPr>
      <w:r w:rsidRPr="00BA31BA">
        <w:t>Issue/problem</w:t>
      </w:r>
    </w:p>
    <w:p w14:paraId="3C27A525" w14:textId="77777777" w:rsidR="00A37852" w:rsidRPr="00BA31BA" w:rsidRDefault="00A37852" w:rsidP="00A37852"/>
    <w:p w14:paraId="57F7626C" w14:textId="77777777" w:rsidR="00A37852" w:rsidRPr="00BA31BA" w:rsidRDefault="00A37852" w:rsidP="00A37852">
      <w:pPr>
        <w:pStyle w:val="ListParagraph"/>
        <w:numPr>
          <w:ilvl w:val="0"/>
          <w:numId w:val="6"/>
        </w:numPr>
      </w:pPr>
      <w:r w:rsidRPr="00BA31BA">
        <w:t>Recommendation/solution</w:t>
      </w:r>
    </w:p>
    <w:p w14:paraId="48879BE1" w14:textId="77777777" w:rsidR="00A37852" w:rsidRPr="00BA31BA" w:rsidRDefault="00A37852" w:rsidP="00A37852"/>
    <w:p w14:paraId="1573EDFE" w14:textId="77777777" w:rsidR="00A37852" w:rsidRPr="00BA31BA" w:rsidRDefault="00A37852" w:rsidP="00A37852"/>
    <w:p w14:paraId="1B7DE84A" w14:textId="77777777" w:rsidR="00A37852" w:rsidRDefault="00A37852" w:rsidP="00A37852">
      <w:r>
        <w:br w:type="page"/>
      </w:r>
    </w:p>
    <w:p w14:paraId="48452F81" w14:textId="77777777" w:rsidR="00A37852" w:rsidRDefault="00A37852" w:rsidP="00A37852">
      <w:pPr>
        <w:rPr>
          <w:b/>
        </w:rPr>
      </w:pPr>
      <w:r w:rsidRPr="004B764E">
        <w:rPr>
          <w:b/>
        </w:rPr>
        <w:lastRenderedPageBreak/>
        <w:t>APPENDIX 3</w:t>
      </w:r>
      <w:r w:rsidRPr="004B764E">
        <w:rPr>
          <w:b/>
        </w:rPr>
        <w:tab/>
      </w:r>
      <w:r w:rsidRPr="00446F15">
        <w:rPr>
          <w:b/>
        </w:rPr>
        <w:tab/>
      </w:r>
      <w:r>
        <w:rPr>
          <w:b/>
        </w:rPr>
        <w:t xml:space="preserve">TENTATIVE </w:t>
      </w:r>
      <w:r w:rsidRPr="004B764E">
        <w:rPr>
          <w:b/>
        </w:rPr>
        <w:t>TIMETABLE</w:t>
      </w:r>
      <w:r>
        <w:rPr>
          <w:b/>
        </w:rPr>
        <w:t xml:space="preserve"> FOR DEVELOPING THE SRWG REPORT</w:t>
      </w:r>
    </w:p>
    <w:p w14:paraId="213C52CA" w14:textId="77777777" w:rsidR="00A37852" w:rsidRPr="004B764E" w:rsidRDefault="00A37852" w:rsidP="00A37852">
      <w:pPr>
        <w:rPr>
          <w:b/>
        </w:rPr>
      </w:pPr>
    </w:p>
    <w:p w14:paraId="2240CA94" w14:textId="77777777" w:rsidR="00A37852" w:rsidRPr="004B764E" w:rsidRDefault="00A37852" w:rsidP="00A37852">
      <w:pPr>
        <w:rPr>
          <w:b/>
        </w:rPr>
      </w:pPr>
      <w:r w:rsidRPr="004B764E">
        <w:rPr>
          <w:b/>
        </w:rPr>
        <w:t>2013</w:t>
      </w:r>
    </w:p>
    <w:p w14:paraId="2AA85646" w14:textId="77777777" w:rsidR="00A37852"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December 9 - 10     Outline of the report agreed by the SRWG</w:t>
      </w:r>
    </w:p>
    <w:p w14:paraId="17029259" w14:textId="77777777" w:rsidR="00A37852" w:rsidRDefault="00A37852" w:rsidP="00A37852">
      <w:pPr>
        <w:pStyle w:val="Body"/>
        <w:rPr>
          <w:rFonts w:ascii="Times New Roman" w:hAnsi="Times New Roman" w:cs="Times New Roman"/>
          <w:sz w:val="24"/>
          <w:szCs w:val="24"/>
        </w:rPr>
      </w:pPr>
    </w:p>
    <w:p w14:paraId="58B52EC8" w14:textId="77777777" w:rsidR="00A37852" w:rsidRPr="004B764E" w:rsidRDefault="00A37852" w:rsidP="00A37852">
      <w:pPr>
        <w:pStyle w:val="Body"/>
        <w:rPr>
          <w:rFonts w:ascii="Times New Roman" w:hAnsi="Times New Roman" w:cs="Times New Roman"/>
          <w:sz w:val="24"/>
          <w:szCs w:val="24"/>
        </w:rPr>
      </w:pPr>
    </w:p>
    <w:p w14:paraId="39D08F50" w14:textId="77777777" w:rsidR="00A37852" w:rsidRPr="004B764E" w:rsidRDefault="00A37852" w:rsidP="00A37852">
      <w:pPr>
        <w:pStyle w:val="Body"/>
        <w:rPr>
          <w:rFonts w:ascii="Times New Roman" w:hAnsi="Times New Roman" w:cs="Times New Roman"/>
          <w:sz w:val="24"/>
          <w:szCs w:val="24"/>
        </w:rPr>
      </w:pPr>
    </w:p>
    <w:p w14:paraId="1116D60B" w14:textId="77777777" w:rsidR="00A37852" w:rsidRPr="004B764E" w:rsidRDefault="00A37852" w:rsidP="00A37852">
      <w:pPr>
        <w:pStyle w:val="Body"/>
        <w:rPr>
          <w:rFonts w:ascii="Times New Roman" w:hAnsi="Times New Roman" w:cs="Times New Roman"/>
          <w:b/>
          <w:sz w:val="24"/>
          <w:szCs w:val="24"/>
        </w:rPr>
      </w:pPr>
      <w:r w:rsidRPr="004B764E">
        <w:rPr>
          <w:rFonts w:ascii="Times New Roman" w:hAnsi="Times New Roman" w:cs="Times New Roman"/>
          <w:b/>
          <w:sz w:val="24"/>
          <w:szCs w:val="24"/>
        </w:rPr>
        <w:t>2014</w:t>
      </w:r>
    </w:p>
    <w:p w14:paraId="341E1FA4" w14:textId="77777777" w:rsidR="00A37852" w:rsidRPr="004B764E" w:rsidRDefault="00A37852" w:rsidP="00A37852">
      <w:pPr>
        <w:pStyle w:val="Body"/>
        <w:rPr>
          <w:rFonts w:ascii="Times New Roman" w:hAnsi="Times New Roman" w:cs="Times New Roman"/>
          <w:sz w:val="24"/>
          <w:szCs w:val="24"/>
        </w:rPr>
      </w:pPr>
    </w:p>
    <w:p w14:paraId="02B0A089" w14:textId="77777777" w:rsidR="00A37852" w:rsidRPr="004B764E" w:rsidRDefault="00A37852" w:rsidP="00A37852">
      <w:pPr>
        <w:pStyle w:val="Body"/>
        <w:rPr>
          <w:rFonts w:ascii="Times New Roman" w:hAnsi="Times New Roman" w:cs="Times New Roman"/>
          <w:sz w:val="24"/>
          <w:szCs w:val="24"/>
        </w:rPr>
      </w:pPr>
      <w:proofErr w:type="gramStart"/>
      <w:r w:rsidRPr="004B764E">
        <w:rPr>
          <w:rFonts w:ascii="Times New Roman" w:hAnsi="Times New Roman" w:cs="Times New Roman"/>
          <w:sz w:val="24"/>
          <w:szCs w:val="24"/>
        </w:rPr>
        <w:t>January  9February</w:t>
      </w:r>
      <w:proofErr w:type="gramEnd"/>
      <w:r w:rsidRPr="004B764E">
        <w:rPr>
          <w:rFonts w:ascii="Times New Roman" w:hAnsi="Times New Roman" w:cs="Times New Roman"/>
          <w:sz w:val="24"/>
          <w:szCs w:val="24"/>
        </w:rPr>
        <w:tab/>
        <w:t>First draft of the report developed by the Co-Chairs and the Secretariat</w:t>
      </w:r>
    </w:p>
    <w:p w14:paraId="4D0B65F6" w14:textId="77777777" w:rsidR="00A37852" w:rsidRPr="004B764E" w:rsidRDefault="00A37852" w:rsidP="00A37852">
      <w:pPr>
        <w:pStyle w:val="Body"/>
        <w:rPr>
          <w:rFonts w:ascii="Times New Roman" w:hAnsi="Times New Roman" w:cs="Times New Roman"/>
          <w:sz w:val="24"/>
          <w:szCs w:val="24"/>
        </w:rPr>
      </w:pPr>
    </w:p>
    <w:p w14:paraId="49535F11" w14:textId="77777777" w:rsidR="00A37852" w:rsidRPr="004B764E" w:rsidRDefault="00A37852" w:rsidP="00A37852">
      <w:pPr>
        <w:pStyle w:val="Body"/>
        <w:rPr>
          <w:rFonts w:ascii="Times New Roman" w:hAnsi="Times New Roman" w:cs="Times New Roman"/>
          <w:sz w:val="24"/>
          <w:szCs w:val="24"/>
        </w:rPr>
      </w:pPr>
    </w:p>
    <w:p w14:paraId="1E72F1B5"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March 10 afternoon meeting of Co-chairs</w:t>
      </w:r>
    </w:p>
    <w:p w14:paraId="3AAF8120" w14:textId="77777777" w:rsidR="00A37852" w:rsidRPr="004B764E" w:rsidRDefault="00A37852" w:rsidP="00A37852">
      <w:pPr>
        <w:pStyle w:val="Body"/>
        <w:rPr>
          <w:rFonts w:ascii="Times New Roman" w:hAnsi="Times New Roman" w:cs="Times New Roman"/>
          <w:sz w:val="24"/>
          <w:szCs w:val="24"/>
        </w:rPr>
      </w:pPr>
    </w:p>
    <w:p w14:paraId="79F97054"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March 11 - </w:t>
      </w:r>
      <w:proofErr w:type="gramStart"/>
      <w:r w:rsidRPr="004B764E">
        <w:rPr>
          <w:rFonts w:ascii="Times New Roman" w:hAnsi="Times New Roman" w:cs="Times New Roman"/>
          <w:sz w:val="24"/>
          <w:szCs w:val="24"/>
        </w:rPr>
        <w:t>12  Meeting</w:t>
      </w:r>
      <w:proofErr w:type="gramEnd"/>
      <w:r w:rsidRPr="004B764E">
        <w:rPr>
          <w:rFonts w:ascii="Times New Roman" w:hAnsi="Times New Roman" w:cs="Times New Roman"/>
          <w:sz w:val="24"/>
          <w:szCs w:val="24"/>
        </w:rPr>
        <w:t xml:space="preserve"> of the SRWG (venue to be decided). Main issues: report, learning outcomes, employability</w:t>
      </w:r>
      <w:r>
        <w:rPr>
          <w:rFonts w:ascii="Times New Roman" w:hAnsi="Times New Roman" w:cs="Times New Roman"/>
          <w:sz w:val="24"/>
          <w:szCs w:val="24"/>
        </w:rPr>
        <w:t>, possibly short cycle qualifications</w:t>
      </w:r>
    </w:p>
    <w:p w14:paraId="71574032" w14:textId="77777777" w:rsidR="00A37852" w:rsidRPr="004B764E" w:rsidRDefault="00A37852" w:rsidP="00A37852">
      <w:pPr>
        <w:pStyle w:val="Body"/>
        <w:rPr>
          <w:rFonts w:ascii="Times New Roman" w:hAnsi="Times New Roman" w:cs="Times New Roman"/>
          <w:sz w:val="24"/>
          <w:szCs w:val="24"/>
        </w:rPr>
      </w:pPr>
    </w:p>
    <w:p w14:paraId="3B46BDC4"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March 13.    Meeting of the Co-Chairs with co-chairs of sub structures</w:t>
      </w:r>
    </w:p>
    <w:p w14:paraId="23EAEEEF" w14:textId="77777777" w:rsidR="00A37852" w:rsidRPr="004B764E" w:rsidRDefault="00A37852" w:rsidP="00A37852">
      <w:pPr>
        <w:pStyle w:val="Body"/>
        <w:rPr>
          <w:rFonts w:ascii="Times New Roman" w:hAnsi="Times New Roman" w:cs="Times New Roman"/>
          <w:sz w:val="24"/>
          <w:szCs w:val="24"/>
        </w:rPr>
      </w:pPr>
    </w:p>
    <w:p w14:paraId="06DCFB6D"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April 15:       Sub groups submit reports to the SRWG</w:t>
      </w:r>
    </w:p>
    <w:p w14:paraId="66A64BB4" w14:textId="77777777" w:rsidR="00A37852" w:rsidRPr="004B764E" w:rsidRDefault="00A37852" w:rsidP="00A37852">
      <w:pPr>
        <w:pStyle w:val="Body"/>
        <w:rPr>
          <w:rFonts w:ascii="Times New Roman" w:hAnsi="Times New Roman" w:cs="Times New Roman"/>
          <w:sz w:val="24"/>
          <w:szCs w:val="24"/>
        </w:rPr>
      </w:pPr>
    </w:p>
    <w:p w14:paraId="14B320B2"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Mid-march -to early May: </w:t>
      </w:r>
      <w:r w:rsidRPr="004B764E">
        <w:rPr>
          <w:rFonts w:ascii="Times New Roman" w:hAnsi="Times New Roman" w:cs="Times New Roman"/>
          <w:sz w:val="24"/>
          <w:szCs w:val="24"/>
        </w:rPr>
        <w:tab/>
        <w:t>Second draft of the report developed by the Co-Chairs and the Secretariat</w:t>
      </w:r>
    </w:p>
    <w:p w14:paraId="36F9FA25" w14:textId="77777777" w:rsidR="00A37852" w:rsidRPr="004B764E" w:rsidRDefault="00A37852" w:rsidP="00A37852">
      <w:pPr>
        <w:pStyle w:val="Body"/>
        <w:rPr>
          <w:rFonts w:ascii="Times New Roman" w:hAnsi="Times New Roman" w:cs="Times New Roman"/>
          <w:sz w:val="24"/>
          <w:szCs w:val="24"/>
        </w:rPr>
      </w:pPr>
    </w:p>
    <w:p w14:paraId="2EFE4119" w14:textId="77777777" w:rsidR="00A37852" w:rsidRPr="004B764E" w:rsidRDefault="00A37852" w:rsidP="00A37852">
      <w:pPr>
        <w:pStyle w:val="Body"/>
        <w:rPr>
          <w:rFonts w:ascii="Times New Roman" w:hAnsi="Times New Roman" w:cs="Times New Roman"/>
          <w:sz w:val="24"/>
          <w:szCs w:val="24"/>
        </w:rPr>
      </w:pPr>
    </w:p>
    <w:p w14:paraId="6B1425E2" w14:textId="77777777" w:rsidR="00A37852" w:rsidRPr="004B764E" w:rsidRDefault="00A37852" w:rsidP="00A37852">
      <w:pPr>
        <w:pStyle w:val="Body"/>
        <w:rPr>
          <w:rFonts w:ascii="Times New Roman" w:hAnsi="Times New Roman" w:cs="Times New Roman"/>
          <w:sz w:val="24"/>
          <w:szCs w:val="24"/>
        </w:rPr>
      </w:pPr>
    </w:p>
    <w:p w14:paraId="7EFE4C14"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May 26 </w:t>
      </w:r>
      <w:r w:rsidRPr="004B764E">
        <w:rPr>
          <w:rFonts w:ascii="Times New Roman" w:hAnsi="Times New Roman" w:cs="Times New Roman"/>
          <w:sz w:val="24"/>
          <w:szCs w:val="24"/>
        </w:rPr>
        <w:tab/>
        <w:t>Meeting of co-chairs</w:t>
      </w:r>
    </w:p>
    <w:p w14:paraId="7CB99A91" w14:textId="77777777" w:rsidR="00A37852" w:rsidRPr="004B764E" w:rsidRDefault="00A37852" w:rsidP="00A37852">
      <w:pPr>
        <w:pStyle w:val="Body"/>
        <w:rPr>
          <w:rFonts w:ascii="Times New Roman" w:hAnsi="Times New Roman" w:cs="Times New Roman"/>
          <w:sz w:val="24"/>
          <w:szCs w:val="24"/>
        </w:rPr>
      </w:pPr>
    </w:p>
    <w:p w14:paraId="776B9DE4"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May 27 - 28. </w:t>
      </w:r>
      <w:proofErr w:type="gramStart"/>
      <w:r w:rsidRPr="004B764E">
        <w:rPr>
          <w:rFonts w:ascii="Times New Roman" w:hAnsi="Times New Roman" w:cs="Times New Roman"/>
          <w:sz w:val="24"/>
          <w:szCs w:val="24"/>
        </w:rPr>
        <w:t>Meeting of the SRWG (venue to be decided).</w:t>
      </w:r>
      <w:proofErr w:type="gramEnd"/>
      <w:r w:rsidRPr="004B764E">
        <w:rPr>
          <w:rFonts w:ascii="Times New Roman" w:hAnsi="Times New Roman" w:cs="Times New Roman"/>
          <w:sz w:val="24"/>
          <w:szCs w:val="24"/>
        </w:rPr>
        <w:t xml:space="preserve"> Main issues: report, global dimension</w:t>
      </w:r>
      <w:r>
        <w:rPr>
          <w:rFonts w:ascii="Times New Roman" w:hAnsi="Times New Roman" w:cs="Times New Roman"/>
          <w:sz w:val="24"/>
          <w:szCs w:val="24"/>
        </w:rPr>
        <w:t>, possibly short cycle qualifications if not covered at the March meeting</w:t>
      </w:r>
      <w:r w:rsidRPr="004B764E">
        <w:rPr>
          <w:rFonts w:ascii="Times New Roman" w:hAnsi="Times New Roman" w:cs="Times New Roman"/>
          <w:sz w:val="24"/>
          <w:szCs w:val="24"/>
        </w:rPr>
        <w:t xml:space="preserve"> </w:t>
      </w:r>
    </w:p>
    <w:p w14:paraId="76951F59" w14:textId="77777777" w:rsidR="00A37852" w:rsidRPr="004B764E" w:rsidRDefault="00A37852" w:rsidP="00A37852">
      <w:pPr>
        <w:pStyle w:val="Body"/>
        <w:rPr>
          <w:rFonts w:ascii="Times New Roman" w:hAnsi="Times New Roman" w:cs="Times New Roman"/>
          <w:sz w:val="24"/>
          <w:szCs w:val="24"/>
        </w:rPr>
      </w:pPr>
    </w:p>
    <w:p w14:paraId="51E08C59" w14:textId="77777777" w:rsidR="00A37852" w:rsidRPr="004B764E" w:rsidRDefault="00A37852" w:rsidP="00A37852">
      <w:pPr>
        <w:pStyle w:val="Body"/>
        <w:rPr>
          <w:rFonts w:ascii="Times New Roman" w:hAnsi="Times New Roman" w:cs="Times New Roman"/>
          <w:sz w:val="24"/>
          <w:szCs w:val="24"/>
        </w:rPr>
      </w:pPr>
    </w:p>
    <w:p w14:paraId="2E750547"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June </w:t>
      </w:r>
      <w:proofErr w:type="spellStart"/>
      <w:r w:rsidRPr="004B764E">
        <w:rPr>
          <w:rFonts w:ascii="Times New Roman" w:hAnsi="Times New Roman" w:cs="Times New Roman"/>
          <w:sz w:val="24"/>
          <w:szCs w:val="24"/>
        </w:rPr>
        <w:t>otAugust</w:t>
      </w:r>
      <w:proofErr w:type="spellEnd"/>
      <w:r w:rsidRPr="004B764E">
        <w:rPr>
          <w:rFonts w:ascii="Times New Roman" w:hAnsi="Times New Roman" w:cs="Times New Roman"/>
          <w:sz w:val="24"/>
          <w:szCs w:val="24"/>
        </w:rPr>
        <w:t xml:space="preserve">: </w:t>
      </w:r>
      <w:r w:rsidRPr="004B764E">
        <w:rPr>
          <w:rFonts w:ascii="Times New Roman" w:hAnsi="Times New Roman" w:cs="Times New Roman"/>
          <w:sz w:val="24"/>
          <w:szCs w:val="24"/>
        </w:rPr>
        <w:tab/>
        <w:t>Third draft of the report developed by the Co-Chairs and the Secretariat</w:t>
      </w:r>
    </w:p>
    <w:p w14:paraId="5A58518E" w14:textId="77777777" w:rsidR="00A37852" w:rsidRPr="004B764E" w:rsidRDefault="00A37852" w:rsidP="00A37852">
      <w:pPr>
        <w:pStyle w:val="Body"/>
        <w:rPr>
          <w:rFonts w:ascii="Times New Roman" w:hAnsi="Times New Roman" w:cs="Times New Roman"/>
          <w:sz w:val="24"/>
          <w:szCs w:val="24"/>
        </w:rPr>
      </w:pPr>
    </w:p>
    <w:p w14:paraId="093D897C" w14:textId="77777777" w:rsidR="00A37852" w:rsidRPr="004B764E" w:rsidRDefault="00A37852" w:rsidP="00A37852">
      <w:pPr>
        <w:pStyle w:val="Body"/>
        <w:rPr>
          <w:rFonts w:ascii="Times New Roman" w:hAnsi="Times New Roman" w:cs="Times New Roman"/>
          <w:sz w:val="24"/>
          <w:szCs w:val="24"/>
        </w:rPr>
      </w:pPr>
    </w:p>
    <w:p w14:paraId="18D005CF"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September 15:   Meeting of Co-chairs </w:t>
      </w:r>
    </w:p>
    <w:p w14:paraId="7F7B8CAB" w14:textId="77777777" w:rsidR="00A37852" w:rsidRPr="004B764E" w:rsidRDefault="00A37852" w:rsidP="00A37852">
      <w:pPr>
        <w:pStyle w:val="Body"/>
        <w:rPr>
          <w:rFonts w:ascii="Times New Roman" w:hAnsi="Times New Roman" w:cs="Times New Roman"/>
          <w:sz w:val="24"/>
          <w:szCs w:val="24"/>
        </w:rPr>
      </w:pPr>
    </w:p>
    <w:p w14:paraId="41D07E59"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 xml:space="preserve">September 16 - 17:     Meeting of the SRWG. </w:t>
      </w:r>
    </w:p>
    <w:p w14:paraId="768BEA7B" w14:textId="77777777" w:rsidR="00A37852" w:rsidRPr="004B764E" w:rsidRDefault="00A37852" w:rsidP="00A37852">
      <w:pPr>
        <w:pStyle w:val="Body"/>
        <w:rPr>
          <w:rFonts w:ascii="Times New Roman" w:hAnsi="Times New Roman" w:cs="Times New Roman"/>
          <w:sz w:val="24"/>
          <w:szCs w:val="24"/>
        </w:rPr>
      </w:pPr>
    </w:p>
    <w:p w14:paraId="70AF5BD4" w14:textId="77777777" w:rsidR="00A37852" w:rsidRPr="004B764E" w:rsidRDefault="00A37852" w:rsidP="00A37852">
      <w:pPr>
        <w:pStyle w:val="Body"/>
        <w:rPr>
          <w:rFonts w:ascii="Times New Roman" w:hAnsi="Times New Roman" w:cs="Times New Roman"/>
          <w:sz w:val="24"/>
          <w:szCs w:val="24"/>
        </w:rPr>
      </w:pPr>
    </w:p>
    <w:p w14:paraId="1262CAA1" w14:textId="77777777" w:rsidR="00A37852" w:rsidRPr="004B764E" w:rsidRDefault="00A37852" w:rsidP="00A37852">
      <w:pPr>
        <w:pStyle w:val="Body"/>
        <w:rPr>
          <w:rFonts w:ascii="Times New Roman" w:hAnsi="Times New Roman" w:cs="Times New Roman"/>
          <w:sz w:val="24"/>
          <w:szCs w:val="24"/>
        </w:rPr>
      </w:pPr>
      <w:r w:rsidRPr="004B764E">
        <w:rPr>
          <w:rFonts w:ascii="Times New Roman" w:hAnsi="Times New Roman" w:cs="Times New Roman"/>
          <w:sz w:val="24"/>
          <w:szCs w:val="24"/>
        </w:rPr>
        <w:t>October 10:     Draft report submitted to the BFUG</w:t>
      </w:r>
    </w:p>
    <w:p w14:paraId="73044AA4" w14:textId="77777777" w:rsidR="00A37852" w:rsidRPr="00446F15" w:rsidRDefault="00A37852" w:rsidP="00A37852"/>
    <w:p w14:paraId="06B072B6" w14:textId="77777777" w:rsidR="00A37852" w:rsidRPr="00446F15" w:rsidRDefault="00A37852" w:rsidP="00A37852">
      <w:r w:rsidRPr="00446F15">
        <w:lastRenderedPageBreak/>
        <w:t xml:space="preserve">NB All dates, and in </w:t>
      </w:r>
      <w:r w:rsidRPr="008331D1">
        <w:t>particular</w:t>
      </w:r>
      <w:r w:rsidRPr="009E6662">
        <w:t xml:space="preserve"> </w:t>
      </w:r>
      <w:r w:rsidRPr="00B52AC0">
        <w:t xml:space="preserve">the dates for the </w:t>
      </w:r>
      <w:r w:rsidRPr="0032436B">
        <w:t>meeting</w:t>
      </w:r>
      <w:r w:rsidRPr="00A34C84">
        <w:t xml:space="preserve"> </w:t>
      </w:r>
      <w:r w:rsidRPr="00473357">
        <w:t xml:space="preserve">in </w:t>
      </w:r>
      <w:r w:rsidRPr="002E07EF">
        <w:t>September</w:t>
      </w:r>
      <w:r w:rsidRPr="00B83517">
        <w:t xml:space="preserve"> and the deadline for submission of the final report to the BFUG, are subject to confirmation by the BFUG.  It is intended to link the September</w:t>
      </w:r>
      <w:r w:rsidRPr="00E64B4C">
        <w:t xml:space="preserve"> meeting to a meeting of the </w:t>
      </w:r>
      <w:r w:rsidRPr="00F44FE3">
        <w:t>Bologna</w:t>
      </w:r>
      <w:r w:rsidRPr="003B5E6B">
        <w:t xml:space="preserve"> </w:t>
      </w:r>
      <w:r w:rsidRPr="00446F15">
        <w:t xml:space="preserve">Board if possible. </w:t>
      </w:r>
    </w:p>
    <w:p w14:paraId="3A2D70C8" w14:textId="77777777" w:rsidR="00A37852" w:rsidRPr="00446F15" w:rsidRDefault="00A37852" w:rsidP="00A37852"/>
    <w:p w14:paraId="7C4C7920" w14:textId="77777777" w:rsidR="00A37852" w:rsidRPr="00446F15" w:rsidRDefault="00A37852" w:rsidP="00A37852">
      <w:r w:rsidRPr="00446F15">
        <w:t>The Co-Chairs will meet between meetings of the SRWG, alone or with the co-chairs of the sub groups, as required.</w:t>
      </w:r>
    </w:p>
    <w:p w14:paraId="1CCFC3FA" w14:textId="77777777" w:rsidR="00A37852" w:rsidRPr="00BA31BA" w:rsidRDefault="00A37852" w:rsidP="00A37852"/>
    <w:p w14:paraId="699E1154" w14:textId="77777777" w:rsidR="00A37852" w:rsidRPr="00BA31BA" w:rsidRDefault="00A37852" w:rsidP="00A37852"/>
    <w:p w14:paraId="700BB69A" w14:textId="77777777" w:rsidR="00A37852" w:rsidRPr="00BA31BA" w:rsidRDefault="00A37852" w:rsidP="00A37852">
      <w:r w:rsidRPr="00BA31BA">
        <w:t xml:space="preserve"> </w:t>
      </w:r>
    </w:p>
    <w:p w14:paraId="0C693227" w14:textId="77777777" w:rsidR="00A37852" w:rsidRPr="00BA31BA" w:rsidRDefault="00A37852" w:rsidP="00A37852"/>
    <w:p w14:paraId="3AB5AD8D" w14:textId="77777777" w:rsidR="00A37852" w:rsidRPr="00BA31BA" w:rsidRDefault="00A37852" w:rsidP="00A37852"/>
    <w:p w14:paraId="66CFDA94" w14:textId="77777777" w:rsidR="00A37852" w:rsidRPr="00BA31BA" w:rsidRDefault="00A37852" w:rsidP="00A37852">
      <w:r w:rsidRPr="00BA31BA">
        <w:t xml:space="preserve"> </w:t>
      </w:r>
      <w:bookmarkStart w:id="0" w:name="_GoBack"/>
      <w:bookmarkEnd w:id="0"/>
    </w:p>
    <w:p w14:paraId="4F01503B" w14:textId="77777777" w:rsidR="00A37852" w:rsidRPr="00BA31BA" w:rsidRDefault="00A37852" w:rsidP="00A37852"/>
    <w:p w14:paraId="006FD9EE" w14:textId="77777777" w:rsidR="00A37852" w:rsidRPr="00BA31BA" w:rsidRDefault="00A37852" w:rsidP="00A37852"/>
    <w:p w14:paraId="5E08218D" w14:textId="77777777" w:rsidR="00A37852" w:rsidRPr="00BA31BA" w:rsidRDefault="00A37852" w:rsidP="00A37852"/>
    <w:p w14:paraId="78FC10DC" w14:textId="77777777" w:rsidR="00A37852" w:rsidRPr="00BA31BA" w:rsidRDefault="00A37852" w:rsidP="00A37852"/>
    <w:p w14:paraId="791FD023" w14:textId="77777777" w:rsidR="00A37852" w:rsidRPr="00BA31BA" w:rsidRDefault="00A37852" w:rsidP="00A37852"/>
    <w:p w14:paraId="5480D79C" w14:textId="77777777" w:rsidR="00210587" w:rsidRDefault="00F24483"/>
    <w:sectPr w:rsidR="00210587">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E14DD" w14:textId="77777777" w:rsidR="00A37852" w:rsidRDefault="00A37852" w:rsidP="00A37852">
      <w:pPr>
        <w:spacing w:after="0"/>
      </w:pPr>
      <w:r>
        <w:separator/>
      </w:r>
    </w:p>
  </w:endnote>
  <w:endnote w:type="continuationSeparator" w:id="0">
    <w:p w14:paraId="2C4C75A8" w14:textId="77777777" w:rsidR="00A37852" w:rsidRDefault="00A37852" w:rsidP="00A378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D28D" w14:textId="77777777" w:rsidR="00F24483" w:rsidRDefault="00F24483" w:rsidP="00C544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EF1F27" w14:textId="77777777" w:rsidR="00F24483" w:rsidRDefault="00F24483" w:rsidP="00F2448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149C3" w14:textId="77777777" w:rsidR="00F24483" w:rsidRDefault="00F24483" w:rsidP="00C544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31278E50" w14:textId="77777777" w:rsidR="00F24483" w:rsidRDefault="00F24483" w:rsidP="00F2448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C501D" w14:textId="77777777" w:rsidR="00A37852" w:rsidRDefault="00A37852" w:rsidP="00A37852">
      <w:pPr>
        <w:spacing w:after="0"/>
      </w:pPr>
      <w:r>
        <w:separator/>
      </w:r>
    </w:p>
  </w:footnote>
  <w:footnote w:type="continuationSeparator" w:id="0">
    <w:p w14:paraId="1AE49FC1" w14:textId="77777777" w:rsidR="00A37852" w:rsidRDefault="00A37852" w:rsidP="00A37852">
      <w:pPr>
        <w:spacing w:after="0"/>
      </w:pPr>
      <w:r>
        <w:continuationSeparator/>
      </w:r>
    </w:p>
  </w:footnote>
  <w:footnote w:id="1">
    <w:p w14:paraId="4A99F8A7" w14:textId="77777777" w:rsidR="00A37852" w:rsidRPr="00282D73" w:rsidRDefault="00A37852" w:rsidP="00A37852">
      <w:pPr>
        <w:pStyle w:val="FootnoteText"/>
        <w:rPr>
          <w:lang w:val="en-CA"/>
        </w:rPr>
      </w:pPr>
      <w:r>
        <w:rPr>
          <w:rStyle w:val="FootnoteReference"/>
        </w:rPr>
        <w:footnoteRef/>
      </w:r>
      <w:r>
        <w:t xml:space="preserve"> </w:t>
      </w:r>
      <w:r>
        <w:rPr>
          <w:lang w:val="en-CA"/>
        </w:rPr>
        <w:t>This point was made by David Crosier in his presentation to the annual conference of the European Access Network in Strasbourg on June 3 - 5, 2013.</w:t>
      </w:r>
    </w:p>
  </w:footnote>
  <w:footnote w:id="2">
    <w:p w14:paraId="0FE4FCA2" w14:textId="77777777" w:rsidR="00A37852" w:rsidRDefault="00A37852" w:rsidP="00A37852">
      <w:pPr>
        <w:spacing w:after="0"/>
        <w:ind w:left="851"/>
        <w:jc w:val="both"/>
        <w:rPr>
          <w:rFonts w:ascii="Verdana" w:hAnsi="Verdana"/>
          <w:sz w:val="20"/>
          <w:szCs w:val="20"/>
        </w:rPr>
      </w:pPr>
      <w:r>
        <w:rPr>
          <w:rStyle w:val="FootnoteReference"/>
        </w:rPr>
        <w:footnoteRef/>
      </w:r>
      <w:r>
        <w:t xml:space="preserve"> These are:</w:t>
      </w:r>
    </w:p>
    <w:p w14:paraId="5EBC7DC9" w14:textId="77777777" w:rsidR="00A37852" w:rsidRPr="0099402F" w:rsidRDefault="00A37852" w:rsidP="00A37852">
      <w:pPr>
        <w:pStyle w:val="ListParagraph"/>
        <w:numPr>
          <w:ilvl w:val="0"/>
          <w:numId w:val="4"/>
        </w:numPr>
        <w:spacing w:after="0"/>
        <w:jc w:val="both"/>
        <w:rPr>
          <w:sz w:val="20"/>
          <w:szCs w:val="20"/>
        </w:rPr>
      </w:pPr>
      <w:r w:rsidRPr="0099402F">
        <w:rPr>
          <w:sz w:val="20"/>
          <w:szCs w:val="20"/>
        </w:rPr>
        <w:t>As appropriate, commission research to support its work;</w:t>
      </w:r>
    </w:p>
    <w:p w14:paraId="003264EF" w14:textId="77777777" w:rsidR="00A37852" w:rsidRPr="0099402F" w:rsidRDefault="00A37852" w:rsidP="00A37852">
      <w:pPr>
        <w:pStyle w:val="ListParagraph"/>
        <w:numPr>
          <w:ilvl w:val="0"/>
          <w:numId w:val="4"/>
        </w:numPr>
        <w:spacing w:after="0"/>
        <w:jc w:val="both"/>
        <w:rPr>
          <w:sz w:val="20"/>
          <w:szCs w:val="20"/>
        </w:rPr>
      </w:pPr>
      <w:r w:rsidRPr="0099402F">
        <w:rPr>
          <w:sz w:val="20"/>
          <w:szCs w:val="20"/>
        </w:rPr>
        <w:t>Maintain contact with and, as needed, oversee the work of any sub groups established to address specific aspects of structural reforms;</w:t>
      </w:r>
    </w:p>
    <w:p w14:paraId="2856E14B" w14:textId="77777777" w:rsidR="00A37852" w:rsidRPr="0099402F" w:rsidRDefault="00A37852" w:rsidP="00A37852">
      <w:pPr>
        <w:pStyle w:val="ListParagraph"/>
        <w:numPr>
          <w:ilvl w:val="0"/>
          <w:numId w:val="4"/>
        </w:numPr>
        <w:spacing w:after="0"/>
        <w:jc w:val="both"/>
        <w:rPr>
          <w:sz w:val="20"/>
          <w:szCs w:val="20"/>
        </w:rPr>
      </w:pPr>
      <w:r w:rsidRPr="0099402F">
        <w:rPr>
          <w:sz w:val="20"/>
          <w:szCs w:val="20"/>
        </w:rPr>
        <w:t xml:space="preserve">Advice the BFUG on any issues referred to it by the BFUG;  </w:t>
      </w:r>
    </w:p>
    <w:p w14:paraId="280DC421" w14:textId="77777777" w:rsidR="00A37852" w:rsidRPr="0099402F" w:rsidRDefault="00A37852" w:rsidP="00A37852">
      <w:pPr>
        <w:pStyle w:val="ListParagraph"/>
        <w:numPr>
          <w:ilvl w:val="0"/>
          <w:numId w:val="4"/>
        </w:numPr>
        <w:spacing w:after="0"/>
        <w:jc w:val="both"/>
        <w:rPr>
          <w:sz w:val="20"/>
          <w:szCs w:val="20"/>
        </w:rPr>
      </w:pPr>
      <w:r w:rsidRPr="0099402F">
        <w:rPr>
          <w:sz w:val="20"/>
          <w:szCs w:val="20"/>
        </w:rPr>
        <w:t>Submit proposals to the 2015 Ministerial conference, through the BFUG, aiming to improve the coherence of the structural reforms within the EHEA.</w:t>
      </w:r>
    </w:p>
    <w:p w14:paraId="3329EB99" w14:textId="77777777" w:rsidR="00A37852" w:rsidRPr="0099402F" w:rsidRDefault="00A37852" w:rsidP="00A37852">
      <w:pPr>
        <w:pStyle w:val="FootnoteText"/>
      </w:pPr>
    </w:p>
  </w:footnote>
  <w:footnote w:id="3">
    <w:p w14:paraId="6A401C9A" w14:textId="77777777" w:rsidR="00A37852" w:rsidRPr="00997426" w:rsidRDefault="00A37852" w:rsidP="00A37852">
      <w:pPr>
        <w:spacing w:after="0"/>
        <w:rPr>
          <w:sz w:val="20"/>
          <w:szCs w:val="20"/>
          <w:lang w:val="en-GB"/>
        </w:rPr>
      </w:pPr>
      <w:r>
        <w:rPr>
          <w:rStyle w:val="FootnoteReference"/>
        </w:rPr>
        <w:footnoteRef/>
      </w:r>
      <w:r>
        <w:t xml:space="preserve"> </w:t>
      </w:r>
      <w:proofErr w:type="spellStart"/>
      <w:r w:rsidRPr="004060DF">
        <w:rPr>
          <w:sz w:val="20"/>
          <w:szCs w:val="20"/>
          <w:lang w:val="en-GB"/>
        </w:rPr>
        <w:t>Rauhvargers</w:t>
      </w:r>
      <w:proofErr w:type="spellEnd"/>
      <w:r w:rsidRPr="004060DF">
        <w:rPr>
          <w:sz w:val="20"/>
          <w:szCs w:val="20"/>
          <w:lang w:val="en-GB"/>
        </w:rPr>
        <w:t xml:space="preserve">, Andrejs and </w:t>
      </w:r>
      <w:proofErr w:type="spellStart"/>
      <w:r w:rsidRPr="004060DF">
        <w:rPr>
          <w:sz w:val="20"/>
          <w:szCs w:val="20"/>
          <w:lang w:val="en-GB"/>
        </w:rPr>
        <w:t>Agnese</w:t>
      </w:r>
      <w:proofErr w:type="spellEnd"/>
      <w:r w:rsidRPr="004060DF">
        <w:rPr>
          <w:sz w:val="20"/>
          <w:szCs w:val="20"/>
          <w:lang w:val="en-GB"/>
        </w:rPr>
        <w:t xml:space="preserve"> </w:t>
      </w:r>
      <w:proofErr w:type="spellStart"/>
      <w:r w:rsidRPr="004060DF">
        <w:rPr>
          <w:sz w:val="20"/>
          <w:szCs w:val="20"/>
          <w:lang w:val="en-GB"/>
        </w:rPr>
        <w:t>Rusakova</w:t>
      </w:r>
      <w:proofErr w:type="spellEnd"/>
      <w:r w:rsidRPr="004060DF">
        <w:rPr>
          <w:sz w:val="20"/>
          <w:szCs w:val="20"/>
          <w:lang w:val="en-GB"/>
        </w:rPr>
        <w:t xml:space="preserve"> (2010).  </w:t>
      </w:r>
      <w:r w:rsidRPr="004060DF">
        <w:rPr>
          <w:bCs/>
          <w:i/>
          <w:sz w:val="20"/>
          <w:szCs w:val="20"/>
          <w:lang w:val="en-GB"/>
        </w:rPr>
        <w:t>Improving recognition in the European Higher Education Area: an analysis of national action plans</w:t>
      </w:r>
      <w:r w:rsidRPr="004060DF">
        <w:rPr>
          <w:b/>
          <w:bCs/>
          <w:sz w:val="20"/>
          <w:szCs w:val="20"/>
          <w:lang w:val="en-GB"/>
        </w:rPr>
        <w:t xml:space="preserve"> </w:t>
      </w:r>
      <w:r w:rsidRPr="004060DF">
        <w:rPr>
          <w:sz w:val="20"/>
          <w:szCs w:val="20"/>
          <w:lang w:val="en-GB"/>
        </w:rPr>
        <w:t>Strasbourg Council of Europe Publishing Council of Europe higher education series no.12</w:t>
      </w:r>
    </w:p>
  </w:footnote>
  <w:footnote w:id="4">
    <w:p w14:paraId="38963FD9" w14:textId="77777777" w:rsidR="00A37852" w:rsidRPr="00997426" w:rsidRDefault="00A37852" w:rsidP="00A37852">
      <w:pPr>
        <w:pStyle w:val="FootnoteText"/>
      </w:pPr>
      <w:r>
        <w:rPr>
          <w:rStyle w:val="FootnoteReference"/>
        </w:rPr>
        <w:footnoteRef/>
      </w:r>
      <w:r>
        <w:t xml:space="preserve"> </w:t>
      </w:r>
      <w:hyperlink r:id="rId1" w:anchor="TopOfPage" w:history="1">
        <w:r w:rsidRPr="00630A59">
          <w:rPr>
            <w:rStyle w:val="Hyperlink"/>
          </w:rPr>
          <w:t>http://www.coe.int/t/dg4/highereducation/Recognition/DGIIEDUHE(2012)14%20Rev09%20FINAL%20-%20LRC%20Supplementary%20Text%20on%20the%20Use%20of%20QFs%20ENGLISH.asp#TopOfPage</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F7328"/>
    <w:multiLevelType w:val="hybridMultilevel"/>
    <w:tmpl w:val="C85CE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34710"/>
    <w:multiLevelType w:val="hybridMultilevel"/>
    <w:tmpl w:val="09D20F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03A68"/>
    <w:multiLevelType w:val="hybridMultilevel"/>
    <w:tmpl w:val="D7BCEC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0A07A7"/>
    <w:multiLevelType w:val="hybridMultilevel"/>
    <w:tmpl w:val="A9861B0A"/>
    <w:lvl w:ilvl="0" w:tplc="0409000B">
      <w:start w:val="1"/>
      <w:numFmt w:val="bullet"/>
      <w:lvlText w:val=""/>
      <w:lvlJc w:val="left"/>
      <w:pPr>
        <w:ind w:left="791" w:hanging="360"/>
      </w:pPr>
      <w:rPr>
        <w:rFonts w:ascii="Wingdings" w:hAnsi="Wingdings"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
    <w:nsid w:val="33BD18A2"/>
    <w:multiLevelType w:val="hybridMultilevel"/>
    <w:tmpl w:val="7610D9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774E66"/>
    <w:multiLevelType w:val="hybridMultilevel"/>
    <w:tmpl w:val="E60CE5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694D9E"/>
    <w:multiLevelType w:val="hybridMultilevel"/>
    <w:tmpl w:val="72AEF862"/>
    <w:lvl w:ilvl="0" w:tplc="5B7E71CE">
      <w:start w:val="14"/>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4"/>
  </w:num>
  <w:num w:numId="3">
    <w:abstractNumId w:val="3"/>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9B1"/>
    <w:rsid w:val="001429BE"/>
    <w:rsid w:val="0034012D"/>
    <w:rsid w:val="004149B1"/>
    <w:rsid w:val="004E48D2"/>
    <w:rsid w:val="00543387"/>
    <w:rsid w:val="00765B5F"/>
    <w:rsid w:val="00A37852"/>
    <w:rsid w:val="00AC1EF4"/>
    <w:rsid w:val="00D1397D"/>
    <w:rsid w:val="00D33426"/>
    <w:rsid w:val="00D37C54"/>
    <w:rsid w:val="00D57AE4"/>
    <w:rsid w:val="00DC792A"/>
    <w:rsid w:val="00E912D8"/>
    <w:rsid w:val="00EC0FC3"/>
    <w:rsid w:val="00F24483"/>
    <w:rsid w:val="00F73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5AE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7852"/>
    <w:pPr>
      <w:autoSpaceDE w:val="0"/>
      <w:autoSpaceDN w:val="0"/>
      <w:adjustRightInd w:val="0"/>
      <w:spacing w:after="0"/>
    </w:pPr>
    <w:rPr>
      <w:rFonts w:ascii="Arial" w:eastAsia="Times New Roman" w:hAnsi="Arial" w:cs="Arial"/>
      <w:color w:val="000000"/>
    </w:rPr>
  </w:style>
  <w:style w:type="paragraph" w:styleId="FootnoteText">
    <w:name w:val="footnote text"/>
    <w:aliases w:val="Footnote Text Char1,Footnote Text Char Char"/>
    <w:basedOn w:val="Normal"/>
    <w:link w:val="FootnoteTextChar"/>
    <w:unhideWhenUsed/>
    <w:rsid w:val="00A37852"/>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rsid w:val="00A37852"/>
    <w:rPr>
      <w:sz w:val="20"/>
      <w:szCs w:val="20"/>
    </w:rPr>
  </w:style>
  <w:style w:type="character" w:styleId="FootnoteReference">
    <w:name w:val="footnote reference"/>
    <w:basedOn w:val="DefaultParagraphFont"/>
    <w:uiPriority w:val="99"/>
    <w:semiHidden/>
    <w:unhideWhenUsed/>
    <w:rsid w:val="00A37852"/>
    <w:rPr>
      <w:vertAlign w:val="superscript"/>
    </w:rPr>
  </w:style>
  <w:style w:type="paragraph" w:styleId="ListParagraph">
    <w:name w:val="List Paragraph"/>
    <w:basedOn w:val="Normal"/>
    <w:uiPriority w:val="34"/>
    <w:qFormat/>
    <w:rsid w:val="00A37852"/>
    <w:pPr>
      <w:ind w:left="720"/>
      <w:contextualSpacing/>
    </w:pPr>
  </w:style>
  <w:style w:type="character" w:styleId="Hyperlink">
    <w:name w:val="Hyperlink"/>
    <w:basedOn w:val="DefaultParagraphFont"/>
    <w:uiPriority w:val="99"/>
    <w:unhideWhenUsed/>
    <w:rsid w:val="00A37852"/>
    <w:rPr>
      <w:color w:val="0000FF" w:themeColor="hyperlink"/>
      <w:u w:val="single"/>
    </w:rPr>
  </w:style>
  <w:style w:type="character" w:styleId="CommentReference">
    <w:name w:val="annotation reference"/>
    <w:basedOn w:val="DefaultParagraphFont"/>
    <w:uiPriority w:val="99"/>
    <w:semiHidden/>
    <w:rsid w:val="00A37852"/>
    <w:rPr>
      <w:rFonts w:cs="Times New Roman"/>
      <w:sz w:val="16"/>
      <w:szCs w:val="16"/>
    </w:rPr>
  </w:style>
  <w:style w:type="paragraph" w:styleId="CommentText">
    <w:name w:val="annotation text"/>
    <w:basedOn w:val="Normal"/>
    <w:link w:val="CommentTextChar"/>
    <w:uiPriority w:val="99"/>
    <w:semiHidden/>
    <w:rsid w:val="00A37852"/>
    <w:rPr>
      <w:rFonts w:eastAsia="Calibri"/>
      <w:sz w:val="20"/>
      <w:szCs w:val="20"/>
    </w:rPr>
  </w:style>
  <w:style w:type="character" w:customStyle="1" w:styleId="CommentTextChar">
    <w:name w:val="Comment Text Char"/>
    <w:basedOn w:val="DefaultParagraphFont"/>
    <w:link w:val="CommentText"/>
    <w:uiPriority w:val="99"/>
    <w:semiHidden/>
    <w:rsid w:val="00A37852"/>
    <w:rPr>
      <w:rFonts w:eastAsia="Calibri"/>
      <w:sz w:val="20"/>
      <w:szCs w:val="20"/>
    </w:rPr>
  </w:style>
  <w:style w:type="paragraph" w:customStyle="1" w:styleId="Body">
    <w:name w:val="Body"/>
    <w:rsid w:val="00A37852"/>
    <w:pPr>
      <w:pBdr>
        <w:top w:val="nil"/>
        <w:left w:val="nil"/>
        <w:bottom w:val="nil"/>
        <w:right w:val="nil"/>
        <w:between w:val="nil"/>
        <w:bar w:val="nil"/>
      </w:pBdr>
      <w:spacing w:after="0"/>
    </w:pPr>
    <w:rPr>
      <w:rFonts w:ascii="Helvetica" w:eastAsia="Arial Unicode MS" w:hAnsi="Arial Unicode MS" w:cs="Arial Unicode MS"/>
      <w:color w:val="000000"/>
      <w:sz w:val="22"/>
      <w:szCs w:val="22"/>
      <w:bdr w:val="nil"/>
    </w:rPr>
  </w:style>
  <w:style w:type="paragraph" w:styleId="BalloonText">
    <w:name w:val="Balloon Text"/>
    <w:basedOn w:val="Normal"/>
    <w:link w:val="BalloonTextChar"/>
    <w:uiPriority w:val="99"/>
    <w:semiHidden/>
    <w:unhideWhenUsed/>
    <w:rsid w:val="00A378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852"/>
    <w:rPr>
      <w:rFonts w:ascii="Tahoma" w:hAnsi="Tahoma" w:cs="Tahoma"/>
      <w:sz w:val="16"/>
      <w:szCs w:val="16"/>
    </w:rPr>
  </w:style>
  <w:style w:type="paragraph" w:styleId="Footer">
    <w:name w:val="footer"/>
    <w:basedOn w:val="Normal"/>
    <w:link w:val="FooterChar"/>
    <w:uiPriority w:val="99"/>
    <w:unhideWhenUsed/>
    <w:rsid w:val="00F24483"/>
    <w:pPr>
      <w:tabs>
        <w:tab w:val="center" w:pos="4320"/>
        <w:tab w:val="right" w:pos="8640"/>
      </w:tabs>
      <w:spacing w:after="0"/>
    </w:pPr>
  </w:style>
  <w:style w:type="character" w:customStyle="1" w:styleId="FooterChar">
    <w:name w:val="Footer Char"/>
    <w:basedOn w:val="DefaultParagraphFont"/>
    <w:link w:val="Footer"/>
    <w:uiPriority w:val="99"/>
    <w:rsid w:val="00F24483"/>
  </w:style>
  <w:style w:type="character" w:styleId="PageNumber">
    <w:name w:val="page number"/>
    <w:basedOn w:val="DefaultParagraphFont"/>
    <w:uiPriority w:val="99"/>
    <w:semiHidden/>
    <w:unhideWhenUsed/>
    <w:rsid w:val="00F2448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7852"/>
    <w:pPr>
      <w:autoSpaceDE w:val="0"/>
      <w:autoSpaceDN w:val="0"/>
      <w:adjustRightInd w:val="0"/>
      <w:spacing w:after="0"/>
    </w:pPr>
    <w:rPr>
      <w:rFonts w:ascii="Arial" w:eastAsia="Times New Roman" w:hAnsi="Arial" w:cs="Arial"/>
      <w:color w:val="000000"/>
    </w:rPr>
  </w:style>
  <w:style w:type="paragraph" w:styleId="FootnoteText">
    <w:name w:val="footnote text"/>
    <w:aliases w:val="Footnote Text Char1,Footnote Text Char Char"/>
    <w:basedOn w:val="Normal"/>
    <w:link w:val="FootnoteTextChar"/>
    <w:unhideWhenUsed/>
    <w:rsid w:val="00A37852"/>
    <w:pPr>
      <w:spacing w:after="0"/>
    </w:pPr>
    <w:rPr>
      <w:sz w:val="20"/>
      <w:szCs w:val="20"/>
    </w:rPr>
  </w:style>
  <w:style w:type="character" w:customStyle="1" w:styleId="FootnoteTextChar">
    <w:name w:val="Footnote Text Char"/>
    <w:aliases w:val="Footnote Text Char1 Char,Footnote Text Char Char Char"/>
    <w:basedOn w:val="DefaultParagraphFont"/>
    <w:link w:val="FootnoteText"/>
    <w:rsid w:val="00A37852"/>
    <w:rPr>
      <w:sz w:val="20"/>
      <w:szCs w:val="20"/>
    </w:rPr>
  </w:style>
  <w:style w:type="character" w:styleId="FootnoteReference">
    <w:name w:val="footnote reference"/>
    <w:basedOn w:val="DefaultParagraphFont"/>
    <w:uiPriority w:val="99"/>
    <w:semiHidden/>
    <w:unhideWhenUsed/>
    <w:rsid w:val="00A37852"/>
    <w:rPr>
      <w:vertAlign w:val="superscript"/>
    </w:rPr>
  </w:style>
  <w:style w:type="paragraph" w:styleId="ListParagraph">
    <w:name w:val="List Paragraph"/>
    <w:basedOn w:val="Normal"/>
    <w:uiPriority w:val="34"/>
    <w:qFormat/>
    <w:rsid w:val="00A37852"/>
    <w:pPr>
      <w:ind w:left="720"/>
      <w:contextualSpacing/>
    </w:pPr>
  </w:style>
  <w:style w:type="character" w:styleId="Hyperlink">
    <w:name w:val="Hyperlink"/>
    <w:basedOn w:val="DefaultParagraphFont"/>
    <w:uiPriority w:val="99"/>
    <w:unhideWhenUsed/>
    <w:rsid w:val="00A37852"/>
    <w:rPr>
      <w:color w:val="0000FF" w:themeColor="hyperlink"/>
      <w:u w:val="single"/>
    </w:rPr>
  </w:style>
  <w:style w:type="character" w:styleId="CommentReference">
    <w:name w:val="annotation reference"/>
    <w:basedOn w:val="DefaultParagraphFont"/>
    <w:uiPriority w:val="99"/>
    <w:semiHidden/>
    <w:rsid w:val="00A37852"/>
    <w:rPr>
      <w:rFonts w:cs="Times New Roman"/>
      <w:sz w:val="16"/>
      <w:szCs w:val="16"/>
    </w:rPr>
  </w:style>
  <w:style w:type="paragraph" w:styleId="CommentText">
    <w:name w:val="annotation text"/>
    <w:basedOn w:val="Normal"/>
    <w:link w:val="CommentTextChar"/>
    <w:uiPriority w:val="99"/>
    <w:semiHidden/>
    <w:rsid w:val="00A37852"/>
    <w:rPr>
      <w:rFonts w:eastAsia="Calibri"/>
      <w:sz w:val="20"/>
      <w:szCs w:val="20"/>
    </w:rPr>
  </w:style>
  <w:style w:type="character" w:customStyle="1" w:styleId="CommentTextChar">
    <w:name w:val="Comment Text Char"/>
    <w:basedOn w:val="DefaultParagraphFont"/>
    <w:link w:val="CommentText"/>
    <w:uiPriority w:val="99"/>
    <w:semiHidden/>
    <w:rsid w:val="00A37852"/>
    <w:rPr>
      <w:rFonts w:eastAsia="Calibri"/>
      <w:sz w:val="20"/>
      <w:szCs w:val="20"/>
    </w:rPr>
  </w:style>
  <w:style w:type="paragraph" w:customStyle="1" w:styleId="Body">
    <w:name w:val="Body"/>
    <w:rsid w:val="00A37852"/>
    <w:pPr>
      <w:pBdr>
        <w:top w:val="nil"/>
        <w:left w:val="nil"/>
        <w:bottom w:val="nil"/>
        <w:right w:val="nil"/>
        <w:between w:val="nil"/>
        <w:bar w:val="nil"/>
      </w:pBdr>
      <w:spacing w:after="0"/>
    </w:pPr>
    <w:rPr>
      <w:rFonts w:ascii="Helvetica" w:eastAsia="Arial Unicode MS" w:hAnsi="Arial Unicode MS" w:cs="Arial Unicode MS"/>
      <w:color w:val="000000"/>
      <w:sz w:val="22"/>
      <w:szCs w:val="22"/>
      <w:bdr w:val="nil"/>
    </w:rPr>
  </w:style>
  <w:style w:type="paragraph" w:styleId="BalloonText">
    <w:name w:val="Balloon Text"/>
    <w:basedOn w:val="Normal"/>
    <w:link w:val="BalloonTextChar"/>
    <w:uiPriority w:val="99"/>
    <w:semiHidden/>
    <w:unhideWhenUsed/>
    <w:rsid w:val="00A378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852"/>
    <w:rPr>
      <w:rFonts w:ascii="Tahoma" w:hAnsi="Tahoma" w:cs="Tahoma"/>
      <w:sz w:val="16"/>
      <w:szCs w:val="16"/>
    </w:rPr>
  </w:style>
  <w:style w:type="paragraph" w:styleId="Footer">
    <w:name w:val="footer"/>
    <w:basedOn w:val="Normal"/>
    <w:link w:val="FooterChar"/>
    <w:uiPriority w:val="99"/>
    <w:unhideWhenUsed/>
    <w:rsid w:val="00F24483"/>
    <w:pPr>
      <w:tabs>
        <w:tab w:val="center" w:pos="4320"/>
        <w:tab w:val="right" w:pos="8640"/>
      </w:tabs>
      <w:spacing w:after="0"/>
    </w:pPr>
  </w:style>
  <w:style w:type="character" w:customStyle="1" w:styleId="FooterChar">
    <w:name w:val="Footer Char"/>
    <w:basedOn w:val="DefaultParagraphFont"/>
    <w:link w:val="Footer"/>
    <w:uiPriority w:val="99"/>
    <w:rsid w:val="00F24483"/>
  </w:style>
  <w:style w:type="character" w:styleId="PageNumber">
    <w:name w:val="page number"/>
    <w:basedOn w:val="DefaultParagraphFont"/>
    <w:uiPriority w:val="99"/>
    <w:semiHidden/>
    <w:unhideWhenUsed/>
    <w:rsid w:val="00F2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0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coe.int/t/dg4/highereducation/Recognition/DGIIEDUHE(2012)14%20Rev09%20FINAL%20-%20LRC%20Supplementary%20Text%20on%20the%20Use%20of%20QFs%20ENGLISH.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5F30038-4052-4178-B821-71B9DF52E700}"/>
</file>

<file path=customXml/itemProps2.xml><?xml version="1.0" encoding="utf-8"?>
<ds:datastoreItem xmlns:ds="http://schemas.openxmlformats.org/officeDocument/2006/customXml" ds:itemID="{1211EB66-2C50-49BA-A37D-A945EC483472}"/>
</file>

<file path=customXml/itemProps3.xml><?xml version="1.0" encoding="utf-8"?>
<ds:datastoreItem xmlns:ds="http://schemas.openxmlformats.org/officeDocument/2006/customXml" ds:itemID="{FB1DA755-E0D0-495F-ACE4-A88FE39CB666}"/>
</file>

<file path=docProps/app.xml><?xml version="1.0" encoding="utf-8"?>
<Properties xmlns="http://schemas.openxmlformats.org/officeDocument/2006/extended-properties" xmlns:vt="http://schemas.openxmlformats.org/officeDocument/2006/docPropsVTypes">
  <Template>Normal.dotm</Template>
  <TotalTime>123</TotalTime>
  <Pages>21</Pages>
  <Words>6099</Words>
  <Characters>34768</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Bologna 2</cp:lastModifiedBy>
  <cp:revision>13</cp:revision>
  <dcterms:created xsi:type="dcterms:W3CDTF">2013-11-14T07:06:00Z</dcterms:created>
  <dcterms:modified xsi:type="dcterms:W3CDTF">2013-11-20T11:57:00Z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