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BE7" w:rsidRDefault="006C3289" w:rsidP="000825DC">
      <w:pPr>
        <w:rPr>
          <w:rFonts w:ascii="Verdana" w:hAnsi="Verdana"/>
          <w:b/>
          <w:sz w:val="20"/>
          <w:lang w:val="en-GB"/>
        </w:rPr>
      </w:pPr>
      <w:r>
        <w:rPr>
          <w:rFonts w:ascii="Verdana" w:hAnsi="Verdana"/>
          <w:b/>
          <w:noProof/>
          <w:sz w:val="20"/>
          <w:lang w:val="ru-RU" w:eastAsia="ru-RU"/>
        </w:rPr>
        <w:pict>
          <v:group id="_x0000_s1032" style="position:absolute;left:0;text-align:left;margin-left:-44.2pt;margin-top:-64.95pt;width:530.65pt;height:87.6pt;z-index:1" coordorigin="443,118" coordsize="10613,17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9331;top:685;width:1725;height:1065;mso-position-horizontal-relative:margin;mso-position-vertical-relative:margin">
              <v:imagedata r:id="rId8" o:title="grb"/>
            </v:shape>
            <v:group id="_x0000_s1034" style="position:absolute;left:443;top:118;width:8648;height:1752" coordorigin="443,118" coordsize="8648,1752">
              <v:shape id="Picture 2" o:spid="_x0000_s1035" type="#_x0000_t75" alt="BP_mic" style="position:absolute;left:443;top:370;width:1080;height:1500;visibility:visible;mso-position-horizontal-relative:margin;mso-position-vertical-relative:margin">
                <v:imagedata r:id="rId9" o:title="BP_mic"/>
              </v:shape>
              <v:shape id="Picture 3" o:spid="_x0000_s1036" type="#_x0000_t75" style="position:absolute;left:1793;top:118;width:1749;height:1752;visibility:visible;mso-position-horizontal-relative:margin;mso-position-vertical-relative:margin">
                <v:imagedata r:id="rId10" o:title="Ehea_mic"/>
              </v:shape>
              <v:shape id="_x0000_s1037" type="#_x0000_t75" style="position:absolute;left:3797;top:736;width:2993;height:1059">
                <v:imagedata r:id="rId11" o:title="EUlogo_rgb_hires"/>
              </v:shape>
              <v:shape id="_x0000_s1038" type="#_x0000_t75" style="position:absolute;left:6903;top:736;width:2188;height:1110">
                <v:imagedata r:id="rId12" o:title="DES_Logo_jpeg"/>
              </v:shape>
            </v:group>
          </v:group>
        </w:pict>
      </w:r>
      <w:r w:rsidR="00791BE7">
        <w:rPr>
          <w:rFonts w:ascii="Verdana" w:hAnsi="Verdana"/>
          <w:b/>
          <w:sz w:val="20"/>
          <w:lang w:val="en-GB"/>
        </w:rPr>
        <w:tab/>
      </w:r>
      <w:r w:rsidR="00791BE7">
        <w:rPr>
          <w:rFonts w:ascii="Verdana" w:hAnsi="Verdana"/>
          <w:b/>
          <w:sz w:val="20"/>
          <w:lang w:val="en-GB"/>
        </w:rPr>
        <w:tab/>
      </w:r>
      <w:r w:rsidR="00791BE7">
        <w:rPr>
          <w:rFonts w:ascii="Verdana" w:hAnsi="Verdana"/>
          <w:b/>
          <w:sz w:val="20"/>
          <w:lang w:val="en-GB"/>
        </w:rPr>
        <w:tab/>
      </w:r>
      <w:r w:rsidR="00791BE7">
        <w:rPr>
          <w:rFonts w:ascii="Verdana" w:hAnsi="Verdana"/>
          <w:b/>
          <w:sz w:val="20"/>
          <w:lang w:val="en-GB"/>
        </w:rPr>
        <w:tab/>
      </w:r>
      <w:r w:rsidR="00791BE7">
        <w:rPr>
          <w:rFonts w:ascii="Verdana" w:hAnsi="Verdana"/>
          <w:b/>
          <w:sz w:val="20"/>
          <w:lang w:val="en-GB"/>
        </w:rPr>
        <w:tab/>
      </w:r>
      <w:r w:rsidR="00791BE7">
        <w:rPr>
          <w:rFonts w:ascii="Verdana" w:hAnsi="Verdana"/>
          <w:b/>
          <w:sz w:val="20"/>
          <w:lang w:val="en-GB"/>
        </w:rPr>
        <w:tab/>
      </w:r>
      <w:r w:rsidR="00791BE7">
        <w:rPr>
          <w:rFonts w:ascii="Verdana" w:hAnsi="Verdana"/>
          <w:b/>
          <w:sz w:val="20"/>
          <w:lang w:val="en-GB"/>
        </w:rPr>
        <w:tab/>
      </w:r>
      <w:r w:rsidR="00791BE7">
        <w:rPr>
          <w:rFonts w:ascii="Verdana" w:hAnsi="Verdana"/>
          <w:b/>
          <w:sz w:val="20"/>
          <w:lang w:val="en-GB"/>
        </w:rPr>
        <w:tab/>
      </w:r>
    </w:p>
    <w:p w:rsidR="00791BE7" w:rsidRDefault="00791BE7" w:rsidP="000825DC">
      <w:pPr>
        <w:rPr>
          <w:rFonts w:ascii="Verdana" w:hAnsi="Verdana"/>
          <w:b/>
          <w:sz w:val="20"/>
          <w:lang w:val="en-GB"/>
        </w:rPr>
      </w:pPr>
    </w:p>
    <w:p w:rsidR="00791BE7" w:rsidRDefault="00791BE7" w:rsidP="000825DC">
      <w:pPr>
        <w:rPr>
          <w:rFonts w:ascii="Verdana" w:hAnsi="Verdana"/>
          <w:b/>
          <w:sz w:val="20"/>
          <w:lang w:val="en-GB"/>
        </w:rPr>
      </w:pPr>
    </w:p>
    <w:p w:rsidR="00791BE7" w:rsidRDefault="00791BE7" w:rsidP="000825DC">
      <w:pPr>
        <w:rPr>
          <w:rFonts w:ascii="Verdana" w:hAnsi="Verdana"/>
          <w:b/>
          <w:sz w:val="20"/>
          <w:lang w:val="en-GB"/>
        </w:rPr>
      </w:pPr>
    </w:p>
    <w:p w:rsidR="00791BE7" w:rsidRPr="00F75D6A" w:rsidRDefault="00791BE7" w:rsidP="00A364FD">
      <w:pPr>
        <w:spacing w:line="288" w:lineRule="auto"/>
        <w:jc w:val="right"/>
        <w:rPr>
          <w:rFonts w:ascii="Verdana" w:hAnsi="Verdana"/>
          <w:i/>
          <w:sz w:val="20"/>
        </w:rPr>
      </w:pPr>
      <w:r w:rsidRPr="00F75D6A">
        <w:rPr>
          <w:rFonts w:ascii="Verdana" w:hAnsi="Verdana"/>
          <w:i/>
          <w:sz w:val="20"/>
          <w:lang w:val="en-GB"/>
        </w:rPr>
        <w:t xml:space="preserve">Doc. Code: </w:t>
      </w:r>
      <w:r w:rsidRPr="00F75D6A">
        <w:rPr>
          <w:rFonts w:ascii="Verdana" w:hAnsi="Verdana"/>
          <w:i/>
          <w:sz w:val="20"/>
        </w:rPr>
        <w:t>BFUG</w:t>
      </w:r>
      <w:r>
        <w:rPr>
          <w:rFonts w:ascii="Verdana" w:hAnsi="Verdana"/>
          <w:i/>
          <w:sz w:val="20"/>
        </w:rPr>
        <w:t>_IE_HR_35</w:t>
      </w:r>
      <w:r w:rsidRPr="00F75D6A">
        <w:rPr>
          <w:rFonts w:ascii="Verdana" w:hAnsi="Verdana"/>
          <w:i/>
          <w:sz w:val="20"/>
        </w:rPr>
        <w:t>_</w:t>
      </w:r>
      <w:r>
        <w:rPr>
          <w:rFonts w:ascii="Verdana" w:hAnsi="Verdana"/>
          <w:i/>
          <w:sz w:val="20"/>
        </w:rPr>
        <w:t>4.2.b_Annex4</w:t>
      </w:r>
    </w:p>
    <w:p w:rsidR="00791BE7" w:rsidRDefault="00791BE7" w:rsidP="00861316">
      <w:pPr>
        <w:rPr>
          <w:rFonts w:ascii="Verdana" w:hAnsi="Verdana"/>
          <w:b/>
          <w:sz w:val="20"/>
          <w:lang w:val="en-GB"/>
        </w:rPr>
      </w:pPr>
    </w:p>
    <w:p w:rsidR="00791BE7" w:rsidRDefault="00791BE7" w:rsidP="000825DC">
      <w:pPr>
        <w:rPr>
          <w:rFonts w:ascii="Verdana" w:hAnsi="Verdana"/>
          <w:b/>
          <w:sz w:val="20"/>
          <w:lang w:val="en-GB"/>
        </w:rPr>
      </w:pPr>
    </w:p>
    <w:p w:rsidR="00791BE7" w:rsidRPr="0037404D" w:rsidRDefault="00791BE7" w:rsidP="00272A78">
      <w:pPr>
        <w:jc w:val="center"/>
        <w:rPr>
          <w:rFonts w:ascii="Verdana" w:hAnsi="Verdana"/>
          <w:b/>
          <w:sz w:val="20"/>
          <w:lang w:val="en-GB"/>
        </w:rPr>
      </w:pPr>
      <w:r w:rsidRPr="0037404D">
        <w:rPr>
          <w:rFonts w:ascii="Verdana" w:hAnsi="Verdana"/>
          <w:b/>
          <w:sz w:val="20"/>
          <w:lang w:val="en-GB"/>
        </w:rPr>
        <w:t xml:space="preserve">Terms of </w:t>
      </w:r>
      <w:r>
        <w:rPr>
          <w:rFonts w:ascii="Verdana" w:hAnsi="Verdana"/>
          <w:b/>
          <w:sz w:val="20"/>
          <w:lang w:val="en-GB"/>
        </w:rPr>
        <w:t>R</w:t>
      </w:r>
      <w:r w:rsidRPr="0037404D">
        <w:rPr>
          <w:rFonts w:ascii="Verdana" w:hAnsi="Verdana"/>
          <w:b/>
          <w:sz w:val="20"/>
          <w:lang w:val="en-GB"/>
        </w:rPr>
        <w:t xml:space="preserve">eference </w:t>
      </w:r>
    </w:p>
    <w:p w:rsidR="00791BE7" w:rsidRPr="00E532AE" w:rsidRDefault="00791BE7" w:rsidP="00272A78">
      <w:pPr>
        <w:jc w:val="center"/>
        <w:rPr>
          <w:rFonts w:ascii="Verdana" w:hAnsi="Verdana"/>
          <w:b/>
          <w:sz w:val="20"/>
          <w:lang w:val="en-GB"/>
        </w:rPr>
      </w:pPr>
      <w:r w:rsidRPr="00771BD4">
        <w:rPr>
          <w:rFonts w:ascii="Verdana" w:hAnsi="Verdana"/>
          <w:b/>
          <w:sz w:val="20"/>
          <w:lang w:val="en-GB"/>
        </w:rPr>
        <w:t>on</w:t>
      </w:r>
    </w:p>
    <w:tbl>
      <w:tblPr>
        <w:tblW w:w="9540" w:type="dxa"/>
        <w:tblInd w:w="-106" w:type="dxa"/>
        <w:tblLook w:val="01E0" w:firstRow="1" w:lastRow="1" w:firstColumn="1" w:lastColumn="1" w:noHBand="0" w:noVBand="0"/>
      </w:tblPr>
      <w:tblGrid>
        <w:gridCol w:w="9540"/>
      </w:tblGrid>
      <w:tr w:rsidR="00791BE7" w:rsidRPr="00EC2AAC">
        <w:trPr>
          <w:trHeight w:val="362"/>
        </w:trPr>
        <w:tc>
          <w:tcPr>
            <w:tcW w:w="9540" w:type="dxa"/>
          </w:tcPr>
          <w:p w:rsidR="00791BE7" w:rsidRPr="006D059D" w:rsidRDefault="00791BE7" w:rsidP="00272A78">
            <w:pPr>
              <w:jc w:val="center"/>
              <w:rPr>
                <w:rFonts w:ascii="Verdana" w:hAnsi="Verdana"/>
                <w:b/>
                <w:sz w:val="20"/>
                <w:lang w:val="en-GB"/>
              </w:rPr>
            </w:pPr>
            <w:r>
              <w:rPr>
                <w:rFonts w:ascii="Verdana" w:hAnsi="Verdana"/>
                <w:b/>
                <w:sz w:val="20"/>
                <w:lang w:val="en-GB"/>
              </w:rPr>
              <w:t>Recognition of Prior Learning Network</w:t>
            </w:r>
          </w:p>
        </w:tc>
      </w:tr>
      <w:tr w:rsidR="00791BE7" w:rsidRPr="00EC2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760"/>
        </w:trPr>
        <w:tc>
          <w:tcPr>
            <w:tcW w:w="9540" w:type="dxa"/>
          </w:tcPr>
          <w:p w:rsidR="00791BE7" w:rsidRDefault="00791BE7" w:rsidP="0052793D">
            <w:pPr>
              <w:spacing w:after="120"/>
              <w:rPr>
                <w:rFonts w:ascii="Verdana" w:hAnsi="Verdana"/>
                <w:sz w:val="20"/>
                <w:lang w:val="en-GB"/>
              </w:rPr>
            </w:pPr>
            <w:r w:rsidRPr="00A85FAF">
              <w:rPr>
                <w:rFonts w:ascii="Verdana" w:hAnsi="Verdana"/>
                <w:b/>
                <w:sz w:val="20"/>
                <w:lang w:val="en-GB"/>
              </w:rPr>
              <w:t xml:space="preserve">Contact persons </w:t>
            </w:r>
          </w:p>
          <w:p w:rsidR="00791BE7" w:rsidRPr="00F743C5" w:rsidRDefault="00791BE7" w:rsidP="0052793D">
            <w:pPr>
              <w:spacing w:after="120"/>
              <w:rPr>
                <w:rStyle w:val="Hyperlink"/>
                <w:rFonts w:ascii="Verdana" w:hAnsi="Verdana"/>
                <w:color w:val="auto"/>
                <w:sz w:val="20"/>
                <w:lang w:val="en-GB"/>
              </w:rPr>
            </w:pPr>
            <w:r w:rsidRPr="00771BD4">
              <w:rPr>
                <w:rFonts w:ascii="Verdana" w:hAnsi="Verdana"/>
                <w:b/>
                <w:sz w:val="20"/>
                <w:lang w:val="en-GB"/>
              </w:rPr>
              <w:t xml:space="preserve">Raul Ranne </w:t>
            </w:r>
            <w:r>
              <w:rPr>
                <w:rFonts w:ascii="Verdana" w:hAnsi="Verdana"/>
                <w:b/>
                <w:sz w:val="20"/>
                <w:lang w:val="en-GB"/>
              </w:rPr>
              <w:t>(</w:t>
            </w:r>
            <w:r w:rsidRPr="00771BD4">
              <w:rPr>
                <w:rFonts w:ascii="Verdana" w:hAnsi="Verdana"/>
                <w:b/>
                <w:sz w:val="20"/>
                <w:lang w:val="en-GB"/>
              </w:rPr>
              <w:t>Estonia</w:t>
            </w:r>
            <w:r>
              <w:rPr>
                <w:rFonts w:ascii="Verdana" w:hAnsi="Verdana"/>
                <w:b/>
                <w:sz w:val="20"/>
                <w:lang w:val="en-GB"/>
              </w:rPr>
              <w:t>)</w:t>
            </w:r>
            <w:r w:rsidRPr="00771BD4">
              <w:rPr>
                <w:rFonts w:ascii="Verdana" w:hAnsi="Verdana"/>
                <w:b/>
                <w:sz w:val="20"/>
                <w:lang w:val="en-GB"/>
              </w:rPr>
              <w:t>, Archimedes Foundation</w:t>
            </w:r>
            <w:hyperlink r:id="rId13" w:history="1">
              <w:r w:rsidRPr="00771BD4">
                <w:rPr>
                  <w:rStyle w:val="Hyperlink"/>
                  <w:rFonts w:ascii="Verdana" w:hAnsi="Verdana"/>
                  <w:color w:val="auto"/>
                  <w:sz w:val="20"/>
                  <w:u w:val="none"/>
                  <w:lang w:val="en-GB"/>
                </w:rPr>
                <w:t>-</w:t>
              </w:r>
              <w:r w:rsidRPr="00A85FAF">
                <w:rPr>
                  <w:rFonts w:ascii="Verdana" w:hAnsi="Verdana"/>
                  <w:b/>
                  <w:sz w:val="20"/>
                  <w:lang w:val="en-GB"/>
                </w:rPr>
                <w:t>Chair</w:t>
              </w:r>
            </w:hyperlink>
          </w:p>
          <w:p w:rsidR="00791BE7" w:rsidRDefault="00791BE7" w:rsidP="0052793D">
            <w:pPr>
              <w:spacing w:after="120"/>
              <w:rPr>
                <w:rStyle w:val="Hyperlink"/>
                <w:rFonts w:ascii="Verdana" w:hAnsi="Verdana"/>
                <w:b/>
                <w:color w:val="auto"/>
                <w:sz w:val="20"/>
                <w:u w:val="none"/>
                <w:lang w:val="en-GB"/>
              </w:rPr>
            </w:pPr>
            <w:r w:rsidRPr="00771BD4">
              <w:rPr>
                <w:rStyle w:val="Hyperlink"/>
                <w:rFonts w:ascii="Verdana" w:hAnsi="Verdana"/>
                <w:b/>
                <w:color w:val="auto"/>
                <w:sz w:val="20"/>
                <w:u w:val="none"/>
                <w:lang w:val="en-GB"/>
              </w:rPr>
              <w:t>Heather Gibson</w:t>
            </w:r>
            <w:r>
              <w:rPr>
                <w:rStyle w:val="Hyperlink"/>
                <w:rFonts w:ascii="Verdana" w:hAnsi="Verdana"/>
                <w:b/>
                <w:color w:val="auto"/>
                <w:sz w:val="20"/>
                <w:u w:val="none"/>
                <w:lang w:val="en-GB"/>
              </w:rPr>
              <w:t>(Scotland)</w:t>
            </w:r>
          </w:p>
          <w:p w:rsidR="00791BE7" w:rsidRPr="00E532AE" w:rsidRDefault="00791BE7" w:rsidP="0052793D">
            <w:pPr>
              <w:spacing w:after="120"/>
              <w:rPr>
                <w:rStyle w:val="Hyperlink"/>
                <w:rFonts w:ascii="Verdana" w:hAnsi="Verdana"/>
                <w:b/>
                <w:color w:val="auto"/>
                <w:sz w:val="20"/>
                <w:u w:val="none"/>
                <w:lang w:val="en-GB"/>
              </w:rPr>
            </w:pPr>
            <w:r w:rsidRPr="00E532AE">
              <w:rPr>
                <w:rStyle w:val="Hyperlink"/>
                <w:rFonts w:ascii="Verdana" w:hAnsi="Verdana"/>
                <w:b/>
                <w:color w:val="auto"/>
                <w:sz w:val="20"/>
                <w:u w:val="none"/>
                <w:lang w:val="en-GB"/>
              </w:rPr>
              <w:t>Ruth Whittaker</w:t>
            </w:r>
            <w:r>
              <w:rPr>
                <w:rStyle w:val="Hyperlink"/>
                <w:rFonts w:ascii="Verdana" w:hAnsi="Verdana"/>
                <w:b/>
                <w:color w:val="auto"/>
                <w:sz w:val="20"/>
                <w:u w:val="none"/>
                <w:lang w:val="en-GB"/>
              </w:rPr>
              <w:t>(Scotland)</w:t>
            </w:r>
          </w:p>
          <w:p w:rsidR="00791BE7" w:rsidRDefault="00791BE7" w:rsidP="00530525">
            <w:pPr>
              <w:spacing w:after="120"/>
              <w:rPr>
                <w:rFonts w:ascii="Verdana" w:hAnsi="Verdana"/>
                <w:b/>
                <w:sz w:val="20"/>
                <w:lang w:val="en-GB"/>
              </w:rPr>
            </w:pPr>
            <w:r>
              <w:rPr>
                <w:rFonts w:ascii="Verdana" w:hAnsi="Verdana"/>
                <w:sz w:val="20"/>
                <w:lang w:val="en-GB"/>
              </w:rPr>
              <w:t xml:space="preserve">The network is coordinated by </w:t>
            </w:r>
            <w:r w:rsidRPr="006377D9">
              <w:rPr>
                <w:rFonts w:ascii="Verdana" w:hAnsi="Verdana"/>
                <w:sz w:val="20"/>
                <w:lang w:val="en-GB"/>
              </w:rPr>
              <w:t xml:space="preserve">a </w:t>
            </w:r>
            <w:r w:rsidRPr="00CF610F">
              <w:rPr>
                <w:rFonts w:ascii="Verdana" w:hAnsi="Verdana"/>
                <w:sz w:val="20"/>
                <w:lang w:val="en-GB"/>
              </w:rPr>
              <w:t>steering group, currently consisting of members from Estonia and Scotland</w:t>
            </w:r>
            <w:r w:rsidRPr="006377D9">
              <w:rPr>
                <w:rFonts w:ascii="Verdana" w:hAnsi="Verdana"/>
                <w:sz w:val="20"/>
                <w:lang w:val="en-GB"/>
              </w:rPr>
              <w:t>.</w:t>
            </w:r>
            <w:r>
              <w:rPr>
                <w:rFonts w:ascii="Verdana" w:hAnsi="Verdana"/>
                <w:sz w:val="20"/>
                <w:lang w:val="en-GB"/>
              </w:rPr>
              <w:t xml:space="preserve"> Meetings of this group constitute the formal mechanism for planning the activities of the network.</w:t>
            </w:r>
          </w:p>
          <w:p w:rsidR="00791BE7" w:rsidRPr="00A85FAF" w:rsidRDefault="00791BE7" w:rsidP="0052793D">
            <w:pPr>
              <w:spacing w:after="120"/>
              <w:rPr>
                <w:rFonts w:ascii="Verdana" w:hAnsi="Verdana"/>
                <w:sz w:val="20"/>
                <w:lang w:val="en-GB"/>
              </w:rPr>
            </w:pPr>
          </w:p>
        </w:tc>
      </w:tr>
      <w:tr w:rsidR="00791BE7" w:rsidRPr="00EC2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1084"/>
        </w:trPr>
        <w:tc>
          <w:tcPr>
            <w:tcW w:w="9540" w:type="dxa"/>
          </w:tcPr>
          <w:p w:rsidR="00791BE7" w:rsidRPr="00A85FAF" w:rsidRDefault="00791BE7" w:rsidP="0052793D">
            <w:pPr>
              <w:keepNext/>
              <w:spacing w:before="240" w:after="60"/>
              <w:rPr>
                <w:rFonts w:ascii="Verdana" w:hAnsi="Verdana"/>
                <w:b/>
                <w:sz w:val="20"/>
                <w:lang w:val="en-GB"/>
              </w:rPr>
            </w:pPr>
            <w:r w:rsidRPr="00A85FAF">
              <w:rPr>
                <w:rFonts w:ascii="Verdana" w:hAnsi="Verdana"/>
                <w:b/>
                <w:sz w:val="20"/>
                <w:lang w:val="en-GB"/>
              </w:rPr>
              <w:t xml:space="preserve">Composition </w:t>
            </w:r>
          </w:p>
          <w:p w:rsidR="00791BE7" w:rsidRDefault="00791BE7" w:rsidP="0052793D">
            <w:pPr>
              <w:rPr>
                <w:rFonts w:ascii="Verdana" w:hAnsi="Verdana"/>
                <w:sz w:val="20"/>
                <w:lang w:val="en-GB"/>
              </w:rPr>
            </w:pPr>
            <w:r>
              <w:rPr>
                <w:rFonts w:ascii="Verdana" w:hAnsi="Verdana"/>
                <w:sz w:val="20"/>
                <w:lang w:val="en-GB"/>
              </w:rPr>
              <w:t xml:space="preserve">The Network consists of 44 members representing 24 EHEA countries and 20 organisations. </w:t>
            </w:r>
          </w:p>
          <w:p w:rsidR="00791BE7" w:rsidRDefault="00791BE7" w:rsidP="0052793D">
            <w:pPr>
              <w:rPr>
                <w:rFonts w:ascii="Verdana" w:hAnsi="Verdana"/>
                <w:sz w:val="20"/>
                <w:lang w:val="en-GB"/>
              </w:rPr>
            </w:pPr>
          </w:p>
          <w:p w:rsidR="00791BE7" w:rsidRPr="00A85FAF" w:rsidRDefault="00791BE7" w:rsidP="0052793D">
            <w:pPr>
              <w:rPr>
                <w:rFonts w:ascii="Verdana" w:hAnsi="Verdana"/>
                <w:sz w:val="20"/>
                <w:lang w:val="en-GB"/>
              </w:rPr>
            </w:pPr>
          </w:p>
        </w:tc>
      </w:tr>
      <w:tr w:rsidR="00791BE7" w:rsidRPr="007763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844"/>
        </w:trPr>
        <w:tc>
          <w:tcPr>
            <w:tcW w:w="9540" w:type="dxa"/>
          </w:tcPr>
          <w:p w:rsidR="00791BE7" w:rsidRPr="006D059D" w:rsidRDefault="00791BE7" w:rsidP="0052793D">
            <w:pPr>
              <w:spacing w:after="120"/>
              <w:rPr>
                <w:rFonts w:ascii="Verdana" w:hAnsi="Verdana"/>
                <w:b/>
                <w:sz w:val="20"/>
                <w:lang w:val="en-GB"/>
              </w:rPr>
            </w:pPr>
            <w:r w:rsidRPr="006D059D">
              <w:rPr>
                <w:rFonts w:ascii="Verdana" w:hAnsi="Verdana"/>
                <w:b/>
                <w:sz w:val="20"/>
                <w:lang w:val="en-GB"/>
              </w:rPr>
              <w:t xml:space="preserve">Purpose and/or outcome </w:t>
            </w:r>
          </w:p>
          <w:p w:rsidR="00791BE7" w:rsidRPr="005E1F88" w:rsidRDefault="00791BE7" w:rsidP="000825DC">
            <w:pPr>
              <w:numPr>
                <w:ilvl w:val="0"/>
                <w:numId w:val="1"/>
              </w:numPr>
              <w:tabs>
                <w:tab w:val="left" w:pos="5280"/>
              </w:tabs>
              <w:spacing w:after="60"/>
              <w:rPr>
                <w:rFonts w:ascii="Verdana" w:hAnsi="Verdana"/>
                <w:sz w:val="20"/>
                <w:lang w:val="en-GB"/>
              </w:rPr>
            </w:pPr>
            <w:r>
              <w:rPr>
                <w:rFonts w:ascii="Verdana" w:hAnsi="Verdana" w:cs="Arial"/>
                <w:sz w:val="20"/>
                <w:lang w:val="en-GB"/>
              </w:rPr>
              <w:t xml:space="preserve">To help promote and inform the effective </w:t>
            </w:r>
            <w:r w:rsidR="00861316">
              <w:rPr>
                <w:rFonts w:ascii="Verdana" w:hAnsi="Verdana" w:cs="Arial"/>
                <w:sz w:val="20"/>
                <w:lang w:val="en-GB"/>
              </w:rPr>
              <w:t xml:space="preserve">use and practice of RPL across </w:t>
            </w:r>
            <w:bookmarkStart w:id="0" w:name="_GoBack"/>
            <w:bookmarkEnd w:id="0"/>
            <w:r>
              <w:rPr>
                <w:rFonts w:ascii="Verdana" w:hAnsi="Verdana" w:cs="Arial"/>
                <w:sz w:val="20"/>
                <w:lang w:val="en-GB"/>
              </w:rPr>
              <w:t xml:space="preserve">the EHEA member countries. </w:t>
            </w:r>
          </w:p>
          <w:p w:rsidR="00791BE7" w:rsidRPr="006C3DDF" w:rsidRDefault="00791BE7" w:rsidP="000825DC">
            <w:pPr>
              <w:numPr>
                <w:ilvl w:val="0"/>
                <w:numId w:val="1"/>
              </w:numPr>
              <w:tabs>
                <w:tab w:val="left" w:pos="5280"/>
              </w:tabs>
              <w:spacing w:after="60"/>
              <w:rPr>
                <w:rFonts w:ascii="Verdana" w:hAnsi="Verdana"/>
                <w:sz w:val="20"/>
                <w:lang w:val="en-GB"/>
              </w:rPr>
            </w:pPr>
            <w:r w:rsidRPr="006C3DDF">
              <w:rPr>
                <w:rFonts w:ascii="Verdana" w:hAnsi="Verdana" w:cs="Arial"/>
                <w:sz w:val="20"/>
                <w:lang w:val="en-GB"/>
              </w:rPr>
              <w:t xml:space="preserve">To </w:t>
            </w:r>
            <w:r>
              <w:rPr>
                <w:rFonts w:ascii="Verdana" w:hAnsi="Verdana" w:cs="Arial"/>
                <w:sz w:val="20"/>
                <w:lang w:val="en-GB"/>
              </w:rPr>
              <w:t xml:space="preserve">provide a means for member countries to </w:t>
            </w:r>
            <w:r w:rsidRPr="006C3DDF">
              <w:rPr>
                <w:rFonts w:ascii="Verdana" w:hAnsi="Verdana" w:cs="Arial"/>
                <w:sz w:val="20"/>
                <w:lang w:val="en-GB"/>
              </w:rPr>
              <w:t xml:space="preserve">share and learn from </w:t>
            </w:r>
            <w:r>
              <w:rPr>
                <w:rFonts w:ascii="Verdana" w:hAnsi="Verdana" w:cs="Arial"/>
                <w:sz w:val="20"/>
                <w:lang w:val="en-GB"/>
              </w:rPr>
              <w:t xml:space="preserve">policies and </w:t>
            </w:r>
            <w:r w:rsidRPr="006C3DDF">
              <w:rPr>
                <w:rFonts w:ascii="Verdana" w:hAnsi="Verdana" w:cs="Arial"/>
                <w:sz w:val="20"/>
                <w:lang w:val="en-GB"/>
              </w:rPr>
              <w:t>practice across</w:t>
            </w:r>
            <w:r>
              <w:rPr>
                <w:rFonts w:ascii="Verdana" w:hAnsi="Verdana" w:cs="Arial"/>
                <w:sz w:val="20"/>
                <w:lang w:val="en-GB"/>
              </w:rPr>
              <w:t xml:space="preserve"> wider</w:t>
            </w:r>
            <w:r w:rsidRPr="006C3DDF">
              <w:rPr>
                <w:rFonts w:ascii="Verdana" w:hAnsi="Verdana" w:cs="Arial"/>
                <w:sz w:val="20"/>
                <w:lang w:val="en-GB"/>
              </w:rPr>
              <w:t xml:space="preserve"> Europe in relation to RPL development</w:t>
            </w:r>
            <w:r>
              <w:rPr>
                <w:rFonts w:ascii="Verdana" w:hAnsi="Verdana" w:cs="Arial"/>
                <w:sz w:val="20"/>
                <w:lang w:val="en-GB"/>
              </w:rPr>
              <w:t>.</w:t>
            </w:r>
          </w:p>
          <w:p w:rsidR="00791BE7" w:rsidRPr="00736FF0" w:rsidRDefault="00791BE7" w:rsidP="000825DC">
            <w:pPr>
              <w:numPr>
                <w:ilvl w:val="0"/>
                <w:numId w:val="1"/>
              </w:numPr>
              <w:tabs>
                <w:tab w:val="left" w:pos="5280"/>
              </w:tabs>
              <w:spacing w:after="60"/>
              <w:rPr>
                <w:rFonts w:ascii="Verdana" w:hAnsi="Verdana"/>
                <w:sz w:val="20"/>
                <w:lang w:val="en-GB"/>
              </w:rPr>
            </w:pPr>
            <w:r>
              <w:rPr>
                <w:rFonts w:ascii="Verdana" w:hAnsi="Verdana" w:cs="Arial"/>
                <w:sz w:val="20"/>
                <w:lang w:val="en-GB"/>
              </w:rPr>
              <w:t>To build links between EHEA countries at various stages in RPL development.</w:t>
            </w:r>
          </w:p>
          <w:p w:rsidR="00791BE7" w:rsidRPr="006D059D" w:rsidRDefault="00791BE7" w:rsidP="0052793D">
            <w:pPr>
              <w:tabs>
                <w:tab w:val="left" w:pos="5280"/>
              </w:tabs>
              <w:spacing w:after="60"/>
              <w:rPr>
                <w:rFonts w:ascii="Verdana" w:hAnsi="Verdana"/>
                <w:sz w:val="20"/>
                <w:lang w:val="en-GB"/>
              </w:rPr>
            </w:pPr>
          </w:p>
        </w:tc>
      </w:tr>
      <w:tr w:rsidR="00791BE7" w:rsidRPr="006D05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740"/>
        </w:trPr>
        <w:tc>
          <w:tcPr>
            <w:tcW w:w="9540" w:type="dxa"/>
          </w:tcPr>
          <w:p w:rsidR="00791BE7" w:rsidRPr="006D059D" w:rsidRDefault="00791BE7" w:rsidP="00842A5A">
            <w:pPr>
              <w:spacing w:after="120"/>
              <w:rPr>
                <w:rFonts w:ascii="Verdana" w:hAnsi="Verdana"/>
                <w:sz w:val="20"/>
                <w:lang w:val="en-GB"/>
              </w:rPr>
            </w:pPr>
            <w:r w:rsidRPr="007763AC">
              <w:rPr>
                <w:rFonts w:ascii="Verdana" w:hAnsi="Verdana"/>
                <w:b/>
                <w:sz w:val="20"/>
                <w:lang w:val="en-GB"/>
              </w:rPr>
              <w:t>References</w:t>
            </w:r>
            <w:r w:rsidRPr="006D059D">
              <w:rPr>
                <w:rFonts w:ascii="Verdana" w:hAnsi="Verdana"/>
                <w:b/>
                <w:sz w:val="20"/>
                <w:lang w:val="fr-FR"/>
              </w:rPr>
              <w:t xml:space="preserve"> to the</w:t>
            </w:r>
            <w:r w:rsidRPr="00EC2AAC">
              <w:rPr>
                <w:rFonts w:ascii="Verdana" w:hAnsi="Verdana"/>
                <w:b/>
                <w:sz w:val="20"/>
                <w:lang w:val="fr-FR"/>
              </w:rPr>
              <w:t xml:space="preserve"> Leuven</w:t>
            </w:r>
            <w:r w:rsidRPr="006D059D">
              <w:rPr>
                <w:rFonts w:ascii="Verdana" w:hAnsi="Verdana"/>
                <w:b/>
                <w:sz w:val="20"/>
                <w:lang w:val="fr-FR"/>
              </w:rPr>
              <w:t xml:space="preserve">/Louvain-la-Neuve Communiqué </w:t>
            </w:r>
            <w:r w:rsidRPr="006D059D">
              <w:rPr>
                <w:rFonts w:ascii="Verdana" w:hAnsi="Verdana"/>
                <w:sz w:val="20"/>
                <w:lang w:val="en-GB"/>
              </w:rPr>
              <w:t xml:space="preserve">Paragraphs </w:t>
            </w:r>
            <w:r>
              <w:rPr>
                <w:rFonts w:ascii="Verdana" w:hAnsi="Verdana"/>
                <w:sz w:val="20"/>
                <w:lang w:val="en-GB"/>
              </w:rPr>
              <w:t>9, 10, 11, 13.</w:t>
            </w:r>
          </w:p>
        </w:tc>
      </w:tr>
      <w:tr w:rsidR="00791BE7" w:rsidRPr="00EC2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844"/>
        </w:trPr>
        <w:tc>
          <w:tcPr>
            <w:tcW w:w="9540" w:type="dxa"/>
          </w:tcPr>
          <w:p w:rsidR="00791BE7" w:rsidRDefault="00791BE7" w:rsidP="0052793D">
            <w:pPr>
              <w:rPr>
                <w:rFonts w:ascii="Verdana" w:hAnsi="Verdana"/>
                <w:b/>
                <w:sz w:val="20"/>
                <w:lang w:val="en-GB"/>
              </w:rPr>
            </w:pPr>
            <w:r w:rsidRPr="006D059D">
              <w:rPr>
                <w:rFonts w:ascii="Verdana" w:hAnsi="Verdana"/>
                <w:b/>
                <w:sz w:val="20"/>
                <w:lang w:val="en-GB"/>
              </w:rPr>
              <w:t xml:space="preserve">Specific tasks </w:t>
            </w:r>
          </w:p>
          <w:p w:rsidR="00791BE7" w:rsidRPr="006D059D" w:rsidRDefault="00791BE7" w:rsidP="0052793D">
            <w:pPr>
              <w:rPr>
                <w:rFonts w:ascii="Verdana" w:hAnsi="Verdana"/>
                <w:b/>
                <w:sz w:val="20"/>
                <w:lang w:val="en-GB"/>
              </w:rPr>
            </w:pPr>
          </w:p>
          <w:p w:rsidR="00791BE7" w:rsidRPr="00EC2AAC" w:rsidRDefault="00791BE7" w:rsidP="000825DC">
            <w:pPr>
              <w:numPr>
                <w:ilvl w:val="0"/>
                <w:numId w:val="1"/>
              </w:numPr>
              <w:tabs>
                <w:tab w:val="left" w:pos="5280"/>
              </w:tabs>
              <w:spacing w:after="60"/>
              <w:rPr>
                <w:rFonts w:ascii="Arial" w:hAnsi="Arial" w:cs="Arial"/>
                <w:b/>
                <w:i/>
                <w:color w:val="000000"/>
                <w:sz w:val="18"/>
                <w:szCs w:val="18"/>
                <w:lang w:val="en-GB"/>
              </w:rPr>
            </w:pPr>
            <w:r w:rsidRPr="00756E0A">
              <w:rPr>
                <w:rFonts w:ascii="Verdana" w:hAnsi="Verdana"/>
                <w:sz w:val="20"/>
                <w:lang w:val="en-GB"/>
              </w:rPr>
              <w:t xml:space="preserve">To work within this definition of RPL: </w:t>
            </w:r>
            <w:r w:rsidRPr="00EC2AAC">
              <w:rPr>
                <w:rFonts w:ascii="Calibri" w:hAnsi="Calibri" w:cs="Arial"/>
                <w:b/>
                <w:i/>
                <w:color w:val="000000"/>
                <w:lang w:val="en-GB"/>
              </w:rPr>
              <w:t>RPL is the process for recognising previous learning that has taken place in informal, formal or non-formal contexts: for example, in the workplace and through life experiences. Once recognised through this process, prior learning can be used to gain credit or exemption for qualifications, and/or for personal and career development</w:t>
            </w:r>
            <w:r>
              <w:rPr>
                <w:rFonts w:ascii="Calibri" w:hAnsi="Calibri" w:cs="Arial"/>
                <w:b/>
                <w:i/>
                <w:color w:val="000000"/>
                <w:lang w:val="en-GB"/>
              </w:rPr>
              <w:t>.</w:t>
            </w:r>
          </w:p>
          <w:p w:rsidR="00791BE7" w:rsidRDefault="00791BE7" w:rsidP="000825DC">
            <w:pPr>
              <w:numPr>
                <w:ilvl w:val="0"/>
                <w:numId w:val="1"/>
              </w:numPr>
              <w:tabs>
                <w:tab w:val="left" w:pos="5280"/>
              </w:tabs>
              <w:spacing w:after="60"/>
              <w:rPr>
                <w:rFonts w:ascii="Verdana" w:hAnsi="Verdana"/>
                <w:sz w:val="20"/>
                <w:lang w:val="en-GB"/>
              </w:rPr>
            </w:pPr>
            <w:r>
              <w:rPr>
                <w:rFonts w:ascii="Verdana" w:hAnsi="Verdana"/>
                <w:sz w:val="20"/>
                <w:lang w:val="en-GB"/>
              </w:rPr>
              <w:t>To build upon the existing evidence base provided by CEDEFOP and OBSERVAL through the collation of evidence on the use and impact of RPL in the Bologna countries, and through considering how cross-border RPL might be fostered.</w:t>
            </w:r>
          </w:p>
          <w:p w:rsidR="00791BE7" w:rsidRDefault="00791BE7" w:rsidP="000825DC">
            <w:pPr>
              <w:numPr>
                <w:ilvl w:val="0"/>
                <w:numId w:val="1"/>
              </w:numPr>
              <w:tabs>
                <w:tab w:val="left" w:pos="5280"/>
              </w:tabs>
              <w:spacing w:after="60"/>
              <w:rPr>
                <w:rFonts w:ascii="Verdana" w:hAnsi="Verdana"/>
                <w:sz w:val="20"/>
                <w:lang w:val="en-GB"/>
              </w:rPr>
            </w:pPr>
            <w:r>
              <w:rPr>
                <w:rFonts w:ascii="Verdana" w:hAnsi="Verdana"/>
                <w:sz w:val="20"/>
                <w:lang w:val="en-GB"/>
              </w:rPr>
              <w:t xml:space="preserve">To allow educators, practitioners and policy-makers working in RPL to share practice and inform progress. </w:t>
            </w:r>
          </w:p>
          <w:p w:rsidR="00791BE7" w:rsidRDefault="00791BE7" w:rsidP="000825DC">
            <w:pPr>
              <w:numPr>
                <w:ilvl w:val="0"/>
                <w:numId w:val="1"/>
              </w:numPr>
              <w:tabs>
                <w:tab w:val="left" w:pos="5280"/>
              </w:tabs>
              <w:spacing w:after="60"/>
              <w:rPr>
                <w:rFonts w:ascii="Verdana" w:hAnsi="Verdana"/>
                <w:sz w:val="20"/>
                <w:lang w:val="en-GB"/>
              </w:rPr>
            </w:pPr>
            <w:r>
              <w:rPr>
                <w:rFonts w:ascii="Verdana" w:hAnsi="Verdana"/>
                <w:sz w:val="20"/>
                <w:lang w:val="en-GB"/>
              </w:rPr>
              <w:t>To hold workshops in which practitioners can share and explore ways in which RPL can:</w:t>
            </w:r>
          </w:p>
          <w:p w:rsidR="00791BE7" w:rsidRDefault="00791BE7" w:rsidP="000825DC">
            <w:pPr>
              <w:numPr>
                <w:ilvl w:val="0"/>
                <w:numId w:val="5"/>
              </w:numPr>
              <w:tabs>
                <w:tab w:val="left" w:pos="720"/>
              </w:tabs>
              <w:spacing w:after="60"/>
              <w:ind w:firstLine="0"/>
              <w:rPr>
                <w:rFonts w:ascii="Verdana" w:hAnsi="Verdana"/>
                <w:sz w:val="20"/>
                <w:lang w:val="en-GB"/>
              </w:rPr>
            </w:pPr>
            <w:r>
              <w:rPr>
                <w:rFonts w:ascii="Verdana" w:hAnsi="Verdana"/>
                <w:sz w:val="20"/>
                <w:lang w:val="en-GB"/>
              </w:rPr>
              <w:t xml:space="preserve">best support student-centred learning, flexible learning paths, lifelong learning, and </w:t>
            </w:r>
            <w:r>
              <w:rPr>
                <w:rFonts w:ascii="Verdana" w:hAnsi="Verdana"/>
                <w:sz w:val="20"/>
                <w:lang w:val="en-GB"/>
              </w:rPr>
              <w:lastRenderedPageBreak/>
              <w:t>widening participation agendas across the Bologna process;</w:t>
            </w:r>
          </w:p>
          <w:p w:rsidR="00791BE7" w:rsidRPr="006D059D" w:rsidRDefault="00791BE7" w:rsidP="000825DC">
            <w:pPr>
              <w:numPr>
                <w:ilvl w:val="0"/>
                <w:numId w:val="6"/>
              </w:numPr>
              <w:tabs>
                <w:tab w:val="left" w:pos="720"/>
              </w:tabs>
              <w:spacing w:after="60"/>
              <w:ind w:firstLine="0"/>
              <w:rPr>
                <w:rFonts w:ascii="Verdana" w:hAnsi="Verdana"/>
                <w:sz w:val="20"/>
                <w:lang w:val="en-GB"/>
              </w:rPr>
            </w:pPr>
            <w:r>
              <w:rPr>
                <w:rFonts w:ascii="Verdana" w:hAnsi="Verdana"/>
                <w:sz w:val="20"/>
                <w:lang w:val="en-GB"/>
              </w:rPr>
              <w:t>help support issues such as employer engagement and workforce development in Bologna.</w:t>
            </w:r>
          </w:p>
          <w:p w:rsidR="00791BE7" w:rsidRDefault="00791BE7" w:rsidP="000825DC">
            <w:pPr>
              <w:numPr>
                <w:ilvl w:val="0"/>
                <w:numId w:val="1"/>
              </w:numPr>
              <w:tabs>
                <w:tab w:val="left" w:pos="5280"/>
              </w:tabs>
              <w:spacing w:after="60"/>
              <w:rPr>
                <w:rFonts w:ascii="Verdana" w:hAnsi="Verdana"/>
                <w:sz w:val="20"/>
                <w:lang w:val="en-GB"/>
              </w:rPr>
            </w:pPr>
            <w:r>
              <w:rPr>
                <w:rFonts w:ascii="Verdana" w:hAnsi="Verdana"/>
                <w:sz w:val="20"/>
                <w:lang w:val="en-GB"/>
              </w:rPr>
              <w:t>To facilitate bilateral or multilateral engagement between countries and organisations on RPL areas of mutual interest.</w:t>
            </w:r>
          </w:p>
          <w:p w:rsidR="00791BE7" w:rsidRDefault="00791BE7" w:rsidP="000825DC">
            <w:pPr>
              <w:numPr>
                <w:ilvl w:val="0"/>
                <w:numId w:val="1"/>
              </w:numPr>
              <w:tabs>
                <w:tab w:val="left" w:pos="5280"/>
              </w:tabs>
              <w:spacing w:after="60"/>
              <w:rPr>
                <w:rFonts w:ascii="Verdana" w:hAnsi="Verdana"/>
                <w:sz w:val="20"/>
                <w:lang w:val="en-GB"/>
              </w:rPr>
            </w:pPr>
            <w:r>
              <w:rPr>
                <w:rFonts w:ascii="Verdana" w:hAnsi="Verdana"/>
                <w:sz w:val="20"/>
                <w:lang w:val="en-GB"/>
              </w:rPr>
              <w:t>T</w:t>
            </w:r>
            <w:r w:rsidRPr="006D059D">
              <w:rPr>
                <w:rFonts w:ascii="Verdana" w:hAnsi="Verdana"/>
                <w:sz w:val="20"/>
                <w:lang w:val="en-GB"/>
              </w:rPr>
              <w:t xml:space="preserve">o </w:t>
            </w:r>
            <w:r>
              <w:rPr>
                <w:rFonts w:ascii="Verdana" w:hAnsi="Verdana"/>
                <w:sz w:val="20"/>
                <w:lang w:val="en-GB"/>
              </w:rPr>
              <w:t>link with other countries developing RPL.</w:t>
            </w:r>
          </w:p>
          <w:p w:rsidR="00791BE7" w:rsidRDefault="00791BE7" w:rsidP="0052793D">
            <w:pPr>
              <w:tabs>
                <w:tab w:val="left" w:pos="5280"/>
              </w:tabs>
              <w:spacing w:after="60"/>
              <w:rPr>
                <w:rFonts w:ascii="Verdana" w:hAnsi="Verdana"/>
                <w:sz w:val="20"/>
                <w:lang w:val="en-GB"/>
              </w:rPr>
            </w:pPr>
          </w:p>
          <w:p w:rsidR="00791BE7" w:rsidRDefault="00791BE7" w:rsidP="000825DC">
            <w:pPr>
              <w:numPr>
                <w:ilvl w:val="0"/>
                <w:numId w:val="1"/>
              </w:numPr>
              <w:tabs>
                <w:tab w:val="left" w:pos="5280"/>
              </w:tabs>
              <w:spacing w:after="60"/>
              <w:rPr>
                <w:rFonts w:ascii="Verdana" w:hAnsi="Verdana"/>
                <w:sz w:val="20"/>
                <w:lang w:val="en-GB"/>
              </w:rPr>
            </w:pPr>
            <w:r>
              <w:rPr>
                <w:rFonts w:ascii="Verdana" w:hAnsi="Verdana"/>
                <w:sz w:val="20"/>
                <w:lang w:val="en-GB"/>
              </w:rPr>
              <w:t>To consider the conclusions and recommendations from the 2010 RPL seminar (see below) and how these might best be taken forward.  The full seminar report is available on the EHEA website (www.ehea.info).</w:t>
            </w:r>
          </w:p>
          <w:p w:rsidR="00791BE7" w:rsidRPr="006D059D" w:rsidRDefault="00791BE7" w:rsidP="00135F41">
            <w:pPr>
              <w:numPr>
                <w:ilvl w:val="0"/>
                <w:numId w:val="1"/>
              </w:numPr>
              <w:tabs>
                <w:tab w:val="left" w:pos="5280"/>
              </w:tabs>
              <w:spacing w:after="60"/>
              <w:rPr>
                <w:rFonts w:ascii="Verdana" w:hAnsi="Verdana"/>
                <w:sz w:val="20"/>
                <w:lang w:val="en-GB"/>
              </w:rPr>
            </w:pPr>
            <w:r>
              <w:rPr>
                <w:rFonts w:ascii="Verdana" w:hAnsi="Verdana"/>
                <w:sz w:val="20"/>
                <w:lang w:val="en-GB"/>
              </w:rPr>
              <w:t xml:space="preserve">To liaise with other relevant networks and working groups, in particular the BFUG Working Group on Structural Reforms. </w:t>
            </w:r>
          </w:p>
        </w:tc>
      </w:tr>
      <w:tr w:rsidR="00791BE7" w:rsidRPr="00EC2AAC">
        <w:trPr>
          <w:trHeight w:val="1083"/>
        </w:trPr>
        <w:tc>
          <w:tcPr>
            <w:tcW w:w="9540" w:type="dxa"/>
          </w:tcPr>
          <w:p w:rsidR="00791BE7" w:rsidRPr="006D059D" w:rsidRDefault="00791BE7" w:rsidP="0052793D">
            <w:pPr>
              <w:spacing w:after="120"/>
              <w:rPr>
                <w:rFonts w:ascii="Verdana" w:hAnsi="Verdana"/>
                <w:b/>
                <w:sz w:val="20"/>
                <w:lang w:val="en-GB"/>
              </w:rPr>
            </w:pPr>
            <w:r w:rsidRPr="006D059D">
              <w:rPr>
                <w:rFonts w:ascii="Verdana" w:hAnsi="Verdana"/>
                <w:b/>
                <w:sz w:val="20"/>
                <w:lang w:val="en-GB"/>
              </w:rPr>
              <w:lastRenderedPageBreak/>
              <w:t xml:space="preserve">Reporting </w:t>
            </w:r>
          </w:p>
          <w:p w:rsidR="00791BE7" w:rsidRPr="006D059D" w:rsidRDefault="00791BE7" w:rsidP="004D3DDD">
            <w:pPr>
              <w:rPr>
                <w:rFonts w:ascii="Verdana" w:hAnsi="Verdana"/>
                <w:sz w:val="20"/>
                <w:lang w:val="en-GB"/>
              </w:rPr>
            </w:pPr>
            <w:r w:rsidRPr="00771BD4">
              <w:rPr>
                <w:rFonts w:ascii="Verdana" w:hAnsi="Verdana"/>
                <w:sz w:val="20"/>
                <w:lang w:val="en-GB"/>
              </w:rPr>
              <w:t>The minutes</w:t>
            </w:r>
            <w:r w:rsidRPr="006D059D">
              <w:rPr>
                <w:rFonts w:ascii="Verdana" w:hAnsi="Verdana"/>
                <w:sz w:val="20"/>
                <w:lang w:val="en-GB"/>
              </w:rPr>
              <w:t xml:space="preserve"> of </w:t>
            </w:r>
            <w:r>
              <w:rPr>
                <w:rFonts w:ascii="Verdana" w:hAnsi="Verdana"/>
                <w:sz w:val="20"/>
                <w:lang w:val="en-GB"/>
              </w:rPr>
              <w:t xml:space="preserve">the </w:t>
            </w:r>
            <w:r w:rsidRPr="006D059D">
              <w:rPr>
                <w:rFonts w:ascii="Verdana" w:hAnsi="Verdana"/>
                <w:sz w:val="20"/>
                <w:lang w:val="en-GB"/>
              </w:rPr>
              <w:t>meetings</w:t>
            </w:r>
            <w:r>
              <w:rPr>
                <w:rFonts w:ascii="Verdana" w:hAnsi="Verdana"/>
                <w:sz w:val="20"/>
                <w:lang w:val="en-GB"/>
              </w:rPr>
              <w:t xml:space="preserve"> will be made</w:t>
            </w:r>
            <w:r w:rsidRPr="006D059D">
              <w:rPr>
                <w:rFonts w:ascii="Verdana" w:hAnsi="Verdana"/>
                <w:sz w:val="20"/>
                <w:lang w:val="en-GB"/>
              </w:rPr>
              <w:t xml:space="preserve"> available</w:t>
            </w:r>
            <w:r>
              <w:rPr>
                <w:rFonts w:ascii="Verdana" w:hAnsi="Verdana"/>
                <w:sz w:val="20"/>
                <w:lang w:val="en-GB"/>
              </w:rPr>
              <w:t xml:space="preserve"> to the BFUG </w:t>
            </w:r>
            <w:r w:rsidRPr="00896D01">
              <w:rPr>
                <w:rFonts w:ascii="Verdana" w:hAnsi="Verdana"/>
                <w:color w:val="000000"/>
                <w:sz w:val="20"/>
                <w:lang w:val="en-GB"/>
              </w:rPr>
              <w:t>on the protected part of the EHEA website.</w:t>
            </w:r>
            <w:r>
              <w:rPr>
                <w:rFonts w:ascii="Verdana" w:hAnsi="Verdana"/>
                <w:sz w:val="20"/>
                <w:lang w:val="en-GB"/>
              </w:rPr>
              <w:t xml:space="preserve"> </w:t>
            </w:r>
          </w:p>
        </w:tc>
      </w:tr>
      <w:tr w:rsidR="00791BE7" w:rsidRPr="007F7E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1012"/>
        </w:trPr>
        <w:tc>
          <w:tcPr>
            <w:tcW w:w="9540" w:type="dxa"/>
          </w:tcPr>
          <w:p w:rsidR="00791BE7" w:rsidRDefault="00791BE7" w:rsidP="00771BD4">
            <w:pPr>
              <w:spacing w:after="120"/>
              <w:rPr>
                <w:rFonts w:ascii="Verdana" w:hAnsi="Verdana"/>
                <w:sz w:val="20"/>
                <w:lang w:val="en-GB"/>
              </w:rPr>
            </w:pPr>
            <w:r w:rsidRPr="00771BD4">
              <w:rPr>
                <w:rFonts w:ascii="Verdana" w:hAnsi="Verdana"/>
                <w:b/>
                <w:sz w:val="20"/>
                <w:lang w:val="en-GB"/>
              </w:rPr>
              <w:t>Meeting schedule  of the RPL Network:</w:t>
            </w:r>
            <w:r>
              <w:rPr>
                <w:rFonts w:ascii="Verdana" w:hAnsi="Verdana"/>
                <w:b/>
                <w:sz w:val="20"/>
                <w:lang w:val="en-GB"/>
              </w:rPr>
              <w:t xml:space="preserve"> </w:t>
            </w:r>
          </w:p>
          <w:p w:rsidR="00791BE7" w:rsidRDefault="00791BE7" w:rsidP="0052793D">
            <w:pPr>
              <w:rPr>
                <w:rFonts w:ascii="Verdana" w:hAnsi="Verdana"/>
                <w:sz w:val="20"/>
                <w:lang w:val="en-GB"/>
              </w:rPr>
            </w:pPr>
          </w:p>
          <w:p w:rsidR="00791BE7" w:rsidRDefault="00791BE7" w:rsidP="0052793D">
            <w:pPr>
              <w:rPr>
                <w:rFonts w:ascii="Verdana" w:hAnsi="Verdana"/>
                <w:sz w:val="20"/>
                <w:lang w:val="en-GB"/>
              </w:rPr>
            </w:pPr>
            <w:r w:rsidRPr="00771BD4">
              <w:rPr>
                <w:rFonts w:ascii="Verdana" w:hAnsi="Verdana"/>
                <w:sz w:val="20"/>
                <w:lang w:val="en-GB"/>
              </w:rPr>
              <w:t>13 December 2012, Prague</w:t>
            </w:r>
          </w:p>
          <w:p w:rsidR="00791BE7" w:rsidRPr="00DA53B0" w:rsidRDefault="00791BE7" w:rsidP="0052793D">
            <w:pPr>
              <w:rPr>
                <w:rFonts w:ascii="Verdana" w:hAnsi="Verdana"/>
                <w:color w:val="FF0000"/>
                <w:sz w:val="20"/>
                <w:lang w:val="en-GB"/>
              </w:rPr>
            </w:pPr>
          </w:p>
          <w:p w:rsidR="00791BE7" w:rsidRPr="004D3DDD" w:rsidRDefault="00791BE7" w:rsidP="0052793D">
            <w:pPr>
              <w:rPr>
                <w:rFonts w:ascii="Verdana" w:hAnsi="Verdana"/>
                <w:sz w:val="20"/>
                <w:lang w:val="en-GB"/>
              </w:rPr>
            </w:pPr>
          </w:p>
          <w:p w:rsidR="00791BE7" w:rsidRPr="004D3DDD" w:rsidRDefault="00791BE7" w:rsidP="0052793D">
            <w:pPr>
              <w:rPr>
                <w:rFonts w:ascii="Verdana" w:hAnsi="Verdana"/>
                <w:b/>
                <w:sz w:val="20"/>
                <w:lang w:val="en-GB"/>
              </w:rPr>
            </w:pPr>
            <w:r w:rsidRPr="00771BD4">
              <w:rPr>
                <w:rFonts w:ascii="Verdana" w:hAnsi="Verdana"/>
                <w:b/>
                <w:sz w:val="20"/>
                <w:lang w:val="en-GB"/>
              </w:rPr>
              <w:t>Other events of the RPL Network:</w:t>
            </w:r>
          </w:p>
          <w:p w:rsidR="00791BE7" w:rsidRPr="004D3DDD" w:rsidRDefault="00791BE7" w:rsidP="0052793D">
            <w:pPr>
              <w:rPr>
                <w:rFonts w:ascii="Verdana" w:hAnsi="Verdana"/>
                <w:b/>
                <w:sz w:val="20"/>
                <w:lang w:val="en-GB"/>
              </w:rPr>
            </w:pPr>
          </w:p>
          <w:p w:rsidR="00791BE7" w:rsidRPr="0025604A" w:rsidRDefault="00791BE7" w:rsidP="0025604A">
            <w:pPr>
              <w:rPr>
                <w:rFonts w:ascii="Verdana" w:hAnsi="Verdana"/>
                <w:sz w:val="20"/>
                <w:lang w:val="en-GB"/>
              </w:rPr>
            </w:pPr>
            <w:r w:rsidRPr="00771BD4">
              <w:rPr>
                <w:rFonts w:ascii="Verdana" w:hAnsi="Verdana"/>
                <w:sz w:val="20"/>
                <w:lang w:val="en-GB"/>
              </w:rPr>
              <w:t>14 December ‘EURASHE Seminar on Recognition of Prior Learning (RPL): Flexible Ties within Higher Education’, organized by EURASHE in cooperation with the European RPL Network, the Czech Ministry of Education, Youth and Sports (MŠMT) and the Czech Association of Schools of Professional Higher Education (CASPHE).</w:t>
            </w:r>
          </w:p>
          <w:p w:rsidR="00791BE7" w:rsidRPr="0025604A" w:rsidRDefault="00791BE7" w:rsidP="0052793D">
            <w:pPr>
              <w:rPr>
                <w:rFonts w:ascii="Verdana" w:hAnsi="Verdana"/>
                <w:b/>
                <w:sz w:val="20"/>
                <w:lang w:val="en-GB"/>
              </w:rPr>
            </w:pPr>
          </w:p>
        </w:tc>
      </w:tr>
    </w:tbl>
    <w:p w:rsidR="00791BE7" w:rsidRDefault="00791BE7" w:rsidP="000825DC">
      <w:pPr>
        <w:spacing w:after="120"/>
        <w:rPr>
          <w:rFonts w:ascii="Verdana" w:hAnsi="Verdana"/>
          <w:b/>
          <w:sz w:val="20"/>
          <w:lang w:val="en-GB"/>
        </w:rPr>
        <w:sectPr w:rsidR="00791BE7" w:rsidSect="0052793D">
          <w:headerReference w:type="default" r:id="rId14"/>
          <w:footerReference w:type="default" r:id="rId15"/>
          <w:pgSz w:w="11906" w:h="16838"/>
          <w:pgMar w:top="1417" w:right="1417" w:bottom="1417" w:left="1417" w:header="708" w:footer="708" w:gutter="0"/>
          <w:cols w:space="708"/>
          <w:docGrid w:linePitch="360"/>
        </w:sectPr>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540"/>
      </w:tblGrid>
      <w:tr w:rsidR="00791BE7" w:rsidRPr="00EC2AAC">
        <w:trPr>
          <w:trHeight w:val="844"/>
        </w:trPr>
        <w:tc>
          <w:tcPr>
            <w:tcW w:w="9540" w:type="dxa"/>
          </w:tcPr>
          <w:p w:rsidR="00791BE7" w:rsidRPr="00EF7503" w:rsidRDefault="00791BE7" w:rsidP="0052793D">
            <w:pPr>
              <w:spacing w:after="120"/>
              <w:rPr>
                <w:rFonts w:ascii="Verdana" w:hAnsi="Verdana"/>
                <w:b/>
                <w:sz w:val="20"/>
                <w:lang w:val="en-GB"/>
              </w:rPr>
            </w:pPr>
            <w:r>
              <w:rPr>
                <w:rFonts w:ascii="Verdana" w:hAnsi="Verdana"/>
                <w:b/>
                <w:sz w:val="20"/>
                <w:lang w:val="en-GB"/>
              </w:rPr>
              <w:lastRenderedPageBreak/>
              <w:t>Background information: c</w:t>
            </w:r>
            <w:r w:rsidRPr="00EF7503">
              <w:rPr>
                <w:rFonts w:ascii="Verdana" w:hAnsi="Verdana"/>
                <w:b/>
                <w:sz w:val="20"/>
                <w:lang w:val="en-GB"/>
              </w:rPr>
              <w:t>onclusions and recommendations from the 2010 RPL seminar</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sz w:val="20"/>
              </w:rPr>
            </w:pPr>
            <w:r w:rsidRPr="007F7ED6">
              <w:rPr>
                <w:rFonts w:ascii="Verdana" w:hAnsi="Verdana"/>
                <w:b/>
                <w:bCs/>
                <w:i/>
                <w:sz w:val="20"/>
                <w:lang w:val="en-GB"/>
              </w:rPr>
              <w:t xml:space="preserve"> </w:t>
            </w:r>
            <w:r w:rsidRPr="00A85FAF">
              <w:rPr>
                <w:rFonts w:ascii="Verdana" w:hAnsi="Verdana"/>
                <w:b/>
                <w:bCs/>
                <w:i/>
                <w:sz w:val="20"/>
              </w:rPr>
              <w:t>General</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While there is a good deal of RPL practice, it remains too concentrated in a small number of systems and HEIs and even where it is most established, it is not developed across the whole sector</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There is no uniform approach or single model of RPL which fits all qualifications or situations. There are however some generic tools which can help and which can be adapted for different contexts</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RPL can help with and should be considered in the context of, skills, employability and equality/widening participation agendas</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The national context seems to be crucial in providing a policy drive or impetus for the development of RPL. This is clear from the Irish and Scottish contexts in particular, but also in the context of the Netherlands.  Although the French situation was not represented, it is the case that in France, it is possible to award degrees entirely on the basis of RPL, a development which was driven by national policy concerns and context</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It is important to achieve a good balance, between regulations/guidelines and institutional autonomy, between generic and discipline-specific practices and between national and European infrastructure and contexts</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RPL fits with and needs the other elements of the EHEA infrastructure and recognition 'tools'</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 xml:space="preserve">The learning outcomes approach and the use of national qualifications frameworks are helpful to institutions both in driving and enabling efficient and effective approaches to RPL </w:t>
            </w:r>
            <w:r>
              <w:rPr>
                <w:rFonts w:ascii="Verdana" w:hAnsi="Verdana"/>
                <w:sz w:val="20"/>
                <w:lang w:val="en-GB"/>
              </w:rPr>
              <w:t>–</w:t>
            </w:r>
            <w:r w:rsidRPr="00A85FAF">
              <w:rPr>
                <w:rFonts w:ascii="Verdana" w:hAnsi="Verdana"/>
                <w:sz w:val="20"/>
                <w:lang w:val="en-GB"/>
              </w:rPr>
              <w:t xml:space="preserve"> indeed ESU argued that they are pre-requisites</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i/>
                <w:sz w:val="20"/>
                <w:lang w:val="en-GB"/>
              </w:rPr>
            </w:pPr>
            <w:r w:rsidRPr="00A85FAF">
              <w:rPr>
                <w:rFonts w:ascii="Verdana" w:hAnsi="Verdana"/>
                <w:b/>
                <w:bCs/>
                <w:i/>
                <w:sz w:val="20"/>
                <w:lang w:val="en-GB"/>
              </w:rPr>
              <w:t>Lifelong learning, widening participation, wider access</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 xml:space="preserve">RPL can break down barriers and expand horizons of learners and institutions alike </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i/>
                <w:sz w:val="20"/>
              </w:rPr>
            </w:pPr>
            <w:r w:rsidRPr="00A85FAF">
              <w:rPr>
                <w:rFonts w:ascii="Verdana" w:hAnsi="Verdana"/>
                <w:b/>
                <w:bCs/>
                <w:i/>
                <w:sz w:val="20"/>
              </w:rPr>
              <w:t>Flexible learning paths</w:t>
            </w:r>
          </w:p>
          <w:p w:rsidR="00791BE7" w:rsidRPr="00A85FAF" w:rsidRDefault="00791BE7" w:rsidP="000825DC">
            <w:pPr>
              <w:pStyle w:val="ListParagraph"/>
              <w:numPr>
                <w:ilvl w:val="0"/>
                <w:numId w:val="3"/>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after="0" w:line="240" w:lineRule="auto"/>
              <w:ind w:left="0" w:firstLine="0"/>
              <w:jc w:val="both"/>
              <w:rPr>
                <w:rFonts w:ascii="Verdana" w:hAnsi="Verdana" w:cs="Arial"/>
                <w:sz w:val="20"/>
                <w:szCs w:val="20"/>
              </w:rPr>
            </w:pPr>
            <w:r w:rsidRPr="00A85FAF">
              <w:rPr>
                <w:rFonts w:ascii="Verdana" w:hAnsi="Verdana" w:cs="Arial"/>
                <w:sz w:val="20"/>
                <w:szCs w:val="20"/>
              </w:rPr>
              <w:t>RPL is a useful tool in helping to develop more flexible and varied learning paths, as evidenced by several projects presented at the seminar.</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i/>
                <w:sz w:val="20"/>
                <w:lang w:val="en-GB"/>
              </w:rPr>
            </w:pPr>
            <w:r w:rsidRPr="00A85FAF">
              <w:rPr>
                <w:rFonts w:ascii="Verdana" w:hAnsi="Verdana"/>
                <w:b/>
                <w:bCs/>
                <w:i/>
                <w:sz w:val="20"/>
                <w:lang w:val="en-GB"/>
              </w:rPr>
              <w:t>Engagement with employers and workforce development</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 xml:space="preserve">RPL can lead to greater efficiency (workers spend less time out of workforce) and greater effectiveness (c.f. Scottish Police College initiative) </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Dialogue with stakeholders, including learners and employer/professional bodies can play a crucial role in the development of and the acceptance of RPL</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i/>
                <w:sz w:val="20"/>
                <w:lang w:val="en-GB"/>
              </w:rPr>
            </w:pPr>
            <w:r w:rsidRPr="00A85FAF">
              <w:rPr>
                <w:rFonts w:ascii="Verdana" w:hAnsi="Verdana"/>
                <w:b/>
                <w:bCs/>
                <w:i/>
                <w:sz w:val="20"/>
                <w:lang w:val="en-GB"/>
              </w:rPr>
              <w:t xml:space="preserve">RPL processes and procedures </w:t>
            </w:r>
            <w:r>
              <w:rPr>
                <w:rFonts w:ascii="Verdana" w:hAnsi="Verdana"/>
                <w:b/>
                <w:bCs/>
                <w:i/>
                <w:sz w:val="20"/>
                <w:lang w:val="en-GB"/>
              </w:rPr>
              <w:t>–</w:t>
            </w:r>
            <w:r w:rsidRPr="00A85FAF">
              <w:rPr>
                <w:rFonts w:ascii="Verdana" w:hAnsi="Verdana"/>
                <w:b/>
                <w:bCs/>
                <w:i/>
                <w:sz w:val="20"/>
                <w:lang w:val="en-GB"/>
              </w:rPr>
              <w:t xml:space="preserve"> designing RPL programmes and innovative developments</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It is important for higher education institutions to have RPL policies and procedures which are transparent and consistent</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Streamlined and more diverse procedures for RPL are helpful both for widening its application and can be beneficial in terms of improving professional practice of teachers and knowledge and learning strategies of learners.</w:t>
            </w:r>
          </w:p>
          <w:p w:rsidR="00791BE7"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If RPL is to become more widely practiced and to be more widely accepted, it will be important to emphasise and demonstrate that the same standards and equally robust quality assurance arrangements exist for RPL as exist for traditional undergraduate and graduate provision</w:t>
            </w:r>
          </w:p>
          <w:p w:rsidR="00791BE7" w:rsidRPr="00A85FAF" w:rsidRDefault="00791BE7" w:rsidP="0052793D">
            <w:p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p>
          <w:p w:rsidR="00791BE7" w:rsidRPr="00A85FAF" w:rsidRDefault="00791BE7" w:rsidP="0052793D">
            <w:pPr>
              <w:spacing w:after="120"/>
              <w:rPr>
                <w:rFonts w:ascii="Verdana" w:hAnsi="Verdana"/>
                <w:sz w:val="20"/>
                <w:lang w:val="en-GB"/>
              </w:rPr>
            </w:pPr>
            <w:r w:rsidRPr="00A85FAF">
              <w:rPr>
                <w:rFonts w:ascii="Verdana" w:hAnsi="Verdana"/>
                <w:sz w:val="20"/>
                <w:lang w:val="en-GB"/>
              </w:rPr>
              <w:t>Dialogue with stakeholders, including learners and employer/professional bodies can play a crucial role in the development of and the acceptance of RPL</w:t>
            </w:r>
          </w:p>
          <w:p w:rsidR="00791BE7"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i/>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i/>
                <w:sz w:val="20"/>
                <w:lang w:val="en-GB"/>
              </w:rPr>
            </w:pPr>
            <w:r w:rsidRPr="00A85FAF">
              <w:rPr>
                <w:rFonts w:ascii="Verdana" w:hAnsi="Verdana"/>
                <w:b/>
                <w:bCs/>
                <w:i/>
                <w:sz w:val="20"/>
                <w:lang w:val="en-GB"/>
              </w:rPr>
              <w:t>Student experiences of RPL across Bologna countries</w:t>
            </w:r>
          </w:p>
          <w:p w:rsidR="00791BE7" w:rsidRPr="00A85FAF" w:rsidRDefault="00791BE7" w:rsidP="000825DC">
            <w:pPr>
              <w:pStyle w:val="ListParagraph"/>
              <w:numPr>
                <w:ilvl w:val="0"/>
                <w:numId w:val="3"/>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after="0" w:line="240" w:lineRule="auto"/>
              <w:ind w:left="0" w:firstLine="0"/>
              <w:jc w:val="both"/>
              <w:rPr>
                <w:rFonts w:ascii="Verdana" w:hAnsi="Verdana" w:cs="Arial"/>
                <w:sz w:val="20"/>
                <w:szCs w:val="20"/>
              </w:rPr>
            </w:pPr>
            <w:r w:rsidRPr="00A85FAF">
              <w:rPr>
                <w:rFonts w:ascii="Verdana" w:hAnsi="Verdana" w:cs="Arial"/>
                <w:sz w:val="20"/>
                <w:szCs w:val="20"/>
              </w:rPr>
              <w:t>Concerns expressed at the lack of penetration of RPL within the EHEA in plenary were reinforced by student representatives, who reported that the perceptions of students indicated that the practice of RPL was limited to a small number of countries, In this context, the importance of engaging students in dialogue regarding the development and use of RPL at all levels, was endorsed.</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sz w:val="20"/>
                <w:lang w:val="en-GB"/>
              </w:rPr>
            </w:pPr>
            <w:r w:rsidRPr="00A85FAF">
              <w:rPr>
                <w:rFonts w:ascii="Verdana" w:hAnsi="Verdana"/>
                <w:b/>
                <w:bCs/>
                <w:sz w:val="20"/>
                <w:lang w:val="en-GB"/>
              </w:rPr>
              <w:lastRenderedPageBreak/>
              <w:t>Building assessment capacity and capability for RPL</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b/>
                <w:bCs/>
                <w:sz w:val="20"/>
                <w:lang w:val="en-GB"/>
              </w:rPr>
            </w:pPr>
            <w:r w:rsidRPr="00A85FAF">
              <w:rPr>
                <w:rFonts w:ascii="Verdana" w:hAnsi="Verdana"/>
                <w:sz w:val="20"/>
                <w:lang w:val="en-GB"/>
              </w:rPr>
              <w:t>Given the current mismatch between policy and practice, between lofty ambitions and the current reality, it might be helpful for the next two years to concentrate on 'big wins' to ramp up capacity and thereby awareness and demand</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sz w:val="20"/>
                <w:lang w:val="en-GB"/>
              </w:rPr>
            </w:pPr>
          </w:p>
          <w:p w:rsidR="00791BE7" w:rsidRPr="00A85FAF" w:rsidRDefault="00791BE7" w:rsidP="0052793D">
            <w:pPr>
              <w:rPr>
                <w:rFonts w:ascii="Verdana" w:hAnsi="Verdana"/>
                <w:sz w:val="20"/>
              </w:rPr>
            </w:pPr>
            <w:r w:rsidRPr="00A85FAF">
              <w:rPr>
                <w:rFonts w:ascii="Verdana" w:hAnsi="Verdana"/>
                <w:b/>
                <w:sz w:val="20"/>
              </w:rPr>
              <w:t>Proposed RPL Network</w:t>
            </w: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It would be helpful to have an agreed definition of what is meant by RPL in the context of the proposed network, and for that definition to be inclusive</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p>
          <w:p w:rsidR="00791BE7" w:rsidRPr="00A85FAF" w:rsidRDefault="00791BE7" w:rsidP="000825DC">
            <w:pPr>
              <w:numPr>
                <w:ilvl w:val="0"/>
                <w:numId w:val="2"/>
              </w:numPr>
              <w:tabs>
                <w:tab w:val="left" w:pos="566"/>
                <w:tab w:val="left" w:pos="851"/>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ind w:left="0" w:firstLine="0"/>
              <w:rPr>
                <w:rFonts w:ascii="Verdana" w:hAnsi="Verdana"/>
                <w:sz w:val="20"/>
                <w:lang w:val="en-GB"/>
              </w:rPr>
            </w:pPr>
            <w:r w:rsidRPr="00A85FAF">
              <w:rPr>
                <w:rFonts w:ascii="Verdana" w:hAnsi="Verdana"/>
                <w:sz w:val="20"/>
                <w:lang w:val="en-GB"/>
              </w:rPr>
              <w:t>It would be helpful if the scope and purposes of RPL could be articulated in such a way as to bring together skills, employability, lifelong learning and quality agendas</w:t>
            </w: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p>
          <w:p w:rsidR="00791BE7" w:rsidRPr="00A85FAF" w:rsidRDefault="00791BE7" w:rsidP="000825DC">
            <w:pPr>
              <w:pStyle w:val="ListParagraph"/>
              <w:numPr>
                <w:ilvl w:val="0"/>
                <w:numId w:val="4"/>
              </w:numPr>
              <w:tabs>
                <w:tab w:val="left" w:pos="601"/>
                <w:tab w:val="left" w:pos="1032"/>
              </w:tabs>
              <w:spacing w:after="0" w:line="240" w:lineRule="auto"/>
              <w:ind w:left="0" w:firstLine="0"/>
              <w:jc w:val="both"/>
              <w:rPr>
                <w:rFonts w:ascii="Verdana" w:hAnsi="Verdana" w:cs="Arial"/>
                <w:sz w:val="20"/>
                <w:szCs w:val="20"/>
              </w:rPr>
            </w:pPr>
            <w:r w:rsidRPr="00A85FAF">
              <w:rPr>
                <w:rFonts w:ascii="Verdana" w:hAnsi="Verdana" w:cs="Arial"/>
                <w:sz w:val="20"/>
                <w:szCs w:val="20"/>
              </w:rPr>
              <w:t>There was broad support from participants for the proposed European RPL network and that it should, at least initially, be led by Scotland, Ireland and the Netherlands.</w:t>
            </w:r>
          </w:p>
          <w:p w:rsidR="00791BE7" w:rsidRPr="00A85FAF" w:rsidRDefault="00791BE7" w:rsidP="0052793D">
            <w:pPr>
              <w:tabs>
                <w:tab w:val="left" w:pos="601"/>
                <w:tab w:val="left" w:pos="1032"/>
              </w:tabs>
              <w:rPr>
                <w:rFonts w:ascii="Verdana" w:hAnsi="Verdana"/>
                <w:sz w:val="20"/>
                <w:lang w:val="en-GB"/>
              </w:rPr>
            </w:pPr>
          </w:p>
          <w:p w:rsidR="00791BE7" w:rsidRPr="00A85FAF" w:rsidRDefault="00791BE7" w:rsidP="000825DC">
            <w:pPr>
              <w:pStyle w:val="ListParagraph"/>
              <w:numPr>
                <w:ilvl w:val="0"/>
                <w:numId w:val="4"/>
              </w:numPr>
              <w:tabs>
                <w:tab w:val="left" w:pos="601"/>
                <w:tab w:val="left" w:pos="1032"/>
              </w:tabs>
              <w:spacing w:after="0" w:line="240" w:lineRule="auto"/>
              <w:ind w:left="0" w:firstLine="0"/>
              <w:jc w:val="both"/>
              <w:rPr>
                <w:rFonts w:ascii="Verdana" w:hAnsi="Verdana" w:cs="Arial"/>
                <w:sz w:val="20"/>
                <w:szCs w:val="20"/>
              </w:rPr>
            </w:pPr>
            <w:r w:rsidRPr="00A85FAF">
              <w:rPr>
                <w:rFonts w:ascii="Verdana" w:hAnsi="Verdana" w:cs="Arial"/>
                <w:sz w:val="20"/>
                <w:szCs w:val="20"/>
              </w:rPr>
              <w:t>It was agreed that there was a need to share and disseminate more widely existing experience of RPL processes and practice, but also further to undertake research into the use and impact of RPL.</w:t>
            </w:r>
          </w:p>
          <w:p w:rsidR="00791BE7" w:rsidRPr="00A85FAF" w:rsidRDefault="00791BE7" w:rsidP="0052793D">
            <w:pPr>
              <w:tabs>
                <w:tab w:val="left" w:pos="601"/>
                <w:tab w:val="left" w:pos="1032"/>
              </w:tabs>
              <w:rPr>
                <w:rFonts w:ascii="Verdana" w:hAnsi="Verdana"/>
                <w:sz w:val="20"/>
                <w:lang w:val="en-GB"/>
              </w:rPr>
            </w:pPr>
          </w:p>
          <w:p w:rsidR="00791BE7" w:rsidRPr="00A85FAF" w:rsidRDefault="00791BE7" w:rsidP="000825DC">
            <w:pPr>
              <w:pStyle w:val="ListParagraph"/>
              <w:numPr>
                <w:ilvl w:val="0"/>
                <w:numId w:val="4"/>
              </w:numPr>
              <w:tabs>
                <w:tab w:val="left" w:pos="601"/>
                <w:tab w:val="left" w:pos="1032"/>
              </w:tabs>
              <w:spacing w:after="0" w:line="240" w:lineRule="auto"/>
              <w:ind w:left="0" w:firstLine="0"/>
              <w:jc w:val="both"/>
              <w:rPr>
                <w:rFonts w:ascii="Verdana" w:hAnsi="Verdana"/>
                <w:sz w:val="20"/>
                <w:szCs w:val="20"/>
              </w:rPr>
            </w:pPr>
            <w:r w:rsidRPr="00A85FAF">
              <w:rPr>
                <w:rFonts w:ascii="Verdana" w:hAnsi="Verdana"/>
                <w:sz w:val="20"/>
                <w:szCs w:val="20"/>
              </w:rPr>
              <w:t xml:space="preserve">It was agreed that there should be some scoping of the role of the network, particularly including learners, but also considering whether or not the network would focus on HE only, or would also cover other aspects of RPL developments, such as </w:t>
            </w:r>
            <w:r>
              <w:rPr>
                <w:rFonts w:ascii="Verdana" w:hAnsi="Verdana"/>
                <w:sz w:val="20"/>
                <w:szCs w:val="20"/>
              </w:rPr>
              <w:t xml:space="preserve">the EQF for lifelong learning.  </w:t>
            </w:r>
            <w:r w:rsidRPr="00A85FAF">
              <w:rPr>
                <w:rFonts w:ascii="Verdana" w:hAnsi="Verdana"/>
                <w:sz w:val="20"/>
                <w:szCs w:val="20"/>
              </w:rPr>
              <w:t xml:space="preserve">Areas of activity which could be tested in the scoping exercise might include: </w:t>
            </w:r>
          </w:p>
          <w:p w:rsidR="00791BE7" w:rsidRPr="00A85FAF" w:rsidRDefault="00791BE7" w:rsidP="0052793D">
            <w:pPr>
              <w:tabs>
                <w:tab w:val="left" w:pos="601"/>
                <w:tab w:val="left" w:pos="1032"/>
              </w:tabs>
              <w:rPr>
                <w:rFonts w:ascii="Verdana" w:hAnsi="Verdana"/>
                <w:sz w:val="20"/>
                <w:lang w:val="en-GB"/>
              </w:rPr>
            </w:pPr>
          </w:p>
          <w:p w:rsidR="00791BE7" w:rsidRPr="00A85FAF" w:rsidRDefault="00791BE7" w:rsidP="0052793D">
            <w:pPr>
              <w:tabs>
                <w:tab w:val="left" w:pos="601"/>
                <w:tab w:val="left" w:pos="1032"/>
              </w:tabs>
              <w:rPr>
                <w:rFonts w:ascii="Verdana" w:hAnsi="Verdana"/>
                <w:sz w:val="20"/>
                <w:lang w:val="en-GB"/>
              </w:rPr>
            </w:pPr>
            <w:r w:rsidRPr="00A85FAF">
              <w:rPr>
                <w:rFonts w:ascii="Verdana" w:hAnsi="Verdana"/>
                <w:sz w:val="20"/>
                <w:lang w:val="en-GB"/>
              </w:rPr>
              <w:t>Capacity building; the role of NQFs in supporting RPL in different contexts; collaborative partnerships; impact of RPL on learner; impact on HEIs/pedagogy/assessment; impact on workplace; role of RPL in supporting mobility/transitions between different learning contexts.</w:t>
            </w:r>
          </w:p>
          <w:p w:rsidR="00791BE7" w:rsidRPr="00A85FAF" w:rsidRDefault="00791BE7" w:rsidP="0052793D">
            <w:pPr>
              <w:rPr>
                <w:rFonts w:ascii="Verdana" w:hAnsi="Verdana"/>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r w:rsidRPr="00A85FAF">
              <w:rPr>
                <w:rFonts w:ascii="Verdana" w:hAnsi="Verdana"/>
                <w:b/>
                <w:bCs/>
                <w:sz w:val="20"/>
                <w:lang w:val="en-GB"/>
              </w:rPr>
              <w:t>Recommendation to the Bologna Follow Up Group</w:t>
            </w:r>
          </w:p>
          <w:p w:rsidR="00791BE7" w:rsidRPr="00A85FAF" w:rsidRDefault="00791BE7" w:rsidP="0052793D">
            <w:pPr>
              <w:rPr>
                <w:rFonts w:ascii="Verdana" w:hAnsi="Verdana"/>
                <w:sz w:val="20"/>
                <w:lang w:val="en-GB"/>
              </w:rPr>
            </w:pPr>
            <w:r w:rsidRPr="00A85FAF">
              <w:rPr>
                <w:rFonts w:ascii="Verdana" w:hAnsi="Verdana"/>
                <w:sz w:val="20"/>
                <w:lang w:val="en-GB"/>
              </w:rPr>
              <w:t>That BFUG agrees the establishment of a European RPL network for sharing and developing practice in RPL and to advise the BFUG as required and that the network should, at least initially, be led by Scotland, Ireland and the Netherlands.</w:t>
            </w:r>
          </w:p>
          <w:p w:rsidR="00791BE7" w:rsidRPr="00A85FAF" w:rsidRDefault="00791BE7" w:rsidP="0052793D">
            <w:pPr>
              <w:rPr>
                <w:rFonts w:ascii="Verdana" w:hAnsi="Verdana"/>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sz w:val="20"/>
                <w:lang w:val="en-GB"/>
              </w:rPr>
            </w:pPr>
            <w:r w:rsidRPr="00A85FAF">
              <w:rPr>
                <w:rFonts w:ascii="Verdana" w:hAnsi="Verdana"/>
                <w:b/>
                <w:bCs/>
                <w:sz w:val="20"/>
                <w:lang w:val="en-GB"/>
              </w:rPr>
              <w:t>Recommendation to hig</w:t>
            </w:r>
            <w:r>
              <w:rPr>
                <w:rFonts w:ascii="Verdana" w:hAnsi="Verdana"/>
                <w:b/>
                <w:bCs/>
                <w:sz w:val="20"/>
                <w:lang w:val="en-GB"/>
              </w:rPr>
              <w:t>her education institutions and national r</w:t>
            </w:r>
            <w:r w:rsidRPr="00A85FAF">
              <w:rPr>
                <w:rFonts w:ascii="Verdana" w:hAnsi="Verdana"/>
                <w:b/>
                <w:bCs/>
                <w:sz w:val="20"/>
                <w:lang w:val="en-GB"/>
              </w:rPr>
              <w:t xml:space="preserve">ectors </w:t>
            </w:r>
            <w:r>
              <w:rPr>
                <w:rFonts w:ascii="Verdana" w:hAnsi="Verdana"/>
                <w:b/>
                <w:bCs/>
                <w:sz w:val="20"/>
                <w:lang w:val="en-GB"/>
              </w:rPr>
              <w:t>c</w:t>
            </w:r>
            <w:r w:rsidRPr="00A85FAF">
              <w:rPr>
                <w:rFonts w:ascii="Verdana" w:hAnsi="Verdana"/>
                <w:b/>
                <w:bCs/>
                <w:sz w:val="20"/>
                <w:lang w:val="en-GB"/>
              </w:rPr>
              <w:t>onferences</w:t>
            </w:r>
          </w:p>
          <w:p w:rsidR="00791BE7" w:rsidRPr="00A85FAF" w:rsidRDefault="00791BE7" w:rsidP="0052793D">
            <w:pPr>
              <w:rPr>
                <w:rFonts w:ascii="Verdana" w:hAnsi="Verdana"/>
                <w:sz w:val="20"/>
                <w:lang w:val="en-GB"/>
              </w:rPr>
            </w:pPr>
            <w:r w:rsidRPr="00A85FAF">
              <w:rPr>
                <w:rFonts w:ascii="Verdana" w:hAnsi="Verdana"/>
                <w:sz w:val="20"/>
                <w:lang w:val="en-GB"/>
              </w:rPr>
              <w:t>That HEIs and NRCs incorporate RPL within the development of their approaches to lifelong learning and specifically within their implementation of the European Universities' Charter on Lifelong Learning.</w:t>
            </w:r>
          </w:p>
          <w:p w:rsidR="00791BE7" w:rsidRPr="00A85FAF" w:rsidRDefault="00791BE7" w:rsidP="0052793D">
            <w:pPr>
              <w:rPr>
                <w:rFonts w:ascii="Verdana" w:hAnsi="Verdana"/>
                <w:sz w:val="20"/>
                <w:lang w:val="en-GB"/>
              </w:rPr>
            </w:pPr>
          </w:p>
          <w:p w:rsidR="00791BE7" w:rsidRPr="00A85FAF" w:rsidRDefault="00791BE7" w:rsidP="0052793D">
            <w:pPr>
              <w:rPr>
                <w:rFonts w:ascii="Verdana" w:hAnsi="Verdana"/>
                <w:sz w:val="20"/>
                <w:lang w:val="en-GB"/>
              </w:rPr>
            </w:pPr>
            <w:r w:rsidRPr="00A85FAF">
              <w:rPr>
                <w:rFonts w:ascii="Verdana" w:hAnsi="Verdana"/>
                <w:sz w:val="20"/>
                <w:lang w:val="en-GB"/>
              </w:rPr>
              <w:t>That HEIs and NRCs involve student representatives in the development of their RPL processes and procedures.</w:t>
            </w:r>
          </w:p>
          <w:p w:rsidR="00791BE7" w:rsidRPr="00A85FAF" w:rsidRDefault="00791BE7" w:rsidP="0052793D">
            <w:pPr>
              <w:rPr>
                <w:rFonts w:ascii="Verdana" w:hAnsi="Verdana"/>
                <w:sz w:val="20"/>
                <w:lang w:val="en-GB"/>
              </w:rPr>
            </w:pPr>
          </w:p>
          <w:p w:rsidR="00791BE7" w:rsidRPr="00A85FAF" w:rsidRDefault="00791BE7" w:rsidP="0052793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rPr>
                <w:rFonts w:ascii="Verdana" w:hAnsi="Verdana"/>
                <w:b/>
                <w:bCs/>
                <w:sz w:val="20"/>
                <w:lang w:val="en-GB"/>
              </w:rPr>
            </w:pPr>
            <w:r w:rsidRPr="00A85FAF">
              <w:rPr>
                <w:rFonts w:ascii="Verdana" w:hAnsi="Verdana"/>
                <w:b/>
                <w:bCs/>
                <w:sz w:val="20"/>
                <w:lang w:val="en-GB"/>
              </w:rPr>
              <w:t>Recommendation to quality agencies</w:t>
            </w:r>
          </w:p>
          <w:p w:rsidR="00791BE7" w:rsidRPr="006D059D" w:rsidRDefault="00791BE7" w:rsidP="0052793D">
            <w:pPr>
              <w:rPr>
                <w:rFonts w:ascii="Verdana" w:hAnsi="Verdana"/>
                <w:sz w:val="20"/>
                <w:highlight w:val="yellow"/>
                <w:lang w:val="en-GB"/>
              </w:rPr>
            </w:pPr>
            <w:r w:rsidRPr="00A85FAF">
              <w:rPr>
                <w:rFonts w:ascii="Verdana" w:hAnsi="Verdana"/>
                <w:sz w:val="20"/>
                <w:lang w:val="en-GB"/>
              </w:rPr>
              <w:t>That national and European quality agencies incorporate appropriate reference to RPL procedures and processes within their own guidelines, procedures and regulations.</w:t>
            </w:r>
            <w:r w:rsidRPr="00A85FAF">
              <w:rPr>
                <w:rFonts w:ascii="Verdana" w:hAnsi="Verdana"/>
                <w:b/>
                <w:bCs/>
                <w:sz w:val="20"/>
                <w:lang w:val="en-GB"/>
              </w:rPr>
              <w:t xml:space="preserve"> </w:t>
            </w:r>
          </w:p>
        </w:tc>
      </w:tr>
    </w:tbl>
    <w:p w:rsidR="00791BE7" w:rsidRPr="006C53C1" w:rsidRDefault="00791BE7" w:rsidP="000825DC">
      <w:pPr>
        <w:rPr>
          <w:lang w:val="en-GB"/>
        </w:rPr>
      </w:pPr>
    </w:p>
    <w:p w:rsidR="00791BE7" w:rsidRPr="00EC2AAC" w:rsidRDefault="00791BE7" w:rsidP="000825DC">
      <w:pPr>
        <w:pStyle w:val="NormalWeb"/>
        <w:rPr>
          <w:rFonts w:ascii="Verdana" w:hAnsi="Verdana"/>
          <w:b/>
          <w:sz w:val="20"/>
          <w:szCs w:val="20"/>
        </w:rPr>
      </w:pPr>
    </w:p>
    <w:p w:rsidR="00791BE7" w:rsidRPr="00EC2AAC" w:rsidRDefault="00791BE7" w:rsidP="000825DC">
      <w:pPr>
        <w:pStyle w:val="NormalWeb"/>
        <w:rPr>
          <w:rFonts w:ascii="Verdana" w:hAnsi="Verdana"/>
          <w:b/>
          <w:sz w:val="20"/>
          <w:szCs w:val="20"/>
        </w:rPr>
      </w:pPr>
    </w:p>
    <w:p w:rsidR="00791BE7" w:rsidRDefault="00791BE7" w:rsidP="000825DC">
      <w:pPr>
        <w:tabs>
          <w:tab w:val="left" w:pos="0"/>
        </w:tabs>
        <w:spacing w:line="288" w:lineRule="auto"/>
        <w:rPr>
          <w:lang w:val="en-GB"/>
        </w:rPr>
      </w:pPr>
      <w:r w:rsidRPr="00C94E7F">
        <w:rPr>
          <w:lang w:val="en-GB"/>
        </w:rPr>
        <w:t xml:space="preserve"> </w:t>
      </w:r>
    </w:p>
    <w:p w:rsidR="00791BE7" w:rsidRPr="003317D2" w:rsidRDefault="00791BE7" w:rsidP="000825DC">
      <w:pPr>
        <w:rPr>
          <w:lang w:val="en-GB"/>
        </w:rPr>
      </w:pPr>
    </w:p>
    <w:p w:rsidR="00791BE7" w:rsidRDefault="00791BE7"/>
    <w:sectPr w:rsidR="00791BE7" w:rsidSect="0052793D">
      <w:pgSz w:w="11906" w:h="16838" w:code="9"/>
      <w:pgMar w:top="851" w:right="1134" w:bottom="851"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289" w:rsidRDefault="006C3289">
      <w:r>
        <w:separator/>
      </w:r>
    </w:p>
  </w:endnote>
  <w:endnote w:type="continuationSeparator" w:id="0">
    <w:p w:rsidR="006C3289" w:rsidRDefault="006C3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Courier New"/>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BE7" w:rsidRDefault="00791BE7">
    <w:pPr>
      <w:pStyle w:val="Footer"/>
      <w:jc w:val="right"/>
    </w:pPr>
    <w:r>
      <w:fldChar w:fldCharType="begin"/>
    </w:r>
    <w:r>
      <w:instrText xml:space="preserve"> PAGE   \* MERGEFORMAT </w:instrText>
    </w:r>
    <w:r>
      <w:fldChar w:fldCharType="separate"/>
    </w:r>
    <w:r w:rsidR="00861316">
      <w:rPr>
        <w:noProof/>
      </w:rPr>
      <w:t>4</w:t>
    </w:r>
    <w:r>
      <w:fldChar w:fldCharType="end"/>
    </w:r>
  </w:p>
  <w:p w:rsidR="00791BE7" w:rsidRDefault="00791B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289" w:rsidRDefault="006C3289">
      <w:r>
        <w:separator/>
      </w:r>
    </w:p>
  </w:footnote>
  <w:footnote w:type="continuationSeparator" w:id="0">
    <w:p w:rsidR="006C3289" w:rsidRDefault="006C3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BE7" w:rsidRDefault="00791B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720" w:hanging="360"/>
      </w:pPr>
      <w:rPr>
        <w:rFonts w:ascii="StarSymbol" w:hAnsi="StarSymbol"/>
        <w:sz w:val="18"/>
      </w:rPr>
    </w:lvl>
    <w:lvl w:ilvl="1">
      <w:start w:val="1"/>
      <w:numFmt w:val="bullet"/>
      <w:lvlText w:val="○"/>
      <w:lvlJc w:val="left"/>
      <w:pPr>
        <w:ind w:left="1080" w:hanging="360"/>
      </w:pPr>
      <w:rPr>
        <w:rFonts w:ascii="StarSymbol" w:hAnsi="StarSymbol"/>
        <w:sz w:val="18"/>
      </w:rPr>
    </w:lvl>
    <w:lvl w:ilvl="2">
      <w:start w:val="1"/>
      <w:numFmt w:val="bullet"/>
      <w:lvlText w:val="■"/>
      <w:lvlJc w:val="left"/>
      <w:pPr>
        <w:ind w:left="1440" w:hanging="360"/>
      </w:pPr>
      <w:rPr>
        <w:rFonts w:ascii="StarSymbol" w:hAnsi="StarSymbol"/>
        <w:sz w:val="18"/>
      </w:rPr>
    </w:lvl>
    <w:lvl w:ilvl="3">
      <w:start w:val="1"/>
      <w:numFmt w:val="bullet"/>
      <w:lvlText w:val="●"/>
      <w:lvlJc w:val="left"/>
      <w:pPr>
        <w:ind w:left="1800" w:hanging="360"/>
      </w:pPr>
      <w:rPr>
        <w:rFonts w:ascii="StarSymbol" w:hAnsi="StarSymbol"/>
        <w:sz w:val="18"/>
      </w:rPr>
    </w:lvl>
    <w:lvl w:ilvl="4">
      <w:start w:val="1"/>
      <w:numFmt w:val="bullet"/>
      <w:lvlText w:val="○"/>
      <w:lvlJc w:val="left"/>
      <w:pPr>
        <w:ind w:left="2160" w:hanging="360"/>
      </w:pPr>
      <w:rPr>
        <w:rFonts w:ascii="StarSymbol" w:hAnsi="StarSymbol"/>
        <w:sz w:val="18"/>
      </w:rPr>
    </w:lvl>
    <w:lvl w:ilvl="5">
      <w:start w:val="1"/>
      <w:numFmt w:val="bullet"/>
      <w:lvlText w:val="■"/>
      <w:lvlJc w:val="left"/>
      <w:pPr>
        <w:ind w:left="2520" w:hanging="360"/>
      </w:pPr>
      <w:rPr>
        <w:rFonts w:ascii="StarSymbol" w:hAnsi="StarSymbol"/>
        <w:sz w:val="18"/>
      </w:rPr>
    </w:lvl>
    <w:lvl w:ilvl="6">
      <w:start w:val="1"/>
      <w:numFmt w:val="bullet"/>
      <w:lvlText w:val="●"/>
      <w:lvlJc w:val="left"/>
      <w:pPr>
        <w:ind w:left="2880" w:hanging="360"/>
      </w:pPr>
      <w:rPr>
        <w:rFonts w:ascii="StarSymbol" w:hAnsi="StarSymbol"/>
        <w:sz w:val="18"/>
      </w:rPr>
    </w:lvl>
    <w:lvl w:ilvl="7">
      <w:start w:val="1"/>
      <w:numFmt w:val="bullet"/>
      <w:lvlText w:val="○"/>
      <w:lvlJc w:val="left"/>
      <w:pPr>
        <w:ind w:left="3240" w:hanging="360"/>
      </w:pPr>
      <w:rPr>
        <w:rFonts w:ascii="StarSymbol" w:hAnsi="StarSymbol"/>
        <w:sz w:val="18"/>
      </w:rPr>
    </w:lvl>
    <w:lvl w:ilvl="8">
      <w:start w:val="1"/>
      <w:numFmt w:val="bullet"/>
      <w:lvlText w:val="■"/>
      <w:lvlJc w:val="left"/>
      <w:pPr>
        <w:ind w:left="3600" w:hanging="360"/>
      </w:pPr>
      <w:rPr>
        <w:rFonts w:ascii="StarSymbol" w:hAnsi="StarSymbol"/>
        <w:sz w:val="18"/>
      </w:rPr>
    </w:lvl>
  </w:abstractNum>
  <w:abstractNum w:abstractNumId="1">
    <w:nsid w:val="00A851E6"/>
    <w:multiLevelType w:val="hybridMultilevel"/>
    <w:tmpl w:val="3B801CE4"/>
    <w:lvl w:ilvl="0" w:tplc="08090001">
      <w:start w:val="1"/>
      <w:numFmt w:val="bullet"/>
      <w:lvlText w:val=""/>
      <w:lvlJc w:val="left"/>
      <w:pPr>
        <w:tabs>
          <w:tab w:val="num" w:pos="360"/>
        </w:tabs>
        <w:ind w:left="360" w:hanging="360"/>
      </w:pPr>
      <w:rPr>
        <w:rFonts w:ascii="Symbol" w:hAnsi="Symbol" w:hint="default"/>
        <w:sz w:val="16"/>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
    <w:nsid w:val="02940F8B"/>
    <w:multiLevelType w:val="hybridMultilevel"/>
    <w:tmpl w:val="E624BA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58EC0F6A"/>
    <w:multiLevelType w:val="hybridMultilevel"/>
    <w:tmpl w:val="CE38E6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5AE9740A"/>
    <w:multiLevelType w:val="hybridMultilevel"/>
    <w:tmpl w:val="E3F49462"/>
    <w:lvl w:ilvl="0" w:tplc="08090001">
      <w:start w:val="1"/>
      <w:numFmt w:val="bullet"/>
      <w:lvlText w:val=""/>
      <w:lvlJc w:val="left"/>
      <w:pPr>
        <w:tabs>
          <w:tab w:val="num" w:pos="360"/>
        </w:tabs>
        <w:ind w:left="360" w:hanging="360"/>
      </w:pPr>
      <w:rPr>
        <w:rFonts w:ascii="Symbol" w:hAnsi="Symbol" w:hint="default"/>
        <w:sz w:val="16"/>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5">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5DC"/>
    <w:rsid w:val="000013F7"/>
    <w:rsid w:val="000825DC"/>
    <w:rsid w:val="00135F41"/>
    <w:rsid w:val="001C1785"/>
    <w:rsid w:val="0025604A"/>
    <w:rsid w:val="00257E7E"/>
    <w:rsid w:val="00272A78"/>
    <w:rsid w:val="0029323E"/>
    <w:rsid w:val="00322A1C"/>
    <w:rsid w:val="003317D2"/>
    <w:rsid w:val="00355EF2"/>
    <w:rsid w:val="003647B3"/>
    <w:rsid w:val="0037404D"/>
    <w:rsid w:val="003975E3"/>
    <w:rsid w:val="003A09AD"/>
    <w:rsid w:val="003D6ABF"/>
    <w:rsid w:val="004279DB"/>
    <w:rsid w:val="004C0BAB"/>
    <w:rsid w:val="004D3DDD"/>
    <w:rsid w:val="004D7856"/>
    <w:rsid w:val="00525ACF"/>
    <w:rsid w:val="0052793D"/>
    <w:rsid w:val="00530525"/>
    <w:rsid w:val="00586ED6"/>
    <w:rsid w:val="005E1F88"/>
    <w:rsid w:val="006377D9"/>
    <w:rsid w:val="00647921"/>
    <w:rsid w:val="006A0775"/>
    <w:rsid w:val="006C3289"/>
    <w:rsid w:val="006C3DDF"/>
    <w:rsid w:val="006C53C1"/>
    <w:rsid w:val="006D059D"/>
    <w:rsid w:val="006D1CFE"/>
    <w:rsid w:val="006F3323"/>
    <w:rsid w:val="00736FF0"/>
    <w:rsid w:val="00756E0A"/>
    <w:rsid w:val="00771BD4"/>
    <w:rsid w:val="007763AC"/>
    <w:rsid w:val="00791BE7"/>
    <w:rsid w:val="007F7ED6"/>
    <w:rsid w:val="008370EA"/>
    <w:rsid w:val="00842A5A"/>
    <w:rsid w:val="00861316"/>
    <w:rsid w:val="008934F3"/>
    <w:rsid w:val="00896D01"/>
    <w:rsid w:val="00933AC5"/>
    <w:rsid w:val="009E2FCD"/>
    <w:rsid w:val="00A364FD"/>
    <w:rsid w:val="00A542E7"/>
    <w:rsid w:val="00A85FAF"/>
    <w:rsid w:val="00B02DF6"/>
    <w:rsid w:val="00C4231A"/>
    <w:rsid w:val="00C94E7F"/>
    <w:rsid w:val="00CF610F"/>
    <w:rsid w:val="00D93598"/>
    <w:rsid w:val="00D9466F"/>
    <w:rsid w:val="00DA53B0"/>
    <w:rsid w:val="00DB2DD1"/>
    <w:rsid w:val="00DB7531"/>
    <w:rsid w:val="00DD360A"/>
    <w:rsid w:val="00DF29B3"/>
    <w:rsid w:val="00E532AE"/>
    <w:rsid w:val="00E80D85"/>
    <w:rsid w:val="00EC2AAC"/>
    <w:rsid w:val="00EF7503"/>
    <w:rsid w:val="00F603FD"/>
    <w:rsid w:val="00F743C5"/>
    <w:rsid w:val="00F75D6A"/>
    <w:rsid w:val="00F8331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5DC"/>
    <w:pPr>
      <w:jc w:val="both"/>
    </w:pPr>
    <w:rPr>
      <w:rFonts w:ascii="Times New Roman" w:eastAsia="Times New Roman" w:hAnsi="Times New Roman"/>
      <w:sz w:val="24"/>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825DC"/>
    <w:pPr>
      <w:tabs>
        <w:tab w:val="center" w:pos="4536"/>
        <w:tab w:val="right" w:pos="9072"/>
      </w:tabs>
    </w:pPr>
  </w:style>
  <w:style w:type="character" w:customStyle="1" w:styleId="FooterChar">
    <w:name w:val="Footer Char"/>
    <w:link w:val="Footer"/>
    <w:uiPriority w:val="99"/>
    <w:rsid w:val="000825DC"/>
    <w:rPr>
      <w:rFonts w:ascii="Times New Roman" w:hAnsi="Times New Roman" w:cs="Times New Roman"/>
      <w:sz w:val="20"/>
      <w:szCs w:val="20"/>
      <w:lang w:val="de-DE" w:eastAsia="ja-JP"/>
    </w:rPr>
  </w:style>
  <w:style w:type="character" w:styleId="PageNumber">
    <w:name w:val="page number"/>
    <w:uiPriority w:val="99"/>
    <w:rsid w:val="000825DC"/>
    <w:rPr>
      <w:rFonts w:cs="Times New Roman"/>
    </w:rPr>
  </w:style>
  <w:style w:type="character" w:styleId="Hyperlink">
    <w:name w:val="Hyperlink"/>
    <w:uiPriority w:val="99"/>
    <w:rsid w:val="000825DC"/>
    <w:rPr>
      <w:rFonts w:cs="Times New Roman"/>
      <w:color w:val="0000FF"/>
      <w:u w:val="single"/>
    </w:rPr>
  </w:style>
  <w:style w:type="paragraph" w:styleId="ListParagraph">
    <w:name w:val="List Paragraph"/>
    <w:basedOn w:val="Normal"/>
    <w:uiPriority w:val="99"/>
    <w:qFormat/>
    <w:rsid w:val="000825DC"/>
    <w:pPr>
      <w:spacing w:after="200" w:line="276" w:lineRule="auto"/>
      <w:ind w:left="720"/>
      <w:jc w:val="left"/>
    </w:pPr>
    <w:rPr>
      <w:rFonts w:ascii="Calibri" w:hAnsi="Calibri"/>
      <w:sz w:val="22"/>
      <w:szCs w:val="22"/>
      <w:lang w:val="en-GB" w:eastAsia="en-US"/>
    </w:rPr>
  </w:style>
  <w:style w:type="paragraph" w:styleId="NormalWeb">
    <w:name w:val="Normal (Web)"/>
    <w:basedOn w:val="Normal"/>
    <w:uiPriority w:val="99"/>
    <w:rsid w:val="000825DC"/>
    <w:pPr>
      <w:spacing w:before="100" w:beforeAutospacing="1" w:after="100" w:afterAutospacing="1"/>
      <w:jc w:val="left"/>
    </w:pPr>
    <w:rPr>
      <w:rFonts w:eastAsia="Calibri"/>
      <w:szCs w:val="24"/>
      <w:lang w:val="en-GB" w:eastAsia="en-GB"/>
    </w:rPr>
  </w:style>
  <w:style w:type="paragraph" w:styleId="BalloonText">
    <w:name w:val="Balloon Text"/>
    <w:basedOn w:val="Normal"/>
    <w:link w:val="BalloonTextChar"/>
    <w:uiPriority w:val="99"/>
    <w:semiHidden/>
    <w:rsid w:val="003A09AD"/>
    <w:rPr>
      <w:rFonts w:ascii="Tahoma" w:hAnsi="Tahoma" w:cs="Tahoma"/>
      <w:sz w:val="16"/>
      <w:szCs w:val="16"/>
    </w:rPr>
  </w:style>
  <w:style w:type="character" w:customStyle="1" w:styleId="BalloonTextChar">
    <w:name w:val="Balloon Text Char"/>
    <w:link w:val="BalloonText"/>
    <w:uiPriority w:val="99"/>
    <w:semiHidden/>
    <w:rsid w:val="003A09AD"/>
    <w:rPr>
      <w:rFonts w:ascii="Tahoma" w:hAnsi="Tahoma" w:cs="Tahoma"/>
      <w:sz w:val="16"/>
      <w:szCs w:val="16"/>
      <w:lang w:val="de-DE" w:eastAsia="ja-JP"/>
    </w:rPr>
  </w:style>
  <w:style w:type="character" w:styleId="CommentReference">
    <w:name w:val="annotation reference"/>
    <w:uiPriority w:val="99"/>
    <w:semiHidden/>
    <w:rsid w:val="008370EA"/>
    <w:rPr>
      <w:rFonts w:cs="Times New Roman"/>
      <w:sz w:val="18"/>
      <w:szCs w:val="18"/>
    </w:rPr>
  </w:style>
  <w:style w:type="paragraph" w:styleId="CommentText">
    <w:name w:val="annotation text"/>
    <w:basedOn w:val="Normal"/>
    <w:link w:val="CommentTextChar"/>
    <w:uiPriority w:val="99"/>
    <w:semiHidden/>
    <w:rsid w:val="008370EA"/>
    <w:rPr>
      <w:szCs w:val="24"/>
    </w:rPr>
  </w:style>
  <w:style w:type="character" w:customStyle="1" w:styleId="CommentTextChar">
    <w:name w:val="Comment Text Char"/>
    <w:link w:val="CommentText"/>
    <w:uiPriority w:val="99"/>
    <w:semiHidden/>
    <w:rsid w:val="008370EA"/>
    <w:rPr>
      <w:rFonts w:ascii="Times New Roman" w:hAnsi="Times New Roman" w:cs="Times New Roman"/>
      <w:sz w:val="24"/>
      <w:szCs w:val="24"/>
      <w:lang w:val="de-DE" w:eastAsia="ja-JP"/>
    </w:rPr>
  </w:style>
  <w:style w:type="paragraph" w:styleId="CommentSubject">
    <w:name w:val="annotation subject"/>
    <w:basedOn w:val="CommentText"/>
    <w:next w:val="CommentText"/>
    <w:link w:val="CommentSubjectChar"/>
    <w:uiPriority w:val="99"/>
    <w:semiHidden/>
    <w:rsid w:val="008370EA"/>
    <w:rPr>
      <w:b/>
      <w:bCs/>
      <w:sz w:val="20"/>
      <w:szCs w:val="20"/>
    </w:rPr>
  </w:style>
  <w:style w:type="character" w:customStyle="1" w:styleId="CommentSubjectChar">
    <w:name w:val="Comment Subject Char"/>
    <w:link w:val="CommentSubject"/>
    <w:uiPriority w:val="99"/>
    <w:semiHidden/>
    <w:rsid w:val="008370EA"/>
    <w:rPr>
      <w:rFonts w:ascii="Times New Roman" w:hAnsi="Times New Roman" w:cs="Times New Roman"/>
      <w:b/>
      <w:bCs/>
      <w:sz w:val="20"/>
      <w:szCs w:val="20"/>
      <w:lang w:val="de-DE" w:eastAsia="ja-JP"/>
    </w:rPr>
  </w:style>
  <w:style w:type="paragraph" w:styleId="Revision">
    <w:name w:val="Revision"/>
    <w:hidden/>
    <w:uiPriority w:val="99"/>
    <w:semiHidden/>
    <w:rsid w:val="004D3DDD"/>
    <w:rPr>
      <w:rFonts w:ascii="Times New Roman" w:eastAsia="Times New Roman" w:hAnsi="Times New Roman"/>
      <w:sz w:val="24"/>
      <w:lang w:val="de-DE" w:eastAsia="ja-JP"/>
    </w:rPr>
  </w:style>
  <w:style w:type="paragraph" w:styleId="Header">
    <w:name w:val="header"/>
    <w:basedOn w:val="Normal"/>
    <w:link w:val="HeaderChar"/>
    <w:uiPriority w:val="99"/>
    <w:rsid w:val="003975E3"/>
    <w:pPr>
      <w:tabs>
        <w:tab w:val="center" w:pos="4677"/>
        <w:tab w:val="right" w:pos="9355"/>
      </w:tabs>
    </w:pPr>
  </w:style>
  <w:style w:type="character" w:customStyle="1" w:styleId="HeaderChar">
    <w:name w:val="Header Char"/>
    <w:link w:val="Header"/>
    <w:uiPriority w:val="99"/>
    <w:rsid w:val="003975E3"/>
    <w:rPr>
      <w:rFonts w:ascii="Times New Roman" w:hAnsi="Times New Roman" w:cs="Times New Roman"/>
      <w:sz w:val="20"/>
      <w:szCs w:val="20"/>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1621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aul.ranne@archimedes.ee-Coordinator" TargetMode="Externa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358F83A-A4F5-4975-8B68-7A83AF2A5A9D}"/>
</file>

<file path=customXml/itemProps2.xml><?xml version="1.0" encoding="utf-8"?>
<ds:datastoreItem xmlns:ds="http://schemas.openxmlformats.org/officeDocument/2006/customXml" ds:itemID="{3A7DF9A6-B217-43E7-817A-35FA8A2D375A}"/>
</file>

<file path=customXml/itemProps3.xml><?xml version="1.0" encoding="utf-8"?>
<ds:datastoreItem xmlns:ds="http://schemas.openxmlformats.org/officeDocument/2006/customXml" ds:itemID="{3D626FF6-F483-4417-AAD2-5C377D668EB7}"/>
</file>

<file path=docProps/app.xml><?xml version="1.0" encoding="utf-8"?>
<Properties xmlns="http://schemas.openxmlformats.org/officeDocument/2006/extended-properties" xmlns:vt="http://schemas.openxmlformats.org/officeDocument/2006/docPropsVTypes">
  <Template>Normal</Template>
  <TotalTime>90</TotalTime>
  <Pages>1</Pages>
  <Words>1365</Words>
  <Characters>7783</Characters>
  <Application>Microsoft Office Word</Application>
  <DocSecurity>0</DocSecurity>
  <Lines>64</Lines>
  <Paragraphs>18</Paragraphs>
  <ScaleCrop>false</ScaleCrop>
  <Company>Microsoft</Company>
  <LinksUpToDate>false</LinksUpToDate>
  <CharactersWithSpaces>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Ranne</dc:creator>
  <cp:keywords/>
  <dc:description/>
  <cp:lastModifiedBy>BFUG Secretariat</cp:lastModifiedBy>
  <cp:revision>12</cp:revision>
  <dcterms:created xsi:type="dcterms:W3CDTF">2013-02-13T15:14:00Z</dcterms:created>
  <dcterms:modified xsi:type="dcterms:W3CDTF">2013-02-27T12:24:00Z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