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26A" w:rsidRPr="00995C5C" w:rsidRDefault="0047626A" w:rsidP="00717199">
      <w:pPr>
        <w:spacing w:before="60" w:after="60"/>
        <w:jc w:val="both"/>
        <w:rPr>
          <w:rFonts w:ascii="Calibri" w:hAnsi="Calibri" w:cs="Calibri"/>
        </w:rPr>
      </w:pPr>
    </w:p>
    <w:p w:rsidR="0047626A" w:rsidRPr="00995C5C" w:rsidRDefault="0047626A" w:rsidP="00717199">
      <w:pPr>
        <w:spacing w:before="60" w:after="60"/>
        <w:jc w:val="center"/>
        <w:rPr>
          <w:rFonts w:ascii="Calibri" w:hAnsi="Calibri" w:cs="Calibri"/>
          <w:i/>
          <w:sz w:val="28"/>
          <w:szCs w:val="28"/>
        </w:rPr>
      </w:pPr>
      <w:r w:rsidRPr="00995C5C">
        <w:rPr>
          <w:rFonts w:ascii="Calibri" w:hAnsi="Calibri" w:cs="Calibri"/>
          <w:i/>
          <w:sz w:val="28"/>
          <w:szCs w:val="28"/>
        </w:rPr>
        <w:t>Highlights from EURASHE since the</w:t>
      </w:r>
    </w:p>
    <w:p w:rsidR="0047626A" w:rsidRPr="00995C5C" w:rsidRDefault="0013602B" w:rsidP="00717199">
      <w:pPr>
        <w:spacing w:before="60" w:after="60"/>
        <w:jc w:val="center"/>
        <w:rPr>
          <w:rFonts w:ascii="Calibri" w:hAnsi="Calibri" w:cs="Calibri"/>
          <w:i/>
          <w:sz w:val="28"/>
          <w:szCs w:val="28"/>
        </w:rPr>
      </w:pPr>
      <w:r>
        <w:rPr>
          <w:rFonts w:ascii="Calibri" w:hAnsi="Calibri" w:cs="Calibri"/>
          <w:i/>
          <w:sz w:val="28"/>
          <w:szCs w:val="28"/>
        </w:rPr>
        <w:t>la</w:t>
      </w:r>
      <w:r w:rsidR="0047626A" w:rsidRPr="00995C5C">
        <w:rPr>
          <w:rFonts w:ascii="Calibri" w:hAnsi="Calibri" w:cs="Calibri"/>
          <w:i/>
          <w:sz w:val="28"/>
          <w:szCs w:val="28"/>
        </w:rPr>
        <w:t>t</w:t>
      </w:r>
      <w:r>
        <w:rPr>
          <w:rFonts w:ascii="Calibri" w:hAnsi="Calibri" w:cs="Calibri"/>
          <w:i/>
          <w:sz w:val="28"/>
          <w:szCs w:val="28"/>
        </w:rPr>
        <w:t>est</w:t>
      </w:r>
      <w:r w:rsidR="0047626A" w:rsidRPr="00995C5C">
        <w:rPr>
          <w:rFonts w:ascii="Calibri" w:hAnsi="Calibri" w:cs="Calibri"/>
          <w:i/>
          <w:sz w:val="28"/>
          <w:szCs w:val="28"/>
        </w:rPr>
        <w:t xml:space="preserve"> meeting of the BFUG on 28-29 August in Cyprus</w:t>
      </w:r>
    </w:p>
    <w:p w:rsidR="0047626A" w:rsidRDefault="0047626A" w:rsidP="00717199">
      <w:pPr>
        <w:spacing w:before="60" w:after="60"/>
        <w:jc w:val="both"/>
        <w:rPr>
          <w:rFonts w:ascii="Calibri" w:hAnsi="Calibri" w:cs="Calibri"/>
        </w:rPr>
      </w:pPr>
    </w:p>
    <w:p w:rsidR="00A7772C" w:rsidRPr="00995C5C" w:rsidRDefault="00A7772C" w:rsidP="00717199">
      <w:pPr>
        <w:spacing w:before="60" w:after="60"/>
        <w:jc w:val="both"/>
        <w:rPr>
          <w:rFonts w:ascii="Calibri" w:hAnsi="Calibri" w:cs="Calibri"/>
        </w:rPr>
      </w:pPr>
    </w:p>
    <w:p w:rsidR="0047626A" w:rsidRPr="00995C5C" w:rsidRDefault="0047626A" w:rsidP="00717199">
      <w:pPr>
        <w:spacing w:before="60" w:after="60"/>
        <w:jc w:val="both"/>
        <w:rPr>
          <w:rFonts w:ascii="Calibri" w:hAnsi="Calibri" w:cs="Calibri"/>
          <w:b/>
          <w:color w:val="95B3D7" w:themeColor="accent1" w:themeTint="99"/>
          <w:sz w:val="24"/>
          <w:szCs w:val="24"/>
        </w:rPr>
      </w:pPr>
      <w:r w:rsidRPr="00995C5C">
        <w:rPr>
          <w:rFonts w:ascii="Calibri" w:hAnsi="Calibri" w:cs="Calibri"/>
          <w:b/>
          <w:color w:val="95B3D7" w:themeColor="accent1" w:themeTint="99"/>
          <w:sz w:val="24"/>
          <w:szCs w:val="24"/>
        </w:rPr>
        <w:t>EURASHE 23</w:t>
      </w:r>
      <w:r w:rsidRPr="00995C5C">
        <w:rPr>
          <w:rFonts w:ascii="Calibri" w:hAnsi="Calibri" w:cs="Calibri"/>
          <w:b/>
          <w:color w:val="95B3D7" w:themeColor="accent1" w:themeTint="99"/>
          <w:sz w:val="24"/>
          <w:szCs w:val="24"/>
          <w:vertAlign w:val="superscript"/>
        </w:rPr>
        <w:t>rd</w:t>
      </w:r>
      <w:r w:rsidRPr="00995C5C">
        <w:rPr>
          <w:rFonts w:ascii="Calibri" w:hAnsi="Calibri" w:cs="Calibri"/>
          <w:b/>
          <w:color w:val="95B3D7" w:themeColor="accent1" w:themeTint="99"/>
          <w:sz w:val="24"/>
          <w:szCs w:val="24"/>
        </w:rPr>
        <w:t xml:space="preserve"> Annual Conference ‘Higher Education – Making the Knowledge Triangle Work’, 9-10 May 2013, Split (Croatia)</w:t>
      </w:r>
    </w:p>
    <w:p w:rsidR="0047626A" w:rsidRPr="00995C5C" w:rsidRDefault="0047626A" w:rsidP="00717199">
      <w:pPr>
        <w:spacing w:before="60" w:after="60"/>
        <w:jc w:val="both"/>
        <w:rPr>
          <w:rFonts w:ascii="Calibri" w:hAnsi="Calibri" w:cs="Calibri"/>
        </w:rPr>
      </w:pPr>
      <w:r w:rsidRPr="00995C5C">
        <w:rPr>
          <w:rFonts w:ascii="Calibri" w:hAnsi="Calibri" w:cs="Calibri"/>
        </w:rPr>
        <w:t>The 23</w:t>
      </w:r>
      <w:r w:rsidRPr="00995C5C">
        <w:rPr>
          <w:rFonts w:ascii="Calibri" w:hAnsi="Calibri" w:cs="Calibri"/>
          <w:vertAlign w:val="superscript"/>
        </w:rPr>
        <w:t>rd</w:t>
      </w:r>
      <w:r w:rsidRPr="00995C5C">
        <w:rPr>
          <w:rFonts w:ascii="Calibri" w:hAnsi="Calibri" w:cs="Calibri"/>
        </w:rPr>
        <w:t xml:space="preserve"> Annual Conference of EURASHE will be held on Thursday 9 and February 10 May 2013 in Split (Croatia) at the occasion of the country joining the European Union. It will be precede</w:t>
      </w:r>
      <w:r w:rsidR="00C021FF">
        <w:rPr>
          <w:rFonts w:ascii="Calibri" w:hAnsi="Calibri" w:cs="Calibri"/>
        </w:rPr>
        <w:t>d</w:t>
      </w:r>
      <w:r w:rsidRPr="00995C5C">
        <w:rPr>
          <w:rFonts w:ascii="Calibri" w:hAnsi="Calibri" w:cs="Calibri"/>
        </w:rPr>
        <w:t xml:space="preserve"> by EURASHE internal events, including its 2013 General Assembly on 8 May. The main Conference theme is ‘Higher Education – Making the Knowledge Triangle Work’.</w:t>
      </w:r>
    </w:p>
    <w:p w:rsidR="0047626A" w:rsidRPr="00995C5C" w:rsidRDefault="0047626A" w:rsidP="00717199">
      <w:pPr>
        <w:spacing w:before="60" w:after="60"/>
        <w:jc w:val="both"/>
        <w:rPr>
          <w:rFonts w:ascii="Calibri" w:hAnsi="Calibri" w:cs="Calibri"/>
        </w:rPr>
      </w:pPr>
      <w:r w:rsidRPr="00995C5C">
        <w:rPr>
          <w:rFonts w:ascii="Calibri" w:hAnsi="Calibri" w:cs="Calibri"/>
        </w:rPr>
        <w:t>In this Conference we focus on what we have identified as key features of the Knowledge Triangle, and what this entails for higher education institutions engaged in applied research and experimental developments.</w:t>
      </w:r>
    </w:p>
    <w:p w:rsidR="0047626A" w:rsidRPr="00995C5C" w:rsidRDefault="0047626A" w:rsidP="00717199">
      <w:pPr>
        <w:spacing w:before="60" w:after="60"/>
        <w:jc w:val="both"/>
        <w:rPr>
          <w:rFonts w:ascii="Calibri" w:hAnsi="Calibri" w:cs="Calibri"/>
        </w:rPr>
      </w:pPr>
      <w:r w:rsidRPr="00995C5C">
        <w:rPr>
          <w:rFonts w:ascii="Calibri" w:hAnsi="Calibri" w:cs="Calibri"/>
        </w:rPr>
        <w:t xml:space="preserve">In the plenary meetings of the two conference days key note speakers from the hosting country (Croatia), official European organisations as well as major stakeholders in higher education will expand their views on the overarching conference theme </w:t>
      </w:r>
      <w:r w:rsidRPr="00995C5C">
        <w:rPr>
          <w:rFonts w:ascii="Calibri" w:hAnsi="Calibri" w:cs="Calibri"/>
          <w:i/>
        </w:rPr>
        <w:t>Making the Knowledge Triangle Work</w:t>
      </w:r>
      <w:r w:rsidRPr="00995C5C">
        <w:rPr>
          <w:rFonts w:ascii="Calibri" w:hAnsi="Calibri" w:cs="Calibri"/>
        </w:rPr>
        <w:t>.</w:t>
      </w:r>
    </w:p>
    <w:p w:rsidR="0047626A" w:rsidRPr="00995C5C" w:rsidRDefault="0047626A" w:rsidP="00717199">
      <w:pPr>
        <w:spacing w:before="60" w:after="60"/>
        <w:jc w:val="both"/>
        <w:rPr>
          <w:rFonts w:ascii="Calibri" w:hAnsi="Calibri" w:cs="Calibri"/>
        </w:rPr>
      </w:pPr>
      <w:r w:rsidRPr="00995C5C">
        <w:rPr>
          <w:rFonts w:ascii="Calibri" w:hAnsi="Calibri" w:cs="Calibri"/>
        </w:rPr>
        <w:t>In the different sections we will look at how countries shape their education policies and we will be presented issues like:</w:t>
      </w:r>
    </w:p>
    <w:p w:rsidR="0047626A" w:rsidRPr="00995C5C" w:rsidRDefault="0047626A" w:rsidP="00717199">
      <w:pPr>
        <w:pStyle w:val="ListParagraph"/>
        <w:numPr>
          <w:ilvl w:val="0"/>
          <w:numId w:val="1"/>
        </w:numPr>
        <w:spacing w:before="60" w:after="60" w:line="276" w:lineRule="auto"/>
        <w:contextualSpacing w:val="0"/>
        <w:jc w:val="both"/>
        <w:rPr>
          <w:rFonts w:ascii="Calibri" w:hAnsi="Calibri" w:cs="Calibri"/>
          <w:sz w:val="22"/>
          <w:szCs w:val="22"/>
          <w:lang w:val="en-GB"/>
        </w:rPr>
      </w:pPr>
      <w:r w:rsidRPr="00995C5C">
        <w:rPr>
          <w:rFonts w:ascii="Calibri" w:hAnsi="Calibri" w:cs="Calibri"/>
          <w:sz w:val="22"/>
          <w:szCs w:val="22"/>
          <w:lang w:val="en-GB"/>
        </w:rPr>
        <w:t>Comparison of European HE systems, incl</w:t>
      </w:r>
      <w:r w:rsidR="00C021FF">
        <w:rPr>
          <w:rFonts w:ascii="Calibri" w:hAnsi="Calibri" w:cs="Calibri"/>
          <w:sz w:val="22"/>
          <w:szCs w:val="22"/>
          <w:lang w:val="en-GB"/>
        </w:rPr>
        <w:t>uding the outcomes of the HAPHE</w:t>
      </w:r>
      <w:r w:rsidRPr="00995C5C">
        <w:rPr>
          <w:rFonts w:ascii="Calibri" w:hAnsi="Calibri" w:cs="Calibri"/>
          <w:sz w:val="22"/>
          <w:szCs w:val="22"/>
          <w:lang w:val="en-GB"/>
        </w:rPr>
        <w:t xml:space="preserve"> project on the profile of professionally-oriented institutions and programme</w:t>
      </w:r>
      <w:r w:rsidR="00C021FF">
        <w:rPr>
          <w:rFonts w:ascii="Calibri" w:hAnsi="Calibri" w:cs="Calibri"/>
          <w:sz w:val="22"/>
          <w:szCs w:val="22"/>
          <w:lang w:val="en-GB"/>
        </w:rPr>
        <w:t>s (</w:t>
      </w:r>
      <w:r w:rsidR="00C021FF" w:rsidRPr="00995C5C">
        <w:rPr>
          <w:rFonts w:ascii="Calibri" w:hAnsi="Calibri" w:cs="Calibri"/>
          <w:sz w:val="22"/>
          <w:szCs w:val="22"/>
          <w:lang w:val="en-GB"/>
        </w:rPr>
        <w:t>Harmonising Approaches to Professional Higher Education)</w:t>
      </w:r>
      <w:r w:rsidR="00717199">
        <w:rPr>
          <w:rFonts w:ascii="Calibri" w:hAnsi="Calibri" w:cs="Calibri"/>
          <w:sz w:val="22"/>
          <w:szCs w:val="22"/>
          <w:lang w:val="en-GB"/>
        </w:rPr>
        <w:t>;</w:t>
      </w:r>
    </w:p>
    <w:p w:rsidR="0047626A" w:rsidRPr="00995C5C" w:rsidRDefault="0047626A" w:rsidP="00717199">
      <w:pPr>
        <w:pStyle w:val="ListParagraph"/>
        <w:numPr>
          <w:ilvl w:val="0"/>
          <w:numId w:val="1"/>
        </w:numPr>
        <w:spacing w:before="60" w:after="60" w:line="276" w:lineRule="auto"/>
        <w:contextualSpacing w:val="0"/>
        <w:jc w:val="both"/>
        <w:rPr>
          <w:rFonts w:ascii="Calibri" w:hAnsi="Calibri" w:cs="Calibri"/>
          <w:sz w:val="22"/>
          <w:szCs w:val="22"/>
          <w:lang w:val="en-GB"/>
        </w:rPr>
      </w:pPr>
      <w:r w:rsidRPr="00995C5C">
        <w:rPr>
          <w:rFonts w:ascii="Calibri" w:hAnsi="Calibri" w:cs="Calibri"/>
          <w:sz w:val="22"/>
          <w:szCs w:val="22"/>
          <w:lang w:val="en-GB"/>
        </w:rPr>
        <w:t>Strategic frameworks for the development of professional higher education;</w:t>
      </w:r>
    </w:p>
    <w:p w:rsidR="00C021FF" w:rsidRPr="00C021FF" w:rsidRDefault="0047626A" w:rsidP="00717199">
      <w:pPr>
        <w:pStyle w:val="ListParagraph"/>
        <w:numPr>
          <w:ilvl w:val="0"/>
          <w:numId w:val="1"/>
        </w:numPr>
        <w:spacing w:before="60" w:after="60" w:line="276" w:lineRule="auto"/>
        <w:contextualSpacing w:val="0"/>
        <w:jc w:val="both"/>
        <w:rPr>
          <w:rFonts w:ascii="Calibri" w:hAnsi="Calibri" w:cs="Calibri"/>
          <w:lang w:val="en-GB"/>
        </w:rPr>
      </w:pPr>
      <w:r w:rsidRPr="00C021FF">
        <w:rPr>
          <w:rFonts w:ascii="Calibri" w:hAnsi="Calibri" w:cs="Calibri"/>
          <w:sz w:val="22"/>
          <w:szCs w:val="22"/>
          <w:lang w:val="en-GB"/>
        </w:rPr>
        <w:t>Professional and academic education in the bi</w:t>
      </w:r>
      <w:r w:rsidR="00717199">
        <w:rPr>
          <w:rFonts w:ascii="Calibri" w:hAnsi="Calibri" w:cs="Calibri"/>
          <w:sz w:val="22"/>
          <w:szCs w:val="22"/>
          <w:lang w:val="en-GB"/>
        </w:rPr>
        <w:t>nary system of higher education.</w:t>
      </w:r>
    </w:p>
    <w:p w:rsidR="00C021FF" w:rsidRPr="00C021FF" w:rsidRDefault="00C021FF" w:rsidP="00717199">
      <w:pPr>
        <w:spacing w:before="60" w:after="60"/>
        <w:ind w:left="360"/>
        <w:jc w:val="both"/>
        <w:rPr>
          <w:rFonts w:ascii="Calibri" w:hAnsi="Calibri" w:cs="Calibri"/>
        </w:rPr>
      </w:pPr>
    </w:p>
    <w:p w:rsidR="00C021FF" w:rsidRPr="00C021FF" w:rsidRDefault="0047626A" w:rsidP="00717199">
      <w:pPr>
        <w:spacing w:before="60" w:after="60"/>
        <w:jc w:val="both"/>
        <w:rPr>
          <w:rFonts w:ascii="Calibri" w:hAnsi="Calibri" w:cs="Calibri"/>
        </w:rPr>
      </w:pPr>
      <w:r w:rsidRPr="00C021FF">
        <w:rPr>
          <w:rFonts w:ascii="Calibri" w:hAnsi="Calibri" w:cs="Calibri"/>
        </w:rPr>
        <w:t xml:space="preserve">The Conference is organised by EURASHE and the Croatian Council of Universities and University Colleges of Applied Sciences (VVIVŠ), </w:t>
      </w:r>
      <w:r w:rsidR="0013602B" w:rsidRPr="00C021FF">
        <w:rPr>
          <w:rFonts w:ascii="Calibri" w:hAnsi="Calibri" w:cs="Calibri"/>
        </w:rPr>
        <w:t>with the support of the Ministry of Science, Education and Sports of the Republic of Croatia (MZOS)</w:t>
      </w:r>
      <w:r w:rsidR="0013602B">
        <w:rPr>
          <w:rFonts w:ascii="Calibri" w:hAnsi="Calibri" w:cs="Calibri"/>
        </w:rPr>
        <w:t xml:space="preserve">, and </w:t>
      </w:r>
      <w:r w:rsidRPr="00C021FF">
        <w:rPr>
          <w:rFonts w:ascii="Calibri" w:hAnsi="Calibri" w:cs="Calibri"/>
        </w:rPr>
        <w:t>in close co-operation with the Universities of Appli</w:t>
      </w:r>
      <w:r w:rsidR="00717199">
        <w:rPr>
          <w:rFonts w:ascii="Calibri" w:hAnsi="Calibri" w:cs="Calibri"/>
        </w:rPr>
        <w:t xml:space="preserve">ed Sciences Network (UASnet), </w:t>
      </w:r>
      <w:r w:rsidRPr="00C021FF">
        <w:rPr>
          <w:rFonts w:ascii="Calibri" w:hAnsi="Calibri" w:cs="Calibri"/>
        </w:rPr>
        <w:t>the University of Split (host), the Agency for Science and Higher Education (ASHE) and the HAPHE initiative: Harmonising Approaches to Professional Higher Education in Europe. The Conference will be held under the High Patronage of the President of the Republic of Croatia</w:t>
      </w:r>
      <w:r w:rsidR="00C021FF" w:rsidRPr="00C021FF">
        <w:rPr>
          <w:rFonts w:ascii="Calibri" w:hAnsi="Calibri" w:cs="Calibri"/>
        </w:rPr>
        <w:t>.</w:t>
      </w:r>
    </w:p>
    <w:p w:rsidR="0047626A" w:rsidRPr="00995C5C" w:rsidRDefault="0047626A" w:rsidP="00717199">
      <w:pPr>
        <w:spacing w:before="60" w:after="60"/>
        <w:jc w:val="both"/>
        <w:rPr>
          <w:rFonts w:ascii="Calibri" w:hAnsi="Calibri" w:cs="Calibri"/>
          <w:b/>
        </w:rPr>
      </w:pPr>
      <w:r w:rsidRPr="00995C5C">
        <w:rPr>
          <w:rFonts w:ascii="Calibri" w:hAnsi="Calibri" w:cs="Calibri"/>
        </w:rPr>
        <w:t xml:space="preserve">See also: </w:t>
      </w:r>
      <w:hyperlink r:id="rId9" w:history="1">
        <w:r w:rsidRPr="00995C5C">
          <w:rPr>
            <w:rStyle w:val="Hyperlink"/>
            <w:rFonts w:ascii="Calibri" w:hAnsi="Calibri" w:cs="Calibri"/>
          </w:rPr>
          <w:t>www.eurashe.eu/split</w:t>
        </w:r>
      </w:hyperlink>
      <w:r w:rsidRPr="00995C5C">
        <w:rPr>
          <w:rFonts w:ascii="Calibri" w:hAnsi="Calibri" w:cs="Calibri"/>
        </w:rPr>
        <w:t xml:space="preserve"> </w:t>
      </w:r>
      <w:r w:rsidRPr="00995C5C">
        <w:rPr>
          <w:rFonts w:ascii="Calibri" w:hAnsi="Calibri" w:cs="Calibri"/>
          <w:b/>
        </w:rPr>
        <w:br w:type="page"/>
      </w:r>
    </w:p>
    <w:p w:rsidR="0047626A" w:rsidRPr="00995C5C" w:rsidRDefault="0047626A" w:rsidP="00717199">
      <w:pPr>
        <w:spacing w:before="60" w:after="60"/>
        <w:jc w:val="both"/>
        <w:rPr>
          <w:rFonts w:ascii="Calibri" w:hAnsi="Calibri" w:cs="Calibri"/>
          <w:b/>
          <w:color w:val="95B3D7" w:themeColor="accent1" w:themeTint="99"/>
          <w:sz w:val="24"/>
          <w:szCs w:val="24"/>
        </w:rPr>
      </w:pPr>
      <w:r w:rsidRPr="00995C5C">
        <w:rPr>
          <w:rFonts w:ascii="Calibri" w:hAnsi="Calibri" w:cs="Calibri"/>
          <w:b/>
          <w:color w:val="95B3D7" w:themeColor="accent1" w:themeTint="99"/>
          <w:sz w:val="24"/>
          <w:szCs w:val="24"/>
        </w:rPr>
        <w:lastRenderedPageBreak/>
        <w:t>Roundtable on Employability, 7 February 2013, Brussels (Belgium)</w:t>
      </w:r>
    </w:p>
    <w:p w:rsidR="0047626A" w:rsidRPr="00995C5C" w:rsidRDefault="0047626A" w:rsidP="00717199">
      <w:pPr>
        <w:spacing w:before="60" w:after="60"/>
        <w:jc w:val="both"/>
        <w:rPr>
          <w:rFonts w:ascii="Calibri" w:hAnsi="Calibri" w:cs="Calibri"/>
        </w:rPr>
      </w:pPr>
      <w:r w:rsidRPr="00995C5C">
        <w:rPr>
          <w:rFonts w:ascii="Calibri" w:hAnsi="Calibri" w:cs="Calibri"/>
        </w:rPr>
        <w:t xml:space="preserve">In October 2012 EURASHE adopted its 2013 work programme with a strong emphasis shown on employability, highlighting our belief in the corner-stone importance of employability in current times. On 7 February 2013 EURASHE organised a </w:t>
      </w:r>
      <w:r w:rsidRPr="00995C5C">
        <w:rPr>
          <w:rFonts w:ascii="Calibri" w:hAnsi="Calibri" w:cs="Calibri"/>
          <w:i/>
        </w:rPr>
        <w:t xml:space="preserve">Roundtable on Employability </w:t>
      </w:r>
      <w:r w:rsidRPr="00995C5C">
        <w:rPr>
          <w:rFonts w:ascii="Calibri" w:hAnsi="Calibri" w:cs="Calibri"/>
        </w:rPr>
        <w:t>in Brussels (Belgium).</w:t>
      </w:r>
    </w:p>
    <w:p w:rsidR="00C021FF" w:rsidRPr="00717199" w:rsidRDefault="00C021FF" w:rsidP="00717199">
      <w:pPr>
        <w:spacing w:before="60" w:after="60"/>
        <w:jc w:val="both"/>
        <w:rPr>
          <w:rFonts w:ascii="Calibri" w:hAnsi="Calibri" w:cs="Calibri"/>
        </w:rPr>
      </w:pPr>
      <w:r w:rsidRPr="00717199">
        <w:rPr>
          <w:rFonts w:ascii="Calibri" w:hAnsi="Calibri" w:cs="Calibri"/>
        </w:rPr>
        <w:t>This one-day closed event gathering selected experts in the field: researchers/students from Maastricht University (Netherlands) and from FH Joanneum University of Applied Sciences (Austria), researchers from Charles University in Prague (Czech Republic) and representativ</w:t>
      </w:r>
      <w:r w:rsidR="0013602B" w:rsidRPr="00717199">
        <w:rPr>
          <w:rFonts w:ascii="Calibri" w:hAnsi="Calibri" w:cs="Calibri"/>
        </w:rPr>
        <w:t>es from EUROCADRES and ASIIN e.</w:t>
      </w:r>
      <w:r w:rsidR="00717199">
        <w:rPr>
          <w:rFonts w:ascii="Calibri" w:hAnsi="Calibri" w:cs="Calibri"/>
        </w:rPr>
        <w:t>V</w:t>
      </w:r>
      <w:r w:rsidRPr="00717199">
        <w:rPr>
          <w:rFonts w:ascii="Calibri" w:hAnsi="Calibri" w:cs="Calibri"/>
        </w:rPr>
        <w:t>., allowed participants to c</w:t>
      </w:r>
      <w:r w:rsidR="0013602B" w:rsidRPr="00717199">
        <w:rPr>
          <w:rFonts w:ascii="Calibri" w:hAnsi="Calibri" w:cs="Calibri"/>
        </w:rPr>
        <w:t>ompare</w:t>
      </w:r>
      <w:r w:rsidRPr="00717199">
        <w:rPr>
          <w:rFonts w:ascii="Calibri" w:hAnsi="Calibri" w:cs="Calibri"/>
        </w:rPr>
        <w:t xml:space="preserve"> their understanding of employability with other stakeholders and to suggest further actions to widen the HE community’s participation in further exploring the field of employability. The Report of the Roundtable will be available at the end of February on our website.</w:t>
      </w:r>
    </w:p>
    <w:p w:rsidR="0047626A" w:rsidRPr="00995C5C" w:rsidRDefault="0047626A" w:rsidP="00717199">
      <w:pPr>
        <w:spacing w:before="60" w:after="60"/>
        <w:jc w:val="both"/>
        <w:rPr>
          <w:rFonts w:ascii="Calibri" w:hAnsi="Calibri" w:cs="Calibri"/>
        </w:rPr>
      </w:pPr>
      <w:r w:rsidRPr="00995C5C">
        <w:rPr>
          <w:rFonts w:ascii="Calibri" w:hAnsi="Calibri" w:cs="Calibri"/>
        </w:rPr>
        <w:t xml:space="preserve">See also: </w:t>
      </w:r>
      <w:hyperlink r:id="rId10" w:history="1">
        <w:r w:rsidRPr="00995C5C">
          <w:rPr>
            <w:rStyle w:val="Hyperlink"/>
            <w:rFonts w:ascii="Calibri" w:hAnsi="Calibri" w:cs="Calibri"/>
          </w:rPr>
          <w:t>www.eurashe.eu/roundtable</w:t>
        </w:r>
      </w:hyperlink>
    </w:p>
    <w:p w:rsidR="0047626A" w:rsidRPr="00995C5C" w:rsidRDefault="0047626A" w:rsidP="00717199">
      <w:pPr>
        <w:spacing w:before="60" w:after="60"/>
        <w:jc w:val="both"/>
        <w:rPr>
          <w:rFonts w:ascii="Calibri" w:hAnsi="Calibri" w:cs="Calibri"/>
          <w:b/>
        </w:rPr>
      </w:pPr>
    </w:p>
    <w:p w:rsidR="0047626A" w:rsidRPr="00995C5C" w:rsidRDefault="0047626A" w:rsidP="00717199">
      <w:pPr>
        <w:spacing w:before="60" w:after="60"/>
        <w:jc w:val="both"/>
        <w:rPr>
          <w:rFonts w:ascii="Calibri" w:hAnsi="Calibri" w:cs="Calibri"/>
          <w:b/>
          <w:color w:val="95B3D7" w:themeColor="accent1" w:themeTint="99"/>
          <w:sz w:val="24"/>
          <w:szCs w:val="24"/>
        </w:rPr>
      </w:pPr>
      <w:r w:rsidRPr="00995C5C">
        <w:rPr>
          <w:rFonts w:ascii="Calibri" w:hAnsi="Calibri" w:cs="Calibri"/>
          <w:b/>
          <w:color w:val="95B3D7" w:themeColor="accent1" w:themeTint="99"/>
          <w:sz w:val="24"/>
          <w:szCs w:val="24"/>
        </w:rPr>
        <w:t>Seminar on Recognition of Prior Learning (RPL): Flexible Ties within Higher Education, 13-14 December 2012, Prague (Czech Republic)</w:t>
      </w:r>
    </w:p>
    <w:p w:rsidR="0047626A" w:rsidRPr="00995C5C" w:rsidRDefault="0047626A" w:rsidP="00717199">
      <w:pPr>
        <w:spacing w:before="60" w:after="60"/>
        <w:jc w:val="both"/>
        <w:rPr>
          <w:rFonts w:ascii="Calibri" w:hAnsi="Calibri" w:cs="Calibri"/>
        </w:rPr>
      </w:pPr>
      <w:r w:rsidRPr="00995C5C">
        <w:rPr>
          <w:rFonts w:ascii="Calibri" w:hAnsi="Calibri" w:cs="Calibri"/>
        </w:rPr>
        <w:t xml:space="preserve">On 13-14 December 2012 EURASHE organised </w:t>
      </w:r>
      <w:r w:rsidR="00C021FF">
        <w:rPr>
          <w:rFonts w:ascii="Calibri" w:hAnsi="Calibri" w:cs="Calibri"/>
        </w:rPr>
        <w:t xml:space="preserve">together </w:t>
      </w:r>
      <w:r w:rsidRPr="00995C5C">
        <w:rPr>
          <w:rFonts w:ascii="Calibri" w:hAnsi="Calibri" w:cs="Calibri"/>
        </w:rPr>
        <w:t xml:space="preserve">with the European RPL Network (ERPLN), the Czech Ministry of Education, Youth and Sports (MŠMT) and the Czech Association of Schools of Professional Higher Education (CASPHE) its Annual Lifelong Learning (LLL) Seminar on </w:t>
      </w:r>
      <w:r w:rsidRPr="00995C5C">
        <w:rPr>
          <w:rFonts w:ascii="Calibri" w:hAnsi="Calibri" w:cs="Calibri"/>
          <w:i/>
        </w:rPr>
        <w:t>Recognition of Prior Learning (RPL): Flexible Ties within Higher Education</w:t>
      </w:r>
      <w:r w:rsidRPr="00995C5C">
        <w:rPr>
          <w:rFonts w:ascii="Calibri" w:hAnsi="Calibri" w:cs="Calibri"/>
        </w:rPr>
        <w:t xml:space="preserve"> in Prague (Czech Republic).</w:t>
      </w:r>
    </w:p>
    <w:p w:rsidR="0047626A" w:rsidRPr="00995C5C" w:rsidRDefault="0047626A" w:rsidP="00717199">
      <w:pPr>
        <w:spacing w:before="60" w:after="60"/>
        <w:jc w:val="both"/>
        <w:rPr>
          <w:rFonts w:ascii="Calibri" w:hAnsi="Calibri" w:cs="Calibri"/>
        </w:rPr>
      </w:pPr>
      <w:r w:rsidRPr="00995C5C">
        <w:rPr>
          <w:rFonts w:ascii="Calibri" w:hAnsi="Calibri" w:cs="Calibri"/>
        </w:rPr>
        <w:t xml:space="preserve">The Seminar provided participants with the opportunity to discuss the latest developments in the field of RPL as well as the various national and international perspectives of RPL, through the input provided by French, Irish, Dutch, British speakers as well as representatives from UNESCO’s Institute for Lifelong Learning (UILLL). The Report of the Seminar will be available </w:t>
      </w:r>
      <w:r w:rsidR="00C021FF" w:rsidRPr="00995C5C">
        <w:rPr>
          <w:rFonts w:ascii="Calibri" w:hAnsi="Calibri" w:cs="Calibri"/>
        </w:rPr>
        <w:t xml:space="preserve">on our website </w:t>
      </w:r>
      <w:r w:rsidRPr="00995C5C">
        <w:rPr>
          <w:rFonts w:ascii="Calibri" w:hAnsi="Calibri" w:cs="Calibri"/>
        </w:rPr>
        <w:t>at the end of February.</w:t>
      </w:r>
    </w:p>
    <w:p w:rsidR="0047626A" w:rsidRPr="00995C5C" w:rsidRDefault="0047626A" w:rsidP="00717199">
      <w:pPr>
        <w:spacing w:before="60" w:after="60"/>
        <w:jc w:val="both"/>
        <w:rPr>
          <w:rFonts w:ascii="Calibri" w:hAnsi="Calibri" w:cs="Calibri"/>
        </w:rPr>
      </w:pPr>
      <w:r w:rsidRPr="00995C5C">
        <w:rPr>
          <w:rFonts w:ascii="Calibri" w:hAnsi="Calibri" w:cs="Calibri"/>
        </w:rPr>
        <w:t xml:space="preserve">See also: </w:t>
      </w:r>
      <w:hyperlink r:id="rId11" w:history="1">
        <w:r w:rsidRPr="00995C5C">
          <w:rPr>
            <w:rStyle w:val="Hyperlink"/>
            <w:rFonts w:ascii="Calibri" w:hAnsi="Calibri" w:cs="Calibri"/>
          </w:rPr>
          <w:t>www.eurashe.eu/prague</w:t>
        </w:r>
      </w:hyperlink>
    </w:p>
    <w:p w:rsidR="0047626A" w:rsidRPr="00995C5C" w:rsidRDefault="0047626A" w:rsidP="00717199">
      <w:pPr>
        <w:spacing w:before="60" w:after="60"/>
        <w:jc w:val="both"/>
        <w:rPr>
          <w:rFonts w:ascii="Calibri" w:hAnsi="Calibri" w:cs="Calibri"/>
          <w:b/>
        </w:rPr>
      </w:pPr>
    </w:p>
    <w:p w:rsidR="0047626A" w:rsidRPr="00995C5C" w:rsidRDefault="0047626A" w:rsidP="00717199">
      <w:pPr>
        <w:spacing w:before="60" w:after="60"/>
        <w:jc w:val="both"/>
        <w:rPr>
          <w:rFonts w:ascii="Calibri" w:hAnsi="Calibri" w:cs="Calibri"/>
          <w:b/>
          <w:color w:val="95B3D7" w:themeColor="accent1" w:themeTint="99"/>
          <w:sz w:val="24"/>
          <w:szCs w:val="24"/>
        </w:rPr>
      </w:pPr>
      <w:r w:rsidRPr="00995C5C">
        <w:rPr>
          <w:rFonts w:ascii="Calibri" w:hAnsi="Calibri" w:cs="Calibri"/>
          <w:b/>
          <w:color w:val="95B3D7" w:themeColor="accent1" w:themeTint="99"/>
          <w:sz w:val="24"/>
          <w:szCs w:val="24"/>
        </w:rPr>
        <w:t>Seminar on the Implementation of Internal and External Quality Assurance (QA), 27-28 September 2012, Nicosia (Cyprus)</w:t>
      </w:r>
    </w:p>
    <w:p w:rsidR="0047626A" w:rsidRPr="00995C5C" w:rsidRDefault="0047626A" w:rsidP="00717199">
      <w:pPr>
        <w:spacing w:before="60" w:after="60"/>
        <w:jc w:val="both"/>
        <w:rPr>
          <w:rFonts w:ascii="Calibri" w:hAnsi="Calibri" w:cs="Calibri"/>
        </w:rPr>
      </w:pPr>
      <w:r w:rsidRPr="00995C5C">
        <w:rPr>
          <w:rFonts w:ascii="Calibri" w:hAnsi="Calibri" w:cs="Calibri"/>
        </w:rPr>
        <w:t xml:space="preserve">On 28-29 September 2012 EURASHE organised with European University Cyprus (EUC), Open University of Cyprus (OUC) and under the auspices of the Cyprus Presidency of the Council of the European Union a Seminar on the </w:t>
      </w:r>
      <w:r w:rsidRPr="00995C5C">
        <w:rPr>
          <w:rFonts w:ascii="Calibri" w:hAnsi="Calibri" w:cs="Calibri"/>
          <w:i/>
        </w:rPr>
        <w:t>Implementation of Internal and External Quality Assurance (QA)</w:t>
      </w:r>
      <w:r w:rsidRPr="00995C5C">
        <w:rPr>
          <w:rFonts w:ascii="Calibri" w:hAnsi="Calibri" w:cs="Calibri"/>
        </w:rPr>
        <w:t xml:space="preserve"> in Nicosia (Cyprus).</w:t>
      </w:r>
    </w:p>
    <w:p w:rsidR="0047626A" w:rsidRPr="00995C5C" w:rsidRDefault="0047626A" w:rsidP="00717199">
      <w:pPr>
        <w:spacing w:before="60" w:after="60"/>
        <w:jc w:val="both"/>
        <w:rPr>
          <w:rFonts w:ascii="Calibri" w:hAnsi="Calibri" w:cs="Calibri"/>
        </w:rPr>
      </w:pPr>
      <w:r w:rsidRPr="00995C5C">
        <w:rPr>
          <w:rFonts w:ascii="Calibri" w:hAnsi="Calibri" w:cs="Calibri"/>
        </w:rPr>
        <w:t>This seminar provided the participants with the opportunity to share their views on the implementation of internal and external QA based on the ESG through various hands-on workshops, and to share institutional experience in the matter. The Report of the Seminar is available on our website</w:t>
      </w:r>
      <w:r w:rsidRPr="00995C5C">
        <w:rPr>
          <w:rStyle w:val="FootnoteReference"/>
          <w:rFonts w:cs="Calibri"/>
        </w:rPr>
        <w:footnoteReference w:id="1"/>
      </w:r>
      <w:r w:rsidRPr="00995C5C">
        <w:rPr>
          <w:rFonts w:ascii="Calibri" w:hAnsi="Calibri" w:cs="Calibri"/>
        </w:rPr>
        <w:t>.</w:t>
      </w:r>
      <w:r w:rsidR="00717199">
        <w:rPr>
          <w:rFonts w:ascii="Calibri" w:hAnsi="Calibri" w:cs="Calibri"/>
        </w:rPr>
        <w:t xml:space="preserve"> </w:t>
      </w:r>
      <w:r w:rsidRPr="00995C5C">
        <w:rPr>
          <w:rFonts w:ascii="Calibri" w:hAnsi="Calibri" w:cs="Calibri"/>
        </w:rPr>
        <w:t xml:space="preserve">On this occasion EURASHE </w:t>
      </w:r>
      <w:r w:rsidR="00C021FF">
        <w:rPr>
          <w:rFonts w:ascii="Calibri" w:hAnsi="Calibri" w:cs="Calibri"/>
        </w:rPr>
        <w:t>released</w:t>
      </w:r>
      <w:r w:rsidRPr="00995C5C">
        <w:rPr>
          <w:rFonts w:ascii="Calibri" w:hAnsi="Calibri" w:cs="Calibri"/>
        </w:rPr>
        <w:t xml:space="preserve"> its ‘</w:t>
      </w:r>
      <w:r w:rsidRPr="00995C5C">
        <w:rPr>
          <w:rFonts w:ascii="Calibri" w:hAnsi="Calibri" w:cs="Calibri"/>
          <w:i/>
        </w:rPr>
        <w:t>Report on the Implementation of the European Standards and Guidelines for Quality Assurance in Higher Education Institutions</w:t>
      </w:r>
      <w:r w:rsidRPr="00995C5C">
        <w:rPr>
          <w:rFonts w:ascii="Calibri" w:hAnsi="Calibri" w:cs="Calibri"/>
        </w:rPr>
        <w:t>’</w:t>
      </w:r>
      <w:r w:rsidRPr="00995C5C">
        <w:rPr>
          <w:rStyle w:val="FootnoteReference"/>
          <w:rFonts w:cs="Calibri"/>
        </w:rPr>
        <w:footnoteReference w:id="2"/>
      </w:r>
      <w:r w:rsidRPr="00995C5C">
        <w:rPr>
          <w:rFonts w:ascii="Calibri" w:hAnsi="Calibri" w:cs="Calibri"/>
        </w:rPr>
        <w:t xml:space="preserve"> based on</w:t>
      </w:r>
      <w:r w:rsidR="00C021FF">
        <w:rPr>
          <w:rFonts w:ascii="Calibri" w:hAnsi="Calibri" w:cs="Calibri"/>
        </w:rPr>
        <w:t xml:space="preserve"> a</w:t>
      </w:r>
      <w:r w:rsidRPr="00995C5C">
        <w:rPr>
          <w:rFonts w:ascii="Calibri" w:hAnsi="Calibri" w:cs="Calibri"/>
        </w:rPr>
        <w:t xml:space="preserve"> consultation conducted within the framework of the MAP-ESG project </w:t>
      </w:r>
      <w:r w:rsidR="00717199">
        <w:rPr>
          <w:rFonts w:ascii="Calibri" w:hAnsi="Calibri" w:cs="Calibri"/>
        </w:rPr>
        <w:t>and c</w:t>
      </w:r>
      <w:r w:rsidRPr="00995C5C">
        <w:rPr>
          <w:rFonts w:ascii="Calibri" w:hAnsi="Calibri" w:cs="Calibri"/>
        </w:rPr>
        <w:t>onducted with its partners of the E4-Group (ENQA, ESU, EUA and EURASHE).</w:t>
      </w:r>
    </w:p>
    <w:p w:rsidR="00C021FF" w:rsidRDefault="0047626A" w:rsidP="00717199">
      <w:pPr>
        <w:spacing w:before="60" w:after="60"/>
        <w:jc w:val="both"/>
        <w:rPr>
          <w:rFonts w:ascii="Calibri" w:hAnsi="Calibri" w:cs="Calibri"/>
        </w:rPr>
      </w:pPr>
      <w:r w:rsidRPr="00995C5C">
        <w:rPr>
          <w:rFonts w:ascii="Calibri" w:hAnsi="Calibri" w:cs="Calibri"/>
        </w:rPr>
        <w:t xml:space="preserve">See also: </w:t>
      </w:r>
      <w:hyperlink r:id="rId12" w:history="1">
        <w:r w:rsidRPr="00995C5C">
          <w:rPr>
            <w:rStyle w:val="Hyperlink"/>
            <w:rFonts w:ascii="Calibri" w:hAnsi="Calibri" w:cs="Calibri"/>
          </w:rPr>
          <w:t>www.eurashe.eu/nicosia</w:t>
        </w:r>
      </w:hyperlink>
      <w:r w:rsidRPr="00995C5C">
        <w:rPr>
          <w:rFonts w:ascii="Calibri" w:hAnsi="Calibri" w:cs="Calibri"/>
        </w:rPr>
        <w:t xml:space="preserve"> </w:t>
      </w:r>
    </w:p>
    <w:p w:rsidR="00C021FF" w:rsidRDefault="00C021FF" w:rsidP="00717199">
      <w:pPr>
        <w:spacing w:before="60" w:after="60"/>
        <w:jc w:val="both"/>
        <w:rPr>
          <w:rFonts w:ascii="Calibri" w:hAnsi="Calibri" w:cs="Calibri"/>
          <w:b/>
          <w:color w:val="95B3D7" w:themeColor="accent1" w:themeTint="99"/>
          <w:sz w:val="24"/>
          <w:szCs w:val="24"/>
        </w:rPr>
      </w:pPr>
    </w:p>
    <w:p w:rsidR="0047626A" w:rsidRPr="00995C5C" w:rsidRDefault="0047626A" w:rsidP="00717199">
      <w:pPr>
        <w:spacing w:before="60" w:after="60"/>
        <w:jc w:val="both"/>
        <w:rPr>
          <w:rFonts w:ascii="Calibri" w:hAnsi="Calibri" w:cs="Calibri"/>
          <w:b/>
          <w:color w:val="95B3D7" w:themeColor="accent1" w:themeTint="99"/>
          <w:sz w:val="24"/>
          <w:szCs w:val="24"/>
        </w:rPr>
      </w:pPr>
      <w:r w:rsidRPr="00995C5C">
        <w:rPr>
          <w:rFonts w:ascii="Calibri" w:hAnsi="Calibri" w:cs="Calibri"/>
          <w:b/>
          <w:color w:val="95B3D7" w:themeColor="accent1" w:themeTint="99"/>
          <w:sz w:val="24"/>
          <w:szCs w:val="24"/>
        </w:rPr>
        <w:t>Initiative on ‘Harmonising Approaches to Professional Higher Education in Europe’ (HAPHE)</w:t>
      </w:r>
    </w:p>
    <w:p w:rsidR="00315CF4" w:rsidRPr="00315CF4" w:rsidRDefault="00315CF4" w:rsidP="00717199">
      <w:pPr>
        <w:spacing w:before="60" w:after="60"/>
        <w:jc w:val="both"/>
        <w:rPr>
          <w:rFonts w:ascii="Calibri" w:hAnsi="Calibri" w:cs="Calibri"/>
        </w:rPr>
      </w:pPr>
      <w:r>
        <w:rPr>
          <w:rFonts w:ascii="Calibri" w:hAnsi="Calibri" w:cs="Calibri"/>
        </w:rPr>
        <w:t>Over f</w:t>
      </w:r>
      <w:r w:rsidRPr="00315CF4">
        <w:rPr>
          <w:rFonts w:ascii="Calibri" w:hAnsi="Calibri" w:cs="Calibri"/>
        </w:rPr>
        <w:t xml:space="preserve">our months after the launch of the </w:t>
      </w:r>
      <w:r>
        <w:rPr>
          <w:rFonts w:ascii="Calibri" w:hAnsi="Calibri" w:cs="Calibri"/>
        </w:rPr>
        <w:t xml:space="preserve">initiative in October 2012 the </w:t>
      </w:r>
      <w:r w:rsidRPr="00315CF4">
        <w:rPr>
          <w:rFonts w:ascii="Calibri" w:hAnsi="Calibri" w:cs="Calibri"/>
        </w:rPr>
        <w:t>HAPHE (Harmonising Approaches to Professional Higher Education)</w:t>
      </w:r>
      <w:r w:rsidRPr="00995C5C">
        <w:rPr>
          <w:rStyle w:val="FootnoteReference"/>
          <w:rFonts w:cs="Calibri"/>
        </w:rPr>
        <w:footnoteReference w:id="3"/>
      </w:r>
      <w:r w:rsidRPr="00315CF4">
        <w:rPr>
          <w:rFonts w:ascii="Calibri" w:hAnsi="Calibri" w:cs="Calibri"/>
        </w:rPr>
        <w:t xml:space="preserve"> partners have concluded the desk research on the current state of</w:t>
      </w:r>
      <w:r>
        <w:rPr>
          <w:rFonts w:ascii="Calibri" w:hAnsi="Calibri" w:cs="Calibri"/>
        </w:rPr>
        <w:t xml:space="preserve"> Professional Higher Education (</w:t>
      </w:r>
      <w:r w:rsidRPr="00315CF4">
        <w:rPr>
          <w:rFonts w:ascii="Calibri" w:hAnsi="Calibri" w:cs="Calibri"/>
        </w:rPr>
        <w:t>PHE</w:t>
      </w:r>
      <w:r>
        <w:rPr>
          <w:rFonts w:ascii="Calibri" w:hAnsi="Calibri" w:cs="Calibri"/>
        </w:rPr>
        <w:t>)</w:t>
      </w:r>
      <w:r w:rsidRPr="00315CF4">
        <w:rPr>
          <w:rFonts w:ascii="Calibri" w:hAnsi="Calibri" w:cs="Calibri"/>
        </w:rPr>
        <w:t xml:space="preserve"> </w:t>
      </w:r>
      <w:r w:rsidR="0013602B">
        <w:rPr>
          <w:rFonts w:ascii="Calibri" w:hAnsi="Calibri" w:cs="Calibri"/>
        </w:rPr>
        <w:t>in</w:t>
      </w:r>
      <w:r w:rsidRPr="00315CF4">
        <w:rPr>
          <w:rFonts w:ascii="Calibri" w:hAnsi="Calibri" w:cs="Calibri"/>
        </w:rPr>
        <w:t xml:space="preserve"> the countries in focus. The points considered included the legal framework, types H</w:t>
      </w:r>
      <w:r>
        <w:rPr>
          <w:rFonts w:ascii="Calibri" w:hAnsi="Calibri" w:cs="Calibri"/>
        </w:rPr>
        <w:t>EIs</w:t>
      </w:r>
      <w:r w:rsidRPr="00315CF4">
        <w:rPr>
          <w:rFonts w:ascii="Calibri" w:hAnsi="Calibri" w:cs="Calibri"/>
        </w:rPr>
        <w:t xml:space="preserve"> as well as types of degrees and programmes offered. The relevant information has been taken on board in order to develop Country Profiles. </w:t>
      </w:r>
    </w:p>
    <w:p w:rsidR="00315CF4" w:rsidRPr="00995C5C" w:rsidRDefault="00315CF4" w:rsidP="00717199">
      <w:pPr>
        <w:spacing w:before="60" w:after="60"/>
        <w:jc w:val="both"/>
        <w:rPr>
          <w:rFonts w:ascii="Calibri" w:hAnsi="Calibri" w:cs="Calibri"/>
        </w:rPr>
      </w:pPr>
      <w:r>
        <w:rPr>
          <w:rFonts w:ascii="Calibri" w:hAnsi="Calibri" w:cs="Calibri"/>
        </w:rPr>
        <w:t>Besides this</w:t>
      </w:r>
      <w:r w:rsidRPr="00315CF4">
        <w:rPr>
          <w:rFonts w:ascii="Calibri" w:hAnsi="Calibri" w:cs="Calibri"/>
        </w:rPr>
        <w:t xml:space="preserve"> objective data, a surv</w:t>
      </w:r>
      <w:r>
        <w:rPr>
          <w:rFonts w:ascii="Calibri" w:hAnsi="Calibri" w:cs="Calibri"/>
        </w:rPr>
        <w:t>e</w:t>
      </w:r>
      <w:r w:rsidRPr="00315CF4">
        <w:rPr>
          <w:rFonts w:ascii="Calibri" w:hAnsi="Calibri" w:cs="Calibri"/>
        </w:rPr>
        <w:t>y has been developed to focus on more subjective points and it will be used to finalise the first phase of the research. At the same time, relevant stakeholders have been targeted in order to gather better insight in the current state of PHE.</w:t>
      </w:r>
    </w:p>
    <w:p w:rsidR="0047626A" w:rsidRPr="00995C5C" w:rsidRDefault="0047626A" w:rsidP="00717199">
      <w:pPr>
        <w:spacing w:before="60" w:after="60"/>
        <w:jc w:val="both"/>
        <w:rPr>
          <w:rFonts w:ascii="Calibri" w:hAnsi="Calibri" w:cs="Calibri"/>
        </w:rPr>
      </w:pPr>
      <w:r w:rsidRPr="00995C5C">
        <w:rPr>
          <w:rFonts w:ascii="Calibri" w:hAnsi="Calibri" w:cs="Calibri"/>
        </w:rPr>
        <w:t xml:space="preserve">See also: </w:t>
      </w:r>
      <w:hyperlink r:id="rId13" w:history="1">
        <w:r w:rsidRPr="00995C5C">
          <w:rPr>
            <w:rStyle w:val="Hyperlink"/>
            <w:rFonts w:ascii="Calibri" w:hAnsi="Calibri" w:cs="Calibri"/>
          </w:rPr>
          <w:t>www.eurashe.eu/haphe</w:t>
        </w:r>
      </w:hyperlink>
    </w:p>
    <w:p w:rsidR="0047626A" w:rsidRPr="00995C5C" w:rsidRDefault="0047626A" w:rsidP="00717199">
      <w:pPr>
        <w:spacing w:before="60" w:after="60"/>
        <w:jc w:val="both"/>
        <w:rPr>
          <w:rFonts w:ascii="Calibri" w:hAnsi="Calibri" w:cs="Calibri"/>
        </w:rPr>
      </w:pPr>
    </w:p>
    <w:p w:rsidR="0047626A" w:rsidRPr="00995C5C" w:rsidRDefault="0047626A" w:rsidP="00717199">
      <w:pPr>
        <w:spacing w:before="60" w:after="60"/>
        <w:jc w:val="both"/>
        <w:rPr>
          <w:rFonts w:ascii="Calibri" w:hAnsi="Calibri" w:cs="Calibri"/>
          <w:b/>
          <w:color w:val="95B3D7" w:themeColor="accent1" w:themeTint="99"/>
          <w:sz w:val="24"/>
          <w:szCs w:val="24"/>
        </w:rPr>
      </w:pPr>
      <w:r w:rsidRPr="00995C5C">
        <w:rPr>
          <w:rFonts w:ascii="Calibri" w:hAnsi="Calibri" w:cs="Calibri"/>
          <w:b/>
          <w:color w:val="95B3D7" w:themeColor="accent1" w:themeTint="99"/>
          <w:sz w:val="24"/>
          <w:szCs w:val="24"/>
        </w:rPr>
        <w:t>EURASHE welcomes 11 new members</w:t>
      </w:r>
    </w:p>
    <w:p w:rsidR="00995C5C" w:rsidRPr="00995C5C" w:rsidRDefault="0013602B" w:rsidP="00717199">
      <w:pPr>
        <w:spacing w:before="60" w:after="60"/>
        <w:jc w:val="both"/>
        <w:rPr>
          <w:rFonts w:ascii="Calibri" w:hAnsi="Calibri" w:cs="Calibri"/>
        </w:rPr>
      </w:pPr>
      <w:r>
        <w:rPr>
          <w:rFonts w:ascii="Calibri" w:hAnsi="Calibri" w:cs="Calibri"/>
        </w:rPr>
        <w:t>At its Council meetings of</w:t>
      </w:r>
      <w:r w:rsidR="0047626A" w:rsidRPr="00995C5C">
        <w:rPr>
          <w:rFonts w:ascii="Calibri" w:hAnsi="Calibri" w:cs="Calibri"/>
        </w:rPr>
        <w:t xml:space="preserve"> October 2012</w:t>
      </w:r>
      <w:r w:rsidR="00315CF4">
        <w:rPr>
          <w:rFonts w:ascii="Calibri" w:hAnsi="Calibri" w:cs="Calibri"/>
        </w:rPr>
        <w:t xml:space="preserve"> and February 2013</w:t>
      </w:r>
      <w:r w:rsidR="0047626A" w:rsidRPr="00995C5C">
        <w:rPr>
          <w:rFonts w:ascii="Calibri" w:hAnsi="Calibri" w:cs="Calibri"/>
        </w:rPr>
        <w:t xml:space="preserve"> EURASHE had the pleasure to welcome </w:t>
      </w:r>
      <w:r w:rsidR="00315CF4">
        <w:rPr>
          <w:rFonts w:ascii="Calibri" w:hAnsi="Calibri" w:cs="Calibri"/>
        </w:rPr>
        <w:t>11</w:t>
      </w:r>
      <w:r w:rsidR="0047626A" w:rsidRPr="00995C5C">
        <w:rPr>
          <w:rFonts w:ascii="Calibri" w:hAnsi="Calibri" w:cs="Calibri"/>
        </w:rPr>
        <w:t xml:space="preserve"> new members:</w:t>
      </w:r>
    </w:p>
    <w:p w:rsidR="00315CF4" w:rsidRPr="00995C5C" w:rsidRDefault="00315CF4" w:rsidP="00717199">
      <w:pPr>
        <w:pStyle w:val="ListParagraph"/>
        <w:numPr>
          <w:ilvl w:val="0"/>
          <w:numId w:val="7"/>
        </w:numPr>
        <w:spacing w:before="60" w:after="60" w:line="276" w:lineRule="auto"/>
        <w:contextualSpacing w:val="0"/>
        <w:jc w:val="both"/>
        <w:rPr>
          <w:rFonts w:ascii="Calibri" w:hAnsi="Calibri" w:cs="Calibri"/>
          <w:sz w:val="22"/>
          <w:szCs w:val="22"/>
          <w:lang w:val="en-GB"/>
        </w:rPr>
      </w:pPr>
      <w:r w:rsidRPr="00995C5C">
        <w:rPr>
          <w:rFonts w:ascii="Calibri" w:hAnsi="Calibri" w:cs="Calibri"/>
          <w:sz w:val="22"/>
          <w:szCs w:val="22"/>
          <w:lang w:val="en-GB"/>
        </w:rPr>
        <w:t>Rectors’ Council of Armenia State Higher Educational Institutions (Armenia);</w:t>
      </w:r>
    </w:p>
    <w:p w:rsidR="00315CF4" w:rsidRPr="00995C5C" w:rsidRDefault="00315CF4" w:rsidP="00717199">
      <w:pPr>
        <w:pStyle w:val="ListParagraph"/>
        <w:numPr>
          <w:ilvl w:val="0"/>
          <w:numId w:val="7"/>
        </w:numPr>
        <w:spacing w:before="60" w:after="60" w:line="276" w:lineRule="auto"/>
        <w:contextualSpacing w:val="0"/>
        <w:jc w:val="both"/>
        <w:rPr>
          <w:rFonts w:ascii="Calibri" w:hAnsi="Calibri" w:cs="Calibri"/>
          <w:sz w:val="22"/>
          <w:szCs w:val="22"/>
          <w:lang w:val="en-GB"/>
        </w:rPr>
      </w:pPr>
      <w:r w:rsidRPr="00995C5C">
        <w:rPr>
          <w:rFonts w:ascii="Calibri" w:hAnsi="Calibri" w:cs="Calibri"/>
          <w:sz w:val="22"/>
          <w:szCs w:val="22"/>
          <w:lang w:val="en-GB"/>
        </w:rPr>
        <w:t>Yerevan State University of Architecture and Construction (YSUAC, Armenia);</w:t>
      </w:r>
    </w:p>
    <w:p w:rsidR="00995C5C" w:rsidRPr="00995C5C" w:rsidRDefault="0047626A" w:rsidP="00717199">
      <w:pPr>
        <w:pStyle w:val="ListParagraph"/>
        <w:numPr>
          <w:ilvl w:val="0"/>
          <w:numId w:val="7"/>
        </w:numPr>
        <w:spacing w:before="60" w:after="60" w:line="276" w:lineRule="auto"/>
        <w:contextualSpacing w:val="0"/>
        <w:jc w:val="both"/>
        <w:rPr>
          <w:rFonts w:ascii="Calibri" w:hAnsi="Calibri" w:cs="Calibri"/>
          <w:sz w:val="22"/>
          <w:szCs w:val="22"/>
          <w:lang w:val="en-GB"/>
        </w:rPr>
      </w:pPr>
      <w:r w:rsidRPr="00995C5C">
        <w:rPr>
          <w:rFonts w:ascii="Calibri" w:hAnsi="Calibri" w:cs="Calibri"/>
          <w:sz w:val="22"/>
          <w:szCs w:val="22"/>
          <w:lang w:val="en-GB"/>
        </w:rPr>
        <w:t>Association of Law Schools (ALS, Armenia, Moldova, Russia, Ukraine);</w:t>
      </w:r>
    </w:p>
    <w:p w:rsidR="00995C5C" w:rsidRDefault="0047626A" w:rsidP="00717199">
      <w:pPr>
        <w:pStyle w:val="ListParagraph"/>
        <w:numPr>
          <w:ilvl w:val="0"/>
          <w:numId w:val="7"/>
        </w:numPr>
        <w:spacing w:before="60" w:after="60" w:line="276" w:lineRule="auto"/>
        <w:contextualSpacing w:val="0"/>
        <w:jc w:val="both"/>
        <w:rPr>
          <w:rFonts w:ascii="Calibri" w:hAnsi="Calibri" w:cs="Calibri"/>
          <w:sz w:val="22"/>
          <w:szCs w:val="22"/>
          <w:lang w:val="en-GB"/>
        </w:rPr>
      </w:pPr>
      <w:r w:rsidRPr="00995C5C">
        <w:rPr>
          <w:rFonts w:ascii="Calibri" w:hAnsi="Calibri" w:cs="Calibri"/>
          <w:sz w:val="22"/>
          <w:szCs w:val="22"/>
          <w:lang w:val="en-GB"/>
        </w:rPr>
        <w:t>International Association of Trade and Economic Education (IATEE, Armenia, Belarus, Kyrgyzstan, Moldova, Russia);</w:t>
      </w:r>
    </w:p>
    <w:p w:rsidR="00315CF4" w:rsidRPr="00995C5C" w:rsidRDefault="00315CF4" w:rsidP="00717199">
      <w:pPr>
        <w:pStyle w:val="ListParagraph"/>
        <w:numPr>
          <w:ilvl w:val="0"/>
          <w:numId w:val="7"/>
        </w:numPr>
        <w:spacing w:before="60" w:after="60" w:line="276" w:lineRule="auto"/>
        <w:contextualSpacing w:val="0"/>
        <w:jc w:val="both"/>
        <w:rPr>
          <w:rFonts w:ascii="Calibri" w:hAnsi="Calibri" w:cs="Calibri"/>
          <w:sz w:val="22"/>
          <w:szCs w:val="22"/>
          <w:lang w:val="en-GB"/>
        </w:rPr>
      </w:pPr>
      <w:r w:rsidRPr="00995C5C">
        <w:rPr>
          <w:rFonts w:ascii="Calibri" w:hAnsi="Calibri" w:cs="Calibri"/>
          <w:sz w:val="22"/>
          <w:szCs w:val="22"/>
          <w:lang w:val="en-GB"/>
        </w:rPr>
        <w:t>Benha University (Egypt);</w:t>
      </w:r>
    </w:p>
    <w:p w:rsidR="00315CF4" w:rsidRPr="00995C5C" w:rsidRDefault="00315CF4" w:rsidP="00717199">
      <w:pPr>
        <w:pStyle w:val="ListParagraph"/>
        <w:numPr>
          <w:ilvl w:val="0"/>
          <w:numId w:val="7"/>
        </w:numPr>
        <w:spacing w:before="60" w:after="60" w:line="276" w:lineRule="auto"/>
        <w:contextualSpacing w:val="0"/>
        <w:jc w:val="both"/>
        <w:rPr>
          <w:rFonts w:ascii="Calibri" w:hAnsi="Calibri" w:cs="Calibri"/>
          <w:sz w:val="22"/>
          <w:szCs w:val="22"/>
          <w:lang w:val="en-GB"/>
        </w:rPr>
      </w:pPr>
      <w:r w:rsidRPr="00995C5C">
        <w:rPr>
          <w:rFonts w:ascii="Calibri" w:hAnsi="Calibri" w:cs="Calibri"/>
          <w:sz w:val="22"/>
          <w:szCs w:val="22"/>
          <w:lang w:val="en-GB"/>
        </w:rPr>
        <w:t>Athens School of Fine Arts (ASFA, Greece);</w:t>
      </w:r>
    </w:p>
    <w:p w:rsidR="00315CF4" w:rsidRPr="00995C5C" w:rsidRDefault="00315CF4" w:rsidP="00717199">
      <w:pPr>
        <w:pStyle w:val="ListParagraph"/>
        <w:numPr>
          <w:ilvl w:val="0"/>
          <w:numId w:val="7"/>
        </w:numPr>
        <w:spacing w:before="60" w:after="60" w:line="276" w:lineRule="auto"/>
        <w:contextualSpacing w:val="0"/>
        <w:jc w:val="both"/>
        <w:rPr>
          <w:rFonts w:ascii="Calibri" w:hAnsi="Calibri" w:cs="Calibri"/>
          <w:sz w:val="22"/>
          <w:szCs w:val="22"/>
          <w:lang w:val="en-GB"/>
        </w:rPr>
      </w:pPr>
      <w:r w:rsidRPr="00995C5C">
        <w:rPr>
          <w:rFonts w:ascii="Calibri" w:hAnsi="Calibri" w:cs="Calibri"/>
          <w:sz w:val="22"/>
          <w:szCs w:val="22"/>
          <w:lang w:val="en-GB"/>
        </w:rPr>
        <w:t>Kazakh-Russian International University (KRIU, Kazakhstan);</w:t>
      </w:r>
    </w:p>
    <w:p w:rsidR="00315CF4" w:rsidRPr="00995C5C" w:rsidRDefault="00315CF4" w:rsidP="00717199">
      <w:pPr>
        <w:pStyle w:val="ListParagraph"/>
        <w:numPr>
          <w:ilvl w:val="0"/>
          <w:numId w:val="7"/>
        </w:numPr>
        <w:spacing w:before="60" w:after="60" w:line="276" w:lineRule="auto"/>
        <w:contextualSpacing w:val="0"/>
        <w:jc w:val="both"/>
        <w:rPr>
          <w:rFonts w:ascii="Calibri" w:hAnsi="Calibri" w:cs="Calibri"/>
          <w:sz w:val="22"/>
          <w:szCs w:val="22"/>
          <w:lang w:val="en-GB"/>
        </w:rPr>
      </w:pPr>
      <w:r>
        <w:rPr>
          <w:rFonts w:ascii="Calibri" w:hAnsi="Calibri" w:cs="Calibri"/>
          <w:sz w:val="22"/>
          <w:szCs w:val="22"/>
          <w:lang w:val="en-GB"/>
        </w:rPr>
        <w:t>College of Law (JK, Latvia);</w:t>
      </w:r>
    </w:p>
    <w:p w:rsidR="00995C5C" w:rsidRPr="00995C5C" w:rsidRDefault="0047626A" w:rsidP="00717199">
      <w:pPr>
        <w:pStyle w:val="ListParagraph"/>
        <w:numPr>
          <w:ilvl w:val="0"/>
          <w:numId w:val="7"/>
        </w:numPr>
        <w:spacing w:before="60" w:after="60" w:line="276" w:lineRule="auto"/>
        <w:contextualSpacing w:val="0"/>
        <w:jc w:val="both"/>
        <w:rPr>
          <w:rFonts w:ascii="Calibri" w:hAnsi="Calibri" w:cs="Calibri"/>
          <w:sz w:val="22"/>
          <w:szCs w:val="22"/>
          <w:lang w:val="en-GB"/>
        </w:rPr>
      </w:pPr>
      <w:r w:rsidRPr="00995C5C">
        <w:rPr>
          <w:rFonts w:ascii="Calibri" w:hAnsi="Calibri" w:cs="Calibri"/>
          <w:sz w:val="22"/>
          <w:szCs w:val="22"/>
          <w:lang w:val="en-GB"/>
        </w:rPr>
        <w:t>National School of Political and Administrative Studies (SNSPA, Romania);</w:t>
      </w:r>
    </w:p>
    <w:p w:rsidR="00995C5C" w:rsidRPr="00995C5C" w:rsidRDefault="0047626A" w:rsidP="00717199">
      <w:pPr>
        <w:pStyle w:val="ListParagraph"/>
        <w:numPr>
          <w:ilvl w:val="0"/>
          <w:numId w:val="7"/>
        </w:numPr>
        <w:spacing w:before="60" w:after="60" w:line="276" w:lineRule="auto"/>
        <w:contextualSpacing w:val="0"/>
        <w:jc w:val="both"/>
        <w:rPr>
          <w:rFonts w:ascii="Calibri" w:hAnsi="Calibri" w:cs="Calibri"/>
          <w:sz w:val="22"/>
          <w:szCs w:val="22"/>
          <w:lang w:val="en-GB"/>
        </w:rPr>
      </w:pPr>
      <w:r w:rsidRPr="00995C5C">
        <w:rPr>
          <w:rFonts w:ascii="Calibri" w:hAnsi="Calibri" w:cs="Calibri"/>
          <w:sz w:val="22"/>
          <w:szCs w:val="22"/>
          <w:lang w:val="en-GB"/>
        </w:rPr>
        <w:t>Conference of Academies for Applied Studies in Serbia (KASSS, Serbia);</w:t>
      </w:r>
    </w:p>
    <w:p w:rsidR="0047626A" w:rsidRPr="00995C5C" w:rsidRDefault="0047626A" w:rsidP="00717199">
      <w:pPr>
        <w:pStyle w:val="ListParagraph"/>
        <w:numPr>
          <w:ilvl w:val="0"/>
          <w:numId w:val="7"/>
        </w:numPr>
        <w:spacing w:before="60" w:after="60" w:line="276" w:lineRule="auto"/>
        <w:ind w:left="714" w:hanging="357"/>
        <w:contextualSpacing w:val="0"/>
        <w:jc w:val="both"/>
        <w:rPr>
          <w:rFonts w:ascii="Calibri" w:hAnsi="Calibri" w:cs="Calibri"/>
          <w:sz w:val="22"/>
          <w:szCs w:val="22"/>
          <w:lang w:val="en-GB"/>
        </w:rPr>
      </w:pPr>
      <w:r w:rsidRPr="00995C5C">
        <w:rPr>
          <w:rFonts w:ascii="Calibri" w:hAnsi="Calibri" w:cs="Calibri"/>
          <w:sz w:val="22"/>
          <w:szCs w:val="22"/>
          <w:lang w:val="en-GB"/>
        </w:rPr>
        <w:t>Kyiv University of Law of National Academy of Science of Ukraine (KUL, Ukraine).</w:t>
      </w:r>
    </w:p>
    <w:p w:rsidR="0047626A" w:rsidRPr="00995C5C" w:rsidRDefault="0047626A" w:rsidP="00717199">
      <w:pPr>
        <w:spacing w:before="60" w:after="60"/>
        <w:jc w:val="both"/>
        <w:rPr>
          <w:rFonts w:ascii="Calibri" w:hAnsi="Calibri" w:cs="Calibri"/>
        </w:rPr>
      </w:pPr>
    </w:p>
    <w:p w:rsidR="0047626A" w:rsidRPr="00995C5C" w:rsidRDefault="0047626A" w:rsidP="00717199">
      <w:pPr>
        <w:spacing w:before="60" w:after="60"/>
        <w:jc w:val="both"/>
        <w:rPr>
          <w:rFonts w:ascii="Calibri" w:hAnsi="Calibri" w:cs="Calibri"/>
          <w:b/>
          <w:color w:val="95B3D7" w:themeColor="accent1" w:themeTint="99"/>
          <w:sz w:val="24"/>
          <w:szCs w:val="24"/>
        </w:rPr>
      </w:pPr>
      <w:r w:rsidRPr="00995C5C">
        <w:rPr>
          <w:rFonts w:ascii="Calibri" w:hAnsi="Calibri" w:cs="Calibri"/>
          <w:b/>
          <w:color w:val="95B3D7" w:themeColor="accent1" w:themeTint="99"/>
          <w:sz w:val="24"/>
          <w:szCs w:val="24"/>
        </w:rPr>
        <w:t xml:space="preserve">EURASHE </w:t>
      </w:r>
      <w:r w:rsidR="00C021FF">
        <w:rPr>
          <w:rFonts w:ascii="Calibri" w:hAnsi="Calibri" w:cs="Calibri"/>
          <w:b/>
          <w:color w:val="95B3D7" w:themeColor="accent1" w:themeTint="99"/>
          <w:sz w:val="24"/>
          <w:szCs w:val="24"/>
        </w:rPr>
        <w:t>elected a new</w:t>
      </w:r>
      <w:r w:rsidRPr="00995C5C">
        <w:rPr>
          <w:rFonts w:ascii="Calibri" w:hAnsi="Calibri" w:cs="Calibri"/>
          <w:b/>
          <w:color w:val="95B3D7" w:themeColor="accent1" w:themeTint="99"/>
          <w:sz w:val="24"/>
          <w:szCs w:val="24"/>
        </w:rPr>
        <w:t xml:space="preserve"> Board</w:t>
      </w:r>
    </w:p>
    <w:p w:rsidR="0047626A" w:rsidRPr="00995C5C" w:rsidRDefault="0047626A" w:rsidP="00717199">
      <w:pPr>
        <w:spacing w:before="60" w:after="60"/>
        <w:jc w:val="both"/>
        <w:rPr>
          <w:rFonts w:ascii="Calibri" w:hAnsi="Calibri" w:cs="Calibri"/>
        </w:rPr>
      </w:pPr>
      <w:r w:rsidRPr="00995C5C">
        <w:rPr>
          <w:rFonts w:ascii="Calibri" w:hAnsi="Calibri" w:cs="Calibri"/>
        </w:rPr>
        <w:t xml:space="preserve">In October 2012 </w:t>
      </w:r>
      <w:r w:rsidR="008F1B7E" w:rsidRPr="00995C5C">
        <w:rPr>
          <w:rFonts w:ascii="Calibri" w:hAnsi="Calibri" w:cs="Calibri"/>
        </w:rPr>
        <w:t xml:space="preserve">the Council of </w:t>
      </w:r>
      <w:r w:rsidRPr="00995C5C">
        <w:rPr>
          <w:rFonts w:ascii="Calibri" w:hAnsi="Calibri" w:cs="Calibri"/>
        </w:rPr>
        <w:t>EURASHE</w:t>
      </w:r>
      <w:r w:rsidR="008F1B7E" w:rsidRPr="00995C5C">
        <w:rPr>
          <w:rFonts w:ascii="Calibri" w:hAnsi="Calibri" w:cs="Calibri"/>
        </w:rPr>
        <w:t xml:space="preserve"> </w:t>
      </w:r>
      <w:r w:rsidRPr="00995C5C">
        <w:rPr>
          <w:rFonts w:ascii="Calibri" w:hAnsi="Calibri" w:cs="Calibri"/>
        </w:rPr>
        <w:t>(re-)elected as Board members Marc Vandewalle (Belgium), Gintautas Braziūnas (Lithuania) and Stéphane Lauwick (France)</w:t>
      </w:r>
      <w:r w:rsidR="00C021FF">
        <w:rPr>
          <w:rFonts w:ascii="Calibri" w:hAnsi="Calibri" w:cs="Calibri"/>
        </w:rPr>
        <w:t xml:space="preserve"> for a term of two years</w:t>
      </w:r>
      <w:r w:rsidRPr="00995C5C">
        <w:rPr>
          <w:rFonts w:ascii="Calibri" w:hAnsi="Calibri" w:cs="Calibri"/>
        </w:rPr>
        <w:t xml:space="preserve">. They will serve on the Board until 2014 alongside </w:t>
      </w:r>
      <w:r w:rsidR="00C021FF">
        <w:rPr>
          <w:rFonts w:ascii="Calibri" w:hAnsi="Calibri" w:cs="Calibri"/>
        </w:rPr>
        <w:t xml:space="preserve">the office-holders of EURASHE. </w:t>
      </w:r>
    </w:p>
    <w:p w:rsidR="00A7772C" w:rsidRDefault="00A7772C" w:rsidP="00717199">
      <w:pPr>
        <w:spacing w:before="60" w:after="60"/>
        <w:jc w:val="both"/>
        <w:rPr>
          <w:rFonts w:ascii="Calibri" w:hAnsi="Calibri" w:cs="Calibri"/>
        </w:rPr>
      </w:pPr>
      <w:bookmarkStart w:id="0" w:name="_GoBack"/>
      <w:bookmarkEnd w:id="0"/>
    </w:p>
    <w:sectPr w:rsidR="00A7772C" w:rsidSect="00A7772C">
      <w:headerReference w:type="even" r:id="rId14"/>
      <w:headerReference w:type="default" r:id="rId15"/>
      <w:footerReference w:type="even" r:id="rId16"/>
      <w:footerReference w:type="default" r:id="rId17"/>
      <w:headerReference w:type="first" r:id="rId18"/>
      <w:footerReference w:type="first" r:id="rId19"/>
      <w:pgSz w:w="11906" w:h="16838"/>
      <w:pgMar w:top="2126" w:right="1276" w:bottom="1418" w:left="1276" w:header="709" w:footer="9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6B1D" w:rsidRDefault="00B96B1D" w:rsidP="004A7069">
      <w:pPr>
        <w:spacing w:after="0" w:line="240" w:lineRule="auto"/>
      </w:pPr>
      <w:r>
        <w:separator/>
      </w:r>
    </w:p>
  </w:endnote>
  <w:endnote w:type="continuationSeparator" w:id="0">
    <w:p w:rsidR="00B96B1D" w:rsidRDefault="00B96B1D" w:rsidP="004A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Sun">
    <w:altName w:val="宋体"/>
    <w:panose1 w:val="02010600030101010101"/>
    <w:charset w:val="86"/>
    <w:family w:val="auto"/>
    <w:notTrueType/>
    <w:pitch w:val="variable"/>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ABC" w:rsidRPr="0047626A" w:rsidRDefault="0047626A">
    <w:pPr>
      <w:pStyle w:val="Footer"/>
      <w:rPr>
        <w:b/>
        <w:color w:val="104068"/>
        <w:sz w:val="18"/>
      </w:rPr>
    </w:pPr>
    <w:r w:rsidRPr="0047626A">
      <w:rPr>
        <w:b/>
        <w:noProof/>
        <w:color w:val="104068"/>
        <w:sz w:val="18"/>
        <w:lang w:eastAsia="en-GB"/>
      </w:rPr>
      <mc:AlternateContent>
        <mc:Choice Requires="wps">
          <w:drawing>
            <wp:anchor distT="0" distB="0" distL="114300" distR="114300" simplePos="0" relativeHeight="251664384" behindDoc="0" locked="1" layoutInCell="1" allowOverlap="1" wp14:anchorId="33D3614F" wp14:editId="4F48D14A">
              <wp:simplePos x="0" y="0"/>
              <wp:positionH relativeFrom="column">
                <wp:posOffset>3570605</wp:posOffset>
              </wp:positionH>
              <wp:positionV relativeFrom="page">
                <wp:posOffset>9928860</wp:posOffset>
              </wp:positionV>
              <wp:extent cx="3657600" cy="876300"/>
              <wp:effectExtent l="0" t="0" r="0" b="190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876300"/>
                      </a:xfrm>
                      <a:prstGeom prst="rect">
                        <a:avLst/>
                      </a:prstGeom>
                      <a:noFill/>
                      <a:ln w="9525">
                        <a:noFill/>
                        <a:miter lim="800000"/>
                        <a:headEnd/>
                        <a:tailEnd/>
                      </a:ln>
                    </wps:spPr>
                    <wps:txbx>
                      <w:txbxContent>
                        <w:p w:rsidR="00A64ABC" w:rsidRPr="00043E60" w:rsidRDefault="00A64ABC" w:rsidP="00A64ABC">
                          <w:pPr>
                            <w:spacing w:before="20" w:after="20" w:line="240" w:lineRule="auto"/>
                            <w:rPr>
                              <w:color w:val="104068"/>
                              <w:sz w:val="18"/>
                              <w:szCs w:val="18"/>
                              <w:lang w:val="da-DK"/>
                            </w:rPr>
                          </w:pPr>
                          <w:r w:rsidRPr="00043E60">
                            <w:rPr>
                              <w:b/>
                              <w:color w:val="104068"/>
                              <w:sz w:val="18"/>
                              <w:szCs w:val="18"/>
                              <w:lang w:val="da-DK"/>
                            </w:rPr>
                            <w:t>EURASHE Secretariat</w:t>
                          </w:r>
                          <w:r w:rsidRPr="00043E60">
                            <w:rPr>
                              <w:color w:val="104068"/>
                              <w:sz w:val="18"/>
                              <w:szCs w:val="18"/>
                              <w:lang w:val="da-DK"/>
                            </w:rPr>
                            <w:tab/>
                            <w:t>Tel: 0032 (0)2 211 41 97</w:t>
                          </w:r>
                        </w:p>
                        <w:p w:rsidR="00A64ABC" w:rsidRPr="00043E60" w:rsidRDefault="00A64ABC" w:rsidP="00A64ABC">
                          <w:pPr>
                            <w:spacing w:before="20" w:after="20" w:line="240" w:lineRule="auto"/>
                            <w:rPr>
                              <w:color w:val="104068"/>
                              <w:sz w:val="18"/>
                              <w:szCs w:val="18"/>
                              <w:lang w:val="da-DK"/>
                            </w:rPr>
                          </w:pPr>
                          <w:r w:rsidRPr="00043E60">
                            <w:rPr>
                              <w:color w:val="104068"/>
                              <w:sz w:val="18"/>
                              <w:szCs w:val="18"/>
                              <w:lang w:val="da-DK"/>
                            </w:rPr>
                            <w:t>Ravensteingalerij 27/3</w:t>
                          </w:r>
                          <w:r w:rsidRPr="00043E60">
                            <w:rPr>
                              <w:color w:val="104068"/>
                              <w:sz w:val="18"/>
                              <w:szCs w:val="18"/>
                              <w:lang w:val="da-DK"/>
                            </w:rPr>
                            <w:tab/>
                            <w:t>Fax: 0032 (0)2 211 41 99</w:t>
                          </w:r>
                        </w:p>
                        <w:p w:rsidR="00A64ABC" w:rsidRPr="00043E60" w:rsidRDefault="00A64ABC" w:rsidP="00A64ABC">
                          <w:pPr>
                            <w:spacing w:before="20" w:after="20" w:line="240" w:lineRule="auto"/>
                            <w:rPr>
                              <w:color w:val="104068"/>
                              <w:sz w:val="18"/>
                              <w:szCs w:val="18"/>
                              <w:lang w:val="da-DK"/>
                            </w:rPr>
                          </w:pPr>
                          <w:r w:rsidRPr="00043E60">
                            <w:rPr>
                              <w:color w:val="104068"/>
                              <w:sz w:val="18"/>
                              <w:szCs w:val="18"/>
                              <w:lang w:val="da-DK"/>
                            </w:rPr>
                            <w:t>1000 Brussels</w:t>
                          </w:r>
                          <w:r w:rsidRPr="00043E60">
                            <w:rPr>
                              <w:color w:val="104068"/>
                              <w:sz w:val="18"/>
                              <w:szCs w:val="18"/>
                              <w:lang w:val="da-DK"/>
                            </w:rPr>
                            <w:tab/>
                          </w:r>
                          <w:r w:rsidRPr="00043E60">
                            <w:rPr>
                              <w:color w:val="104068"/>
                              <w:sz w:val="18"/>
                              <w:szCs w:val="18"/>
                              <w:lang w:val="da-DK"/>
                            </w:rPr>
                            <w:tab/>
                          </w:r>
                          <w:hyperlink r:id="rId1" w:history="1">
                            <w:r w:rsidRPr="00043E60">
                              <w:rPr>
                                <w:rStyle w:val="Hyperlink"/>
                                <w:color w:val="104068"/>
                                <w:sz w:val="18"/>
                                <w:szCs w:val="18"/>
                                <w:u w:val="none"/>
                                <w:lang w:val="da-DK"/>
                              </w:rPr>
                              <w:t>eurashe@eurashe.eu</w:t>
                            </w:r>
                          </w:hyperlink>
                        </w:p>
                        <w:p w:rsidR="00A64ABC" w:rsidRPr="00043E60" w:rsidRDefault="00A64ABC" w:rsidP="00A64ABC">
                          <w:pPr>
                            <w:spacing w:before="20" w:after="20" w:line="240" w:lineRule="auto"/>
                            <w:rPr>
                              <w:color w:val="104068"/>
                              <w:sz w:val="18"/>
                              <w:szCs w:val="18"/>
                              <w:lang w:val="da-DK"/>
                            </w:rPr>
                          </w:pPr>
                          <w:r w:rsidRPr="00043E60">
                            <w:rPr>
                              <w:color w:val="104068"/>
                              <w:sz w:val="18"/>
                              <w:szCs w:val="18"/>
                              <w:lang w:val="da-DK"/>
                            </w:rPr>
                            <w:t>Belgium</w:t>
                          </w:r>
                          <w:r w:rsidRPr="00043E60">
                            <w:rPr>
                              <w:color w:val="104068"/>
                              <w:sz w:val="18"/>
                              <w:szCs w:val="18"/>
                              <w:lang w:val="da-DK"/>
                            </w:rPr>
                            <w:tab/>
                          </w:r>
                          <w:r w:rsidRPr="00043E60">
                            <w:rPr>
                              <w:color w:val="104068"/>
                              <w:sz w:val="18"/>
                              <w:szCs w:val="18"/>
                              <w:lang w:val="da-DK"/>
                            </w:rPr>
                            <w:tab/>
                          </w:r>
                          <w:r w:rsidRPr="00043E60">
                            <w:rPr>
                              <w:color w:val="104068"/>
                              <w:sz w:val="18"/>
                              <w:szCs w:val="18"/>
                              <w:lang w:val="da-DK"/>
                            </w:rPr>
                            <w:tab/>
                          </w:r>
                          <w:hyperlink r:id="rId2" w:history="1">
                            <w:r w:rsidRPr="00043E60">
                              <w:rPr>
                                <w:rStyle w:val="Hyperlink"/>
                                <w:color w:val="104068"/>
                                <w:sz w:val="18"/>
                                <w:szCs w:val="18"/>
                                <w:u w:val="none"/>
                                <w:lang w:val="da-DK"/>
                              </w:rPr>
                              <w:t>www.eurashe.eu</w:t>
                            </w:r>
                          </w:hyperlink>
                        </w:p>
                      </w:txbxContent>
                    </wps:txbx>
                    <wps:bodyPr rot="0" vert="horz" wrap="non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81.15pt;margin-top:781.8pt;width:4in;height:69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OgKBwIAAPADAAAOAAAAZHJzL2Uyb0RvYy54bWysU8Fu2zAMvQ/YPwi6L3bSJG2NOEXXLsOA&#10;dhvQ7gMYWY6FSaIgqbGzrx8lp2mw3Yb5YFAi+cj3SK1uBqPZXvqg0NZ8Oik5k1Zgo+yu5j+eNx+u&#10;OAsRbAMaraz5QQZ+s37/btW7Ss6wQ91IzwjEhqp3Ne9idFVRBNFJA2GCTlpytugNRDr6XdF46And&#10;6GJWlsuiR984j0KGQLf3o5OvM37bShG/tW2QkemaU28x/33+b9O/WK+g2nlwnRLHNuAfujCgLBU9&#10;Qd1DBPbi1V9QRgmPAds4EWgKbFslZOZAbKblH2yeOnAycyFxgjvJFP4frPi6/+6Zamh2nFkwNKJn&#10;OUT2EQc2S+r0LlQU9OQoLA50nSIT0+AeUPwMzOJdB3Ynb73HvpPQUHfTlFmcpY44IYFs+0dsqAy8&#10;RMxAQ+tNAiQxGKHTlA6nyaRWBF1eLBeXy5JcgnxXl8sLslMJqF6znQ/xs0TDklFzT5PP6LB/CHEM&#10;fQ1JxSxulNZ0D5W2rK/59WK2yAlnHqMiLadWhmqW6RvXJZH8ZJucHEHp0aZetD2yTkRHynHYDhSY&#10;pNhicyD+HsclpEdDRof+F2c9LWDNLb0QzvQXSwpeT+fztK/5MF9czujgzz3bcw9YQUA1j5yN5l3M&#10;Oz7O6ZaU3qgswlsfx05prbKMxyeQ9vb8nKPeHur6NwAAAP//AwBQSwMEFAAGAAgAAAAhAG+yVbfg&#10;AAAADgEAAA8AAABkcnMvZG93bnJldi54bWxMj8FOwzAQRO9I/IO1SNyonYSEEOJUqMCZUvgANzZx&#10;SLyOYrcNfD3bE9x2d0azb+r14kZ2NHPoPUpIVgKYwdbrHjsJH+8vNyWwEBVqNXo0Er5NgHVzeVGr&#10;SvsTvpnjLnaMQjBUSoKNcao4D601ToWVnwyS9ulnpyKtc8f1rE4U7kaeClFwp3qkD1ZNZmNNO+wO&#10;TkIp3Osw3Kfb4G5/ktxunvzz9CXl9dXy+AAsmiX+meGMT+jQENPeH1AHNkrIizQjKwl5kRXAzpYk&#10;K+m2p+lOJAXwpub/azS/AAAA//8DAFBLAQItABQABgAIAAAAIQC2gziS/gAAAOEBAAATAAAAAAAA&#10;AAAAAAAAAAAAAABbQ29udGVudF9UeXBlc10ueG1sUEsBAi0AFAAGAAgAAAAhADj9If/WAAAAlAEA&#10;AAsAAAAAAAAAAAAAAAAALwEAAF9yZWxzLy5yZWxzUEsBAi0AFAAGAAgAAAAhAFj06AoHAgAA8AMA&#10;AA4AAAAAAAAAAAAAAAAALgIAAGRycy9lMm9Eb2MueG1sUEsBAi0AFAAGAAgAAAAhAG+yVbfgAAAA&#10;DgEAAA8AAAAAAAAAAAAAAAAAYQQAAGRycy9kb3ducmV2LnhtbFBLBQYAAAAABAAEAPMAAABuBQAA&#10;AAA=&#10;" filled="f" stroked="f">
              <v:textbox style="mso-fit-shape-to-text:t">
                <w:txbxContent>
                  <w:p w:rsidR="00A64ABC" w:rsidRPr="00043E60" w:rsidRDefault="00A64ABC" w:rsidP="00A64ABC">
                    <w:pPr>
                      <w:spacing w:before="20" w:after="20" w:line="240" w:lineRule="auto"/>
                      <w:rPr>
                        <w:color w:val="104068"/>
                        <w:sz w:val="18"/>
                        <w:szCs w:val="18"/>
                        <w:lang w:val="da-DK"/>
                      </w:rPr>
                    </w:pPr>
                    <w:r w:rsidRPr="00043E60">
                      <w:rPr>
                        <w:b/>
                        <w:color w:val="104068"/>
                        <w:sz w:val="18"/>
                        <w:szCs w:val="18"/>
                        <w:lang w:val="da-DK"/>
                      </w:rPr>
                      <w:t>EURASHE Secretariat</w:t>
                    </w:r>
                    <w:r w:rsidRPr="00043E60">
                      <w:rPr>
                        <w:color w:val="104068"/>
                        <w:sz w:val="18"/>
                        <w:szCs w:val="18"/>
                        <w:lang w:val="da-DK"/>
                      </w:rPr>
                      <w:tab/>
                      <w:t>Tel: 0032 (0)2 211 41 97</w:t>
                    </w:r>
                  </w:p>
                  <w:p w:rsidR="00A64ABC" w:rsidRPr="00043E60" w:rsidRDefault="00A64ABC" w:rsidP="00A64ABC">
                    <w:pPr>
                      <w:spacing w:before="20" w:after="20" w:line="240" w:lineRule="auto"/>
                      <w:rPr>
                        <w:color w:val="104068"/>
                        <w:sz w:val="18"/>
                        <w:szCs w:val="18"/>
                        <w:lang w:val="da-DK"/>
                      </w:rPr>
                    </w:pPr>
                    <w:r w:rsidRPr="00043E60">
                      <w:rPr>
                        <w:color w:val="104068"/>
                        <w:sz w:val="18"/>
                        <w:szCs w:val="18"/>
                        <w:lang w:val="da-DK"/>
                      </w:rPr>
                      <w:t>Ravensteingalerij 27/3</w:t>
                    </w:r>
                    <w:r w:rsidRPr="00043E60">
                      <w:rPr>
                        <w:color w:val="104068"/>
                        <w:sz w:val="18"/>
                        <w:szCs w:val="18"/>
                        <w:lang w:val="da-DK"/>
                      </w:rPr>
                      <w:tab/>
                      <w:t>Fax: 0032 (0)2 211 41 99</w:t>
                    </w:r>
                  </w:p>
                  <w:p w:rsidR="00A64ABC" w:rsidRPr="00043E60" w:rsidRDefault="00A64ABC" w:rsidP="00A64ABC">
                    <w:pPr>
                      <w:spacing w:before="20" w:after="20" w:line="240" w:lineRule="auto"/>
                      <w:rPr>
                        <w:color w:val="104068"/>
                        <w:sz w:val="18"/>
                        <w:szCs w:val="18"/>
                        <w:lang w:val="da-DK"/>
                      </w:rPr>
                    </w:pPr>
                    <w:r w:rsidRPr="00043E60">
                      <w:rPr>
                        <w:color w:val="104068"/>
                        <w:sz w:val="18"/>
                        <w:szCs w:val="18"/>
                        <w:lang w:val="da-DK"/>
                      </w:rPr>
                      <w:t>1000 Brussels</w:t>
                    </w:r>
                    <w:r w:rsidRPr="00043E60">
                      <w:rPr>
                        <w:color w:val="104068"/>
                        <w:sz w:val="18"/>
                        <w:szCs w:val="18"/>
                        <w:lang w:val="da-DK"/>
                      </w:rPr>
                      <w:tab/>
                    </w:r>
                    <w:r w:rsidRPr="00043E60">
                      <w:rPr>
                        <w:color w:val="104068"/>
                        <w:sz w:val="18"/>
                        <w:szCs w:val="18"/>
                        <w:lang w:val="da-DK"/>
                      </w:rPr>
                      <w:tab/>
                    </w:r>
                    <w:hyperlink r:id="rId3" w:history="1">
                      <w:r w:rsidRPr="00043E60">
                        <w:rPr>
                          <w:rStyle w:val="Hyperlink"/>
                          <w:color w:val="104068"/>
                          <w:sz w:val="18"/>
                          <w:szCs w:val="18"/>
                          <w:u w:val="none"/>
                          <w:lang w:val="da-DK"/>
                        </w:rPr>
                        <w:t>eurashe@eurashe.eu</w:t>
                      </w:r>
                    </w:hyperlink>
                  </w:p>
                  <w:p w:rsidR="00A64ABC" w:rsidRPr="00043E60" w:rsidRDefault="00A64ABC" w:rsidP="00A64ABC">
                    <w:pPr>
                      <w:spacing w:before="20" w:after="20" w:line="240" w:lineRule="auto"/>
                      <w:rPr>
                        <w:color w:val="104068"/>
                        <w:sz w:val="18"/>
                        <w:szCs w:val="18"/>
                        <w:lang w:val="da-DK"/>
                      </w:rPr>
                    </w:pPr>
                    <w:r w:rsidRPr="00043E60">
                      <w:rPr>
                        <w:color w:val="104068"/>
                        <w:sz w:val="18"/>
                        <w:szCs w:val="18"/>
                        <w:lang w:val="da-DK"/>
                      </w:rPr>
                      <w:t>Belgium</w:t>
                    </w:r>
                    <w:r w:rsidRPr="00043E60">
                      <w:rPr>
                        <w:color w:val="104068"/>
                        <w:sz w:val="18"/>
                        <w:szCs w:val="18"/>
                        <w:lang w:val="da-DK"/>
                      </w:rPr>
                      <w:tab/>
                    </w:r>
                    <w:r w:rsidRPr="00043E60">
                      <w:rPr>
                        <w:color w:val="104068"/>
                        <w:sz w:val="18"/>
                        <w:szCs w:val="18"/>
                        <w:lang w:val="da-DK"/>
                      </w:rPr>
                      <w:tab/>
                    </w:r>
                    <w:r w:rsidRPr="00043E60">
                      <w:rPr>
                        <w:color w:val="104068"/>
                        <w:sz w:val="18"/>
                        <w:szCs w:val="18"/>
                        <w:lang w:val="da-DK"/>
                      </w:rPr>
                      <w:tab/>
                    </w:r>
                    <w:hyperlink r:id="rId4" w:history="1">
                      <w:r w:rsidRPr="00043E60">
                        <w:rPr>
                          <w:rStyle w:val="Hyperlink"/>
                          <w:color w:val="104068"/>
                          <w:sz w:val="18"/>
                          <w:szCs w:val="18"/>
                          <w:u w:val="none"/>
                          <w:lang w:val="da-DK"/>
                        </w:rPr>
                        <w:t>www.eurashe.eu</w:t>
                      </w:r>
                    </w:hyperlink>
                  </w:p>
                </w:txbxContent>
              </v:textbox>
              <w10:wrap anchory="page"/>
              <w10:anchorlock/>
            </v:shape>
          </w:pict>
        </mc:Fallback>
      </mc:AlternateContent>
    </w:r>
    <w:r w:rsidRPr="0047626A">
      <w:rPr>
        <w:b/>
        <w:color w:val="104068"/>
        <w:sz w:val="18"/>
      </w:rPr>
      <w:t>EURASHE update for the BFUG March 2013</w:t>
    </w:r>
    <w:r w:rsidRPr="0047626A">
      <w:rPr>
        <w:color w:val="104068"/>
        <w:sz w:val="18"/>
      </w:rPr>
      <w:t xml:space="preserve"> </w:t>
    </w:r>
    <w:r>
      <w:rPr>
        <w:color w:val="104068"/>
        <w:sz w:val="18"/>
      </w:rPr>
      <w:t>–</w:t>
    </w:r>
    <w:r w:rsidRPr="0047626A">
      <w:rPr>
        <w:color w:val="104068"/>
        <w:sz w:val="18"/>
      </w:rPr>
      <w:t xml:space="preserve"> Page </w:t>
    </w:r>
    <w:r w:rsidRPr="0047626A">
      <w:rPr>
        <w:b/>
        <w:color w:val="104068"/>
        <w:sz w:val="18"/>
      </w:rPr>
      <w:fldChar w:fldCharType="begin"/>
    </w:r>
    <w:r w:rsidRPr="0047626A">
      <w:rPr>
        <w:b/>
        <w:color w:val="104068"/>
        <w:sz w:val="18"/>
      </w:rPr>
      <w:instrText xml:space="preserve"> PAGE  \* Arabic  \* MERGEFORMAT </w:instrText>
    </w:r>
    <w:r w:rsidRPr="0047626A">
      <w:rPr>
        <w:b/>
        <w:color w:val="104068"/>
        <w:sz w:val="18"/>
      </w:rPr>
      <w:fldChar w:fldCharType="separate"/>
    </w:r>
    <w:r w:rsidR="001043AD">
      <w:rPr>
        <w:b/>
        <w:noProof/>
        <w:color w:val="104068"/>
        <w:sz w:val="18"/>
      </w:rPr>
      <w:t>2</w:t>
    </w:r>
    <w:r w:rsidRPr="0047626A">
      <w:rPr>
        <w:b/>
        <w:color w:val="104068"/>
        <w:sz w:val="18"/>
      </w:rPr>
      <w:fldChar w:fldCharType="end"/>
    </w:r>
    <w:r w:rsidRPr="0047626A">
      <w:rPr>
        <w:color w:val="104068"/>
        <w:sz w:val="18"/>
      </w:rPr>
      <w:t xml:space="preserve"> </w:t>
    </w:r>
    <w:r w:rsidRPr="0047626A">
      <w:rPr>
        <w:b/>
        <w:color w:val="104068"/>
        <w:sz w:val="18"/>
      </w:rPr>
      <w:t xml:space="preserve">of </w:t>
    </w:r>
    <w:r w:rsidRPr="0047626A">
      <w:rPr>
        <w:b/>
        <w:color w:val="104068"/>
        <w:sz w:val="18"/>
      </w:rPr>
      <w:fldChar w:fldCharType="begin"/>
    </w:r>
    <w:r w:rsidRPr="0047626A">
      <w:rPr>
        <w:b/>
        <w:color w:val="104068"/>
        <w:sz w:val="18"/>
      </w:rPr>
      <w:instrText xml:space="preserve"> NUMPAGES  \* Arabic  \* MERGEFORMAT </w:instrText>
    </w:r>
    <w:r w:rsidRPr="0047626A">
      <w:rPr>
        <w:b/>
        <w:color w:val="104068"/>
        <w:sz w:val="18"/>
      </w:rPr>
      <w:fldChar w:fldCharType="separate"/>
    </w:r>
    <w:r w:rsidR="001043AD">
      <w:rPr>
        <w:b/>
        <w:noProof/>
        <w:color w:val="104068"/>
        <w:sz w:val="18"/>
      </w:rPr>
      <w:t>3</w:t>
    </w:r>
    <w:r w:rsidRPr="0047626A">
      <w:rPr>
        <w:b/>
        <w:color w:val="104068"/>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069" w:rsidRPr="0047626A" w:rsidRDefault="004A7069">
    <w:pPr>
      <w:pStyle w:val="Footer"/>
      <w:rPr>
        <w:b/>
        <w:color w:val="104068"/>
        <w:sz w:val="18"/>
      </w:rPr>
    </w:pPr>
    <w:r w:rsidRPr="0047626A">
      <w:rPr>
        <w:b/>
        <w:noProof/>
        <w:color w:val="104068"/>
        <w:sz w:val="18"/>
        <w:lang w:eastAsia="en-GB"/>
      </w:rPr>
      <mc:AlternateContent>
        <mc:Choice Requires="wps">
          <w:drawing>
            <wp:anchor distT="0" distB="0" distL="114300" distR="114300" simplePos="0" relativeHeight="251662336" behindDoc="0" locked="1" layoutInCell="1" allowOverlap="1" wp14:anchorId="3651280A" wp14:editId="6279C958">
              <wp:simplePos x="0" y="0"/>
              <wp:positionH relativeFrom="column">
                <wp:posOffset>3571875</wp:posOffset>
              </wp:positionH>
              <wp:positionV relativeFrom="page">
                <wp:posOffset>9930130</wp:posOffset>
              </wp:positionV>
              <wp:extent cx="2703600" cy="723600"/>
              <wp:effectExtent l="0" t="0" r="0" b="63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3600" cy="723600"/>
                      </a:xfrm>
                      <a:prstGeom prst="rect">
                        <a:avLst/>
                      </a:prstGeom>
                      <a:noFill/>
                      <a:ln w="9525">
                        <a:noFill/>
                        <a:miter lim="800000"/>
                        <a:headEnd/>
                        <a:tailEnd/>
                      </a:ln>
                    </wps:spPr>
                    <wps:txbx>
                      <w:txbxContent>
                        <w:p w:rsidR="004A7069" w:rsidRPr="00A64ABC" w:rsidRDefault="00A64ABC" w:rsidP="00A64ABC">
                          <w:pPr>
                            <w:spacing w:before="20" w:after="20" w:line="240" w:lineRule="auto"/>
                            <w:jc w:val="center"/>
                            <w:rPr>
                              <w:i/>
                              <w:color w:val="104068"/>
                              <w:sz w:val="28"/>
                              <w:szCs w:val="18"/>
                              <w:lang w:val="da-DK"/>
                            </w:rPr>
                          </w:pPr>
                          <w:r w:rsidRPr="00A64ABC">
                            <w:rPr>
                              <w:i/>
                              <w:color w:val="104068"/>
                              <w:sz w:val="28"/>
                              <w:szCs w:val="18"/>
                              <w:lang w:val="da-DK"/>
                            </w:rPr>
                            <w:t>SUPPORTING PROFESSIONAL HIGHER EDUCATION IN EUROPE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281.25pt;margin-top:781.9pt;width:212.9pt;height:5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OhaCwIAAPsDAAAOAAAAZHJzL2Uyb0RvYy54bWysU9tuGyEQfa/Uf0C817ve2HGyMo7SpKkq&#10;pRcp6QdglvWiAkMBe9f9+g6s46zat6o8oIGZOcw5M6xvBqPJQfqgwDI6n5WUSCugUXbH6Pfnh3dX&#10;lITIbcM1WMnoUQZ6s3n7Zt27WlbQgW6kJwhiQ907RrsYXV0UQXTS8DADJy06W/CGRzz6XdF43iO6&#10;0UVVlpdFD75xHoQMAW/vRyfdZPy2lSJ+bdsgI9GMYm0x7z7v27QXmzWvd567TolTGfwfqjBcWXz0&#10;DHXPIyd7r/6CMkp4CNDGmQBTQNsqITMHZDMv/2Dz1HEnMxcUJ7izTOH/wYovh2+eqIbRi3JFieUG&#10;m/Qsh0jew0CqpE/vQo1hTw4D44DX2OfMNbhHED8CsXDXcbuTt95D30neYH3zlFlMUkeckEC2/Wdo&#10;8Bm+j5CBhtabJB7KQRAd+3Q89yaVIvCyWpUXlyW6BPpWVbbTE7x+yXY+xI8SDEkGox57n9H54THE&#10;MfQlJD1m4UFpjfe81pb0jF4vq2VOmHiMijieWhlGr8q0xoFJJD/YJidHrvRoYy3anlgnoiPlOGyH&#10;LHCWJCmyheaIMngYpxF/Dxod+F+U9DiJjIafe+4lJfqTRSmv54tFGt18WCxXFR781LOdergVCMVo&#10;pGQ072Ie95HyLUreqqzGayWnknHCsp6n35BGeHrOUa9/dvMbAAD//wMAUEsDBBQABgAIAAAAIQA/&#10;0YCt4QAAAA0BAAAPAAAAZHJzL2Rvd25yZXYueG1sTI/NTsMwEITvSH0Ha5G4UZuWpGmIUyEQVxDl&#10;R+LmxtskaryOYrcJb9/tCY4782l2pthMrhMnHELrScPdXIFAqrxtqdbw+fFym4EI0ZA1nSfU8IsB&#10;NuXsqjC59SO942kba8EhFHKjoYmxz6UMVYPOhLnvkdjb+8GZyOdQSzuYkcNdJxdKpdKZlvhDY3p8&#10;arA6bI9Ow9fr/uf7Xr3Vzy7pRz8pSW4ttb65nh4fQESc4h8Ml/pcHUrutPNHskF0GpJ0kTDKRpIu&#10;eQQj6yxbgtixlK5WGciykP9XlGcAAAD//wMAUEsBAi0AFAAGAAgAAAAhALaDOJL+AAAA4QEAABMA&#10;AAAAAAAAAAAAAAAAAAAAAFtDb250ZW50X1R5cGVzXS54bWxQSwECLQAUAAYACAAAACEAOP0h/9YA&#10;AACUAQAACwAAAAAAAAAAAAAAAAAvAQAAX3JlbHMvLnJlbHNQSwECLQAUAAYACAAAACEAInjoWgsC&#10;AAD7AwAADgAAAAAAAAAAAAAAAAAuAgAAZHJzL2Uyb0RvYy54bWxQSwECLQAUAAYACAAAACEAP9GA&#10;reEAAAANAQAADwAAAAAAAAAAAAAAAABlBAAAZHJzL2Rvd25yZXYueG1sUEsFBgAAAAAEAAQA8wAA&#10;AHMFAAAAAA==&#10;" filled="f" stroked="f">
              <v:textbox>
                <w:txbxContent>
                  <w:p w:rsidR="004A7069" w:rsidRPr="00A64ABC" w:rsidRDefault="00A64ABC" w:rsidP="00A64ABC">
                    <w:pPr>
                      <w:spacing w:before="20" w:after="20" w:line="240" w:lineRule="auto"/>
                      <w:jc w:val="center"/>
                      <w:rPr>
                        <w:i/>
                        <w:color w:val="104068"/>
                        <w:sz w:val="28"/>
                        <w:szCs w:val="18"/>
                        <w:lang w:val="da-DK"/>
                      </w:rPr>
                    </w:pPr>
                    <w:r w:rsidRPr="00A64ABC">
                      <w:rPr>
                        <w:i/>
                        <w:color w:val="104068"/>
                        <w:sz w:val="28"/>
                        <w:szCs w:val="18"/>
                        <w:lang w:val="da-DK"/>
                      </w:rPr>
                      <w:t>SUPPORTING PROFESSIONAL HIGHER EDUCATION IN EUROPE</w:t>
                    </w:r>
                  </w:p>
                </w:txbxContent>
              </v:textbox>
              <w10:wrap anchory="page"/>
              <w10:anchorlock/>
            </v:shape>
          </w:pict>
        </mc:Fallback>
      </mc:AlternateContent>
    </w:r>
    <w:r w:rsidR="0047626A" w:rsidRPr="0047626A">
      <w:rPr>
        <w:b/>
        <w:color w:val="104068"/>
        <w:sz w:val="18"/>
      </w:rPr>
      <w:t>EURASHE update for the BFUG March 2013</w:t>
    </w:r>
    <w:r w:rsidR="0047626A" w:rsidRPr="0047626A">
      <w:rPr>
        <w:color w:val="104068"/>
        <w:sz w:val="18"/>
      </w:rPr>
      <w:t xml:space="preserve"> </w:t>
    </w:r>
    <w:r w:rsidR="0047626A">
      <w:rPr>
        <w:color w:val="104068"/>
        <w:sz w:val="18"/>
      </w:rPr>
      <w:t>–</w:t>
    </w:r>
    <w:r w:rsidR="0047626A" w:rsidRPr="0047626A">
      <w:rPr>
        <w:color w:val="104068"/>
        <w:sz w:val="18"/>
      </w:rPr>
      <w:t xml:space="preserve"> Page </w:t>
    </w:r>
    <w:r w:rsidR="0047626A" w:rsidRPr="0047626A">
      <w:rPr>
        <w:b/>
        <w:color w:val="104068"/>
        <w:sz w:val="18"/>
      </w:rPr>
      <w:fldChar w:fldCharType="begin"/>
    </w:r>
    <w:r w:rsidR="0047626A" w:rsidRPr="0047626A">
      <w:rPr>
        <w:b/>
        <w:color w:val="104068"/>
        <w:sz w:val="18"/>
      </w:rPr>
      <w:instrText xml:space="preserve"> PAGE  \* Arabic  \* MERGEFORMAT </w:instrText>
    </w:r>
    <w:r w:rsidR="0047626A" w:rsidRPr="0047626A">
      <w:rPr>
        <w:b/>
        <w:color w:val="104068"/>
        <w:sz w:val="18"/>
      </w:rPr>
      <w:fldChar w:fldCharType="separate"/>
    </w:r>
    <w:r w:rsidR="001043AD">
      <w:rPr>
        <w:b/>
        <w:noProof/>
        <w:color w:val="104068"/>
        <w:sz w:val="18"/>
      </w:rPr>
      <w:t>3</w:t>
    </w:r>
    <w:r w:rsidR="0047626A" w:rsidRPr="0047626A">
      <w:rPr>
        <w:b/>
        <w:color w:val="104068"/>
        <w:sz w:val="18"/>
      </w:rPr>
      <w:fldChar w:fldCharType="end"/>
    </w:r>
    <w:r w:rsidR="0047626A" w:rsidRPr="0047626A">
      <w:rPr>
        <w:color w:val="104068"/>
        <w:sz w:val="18"/>
      </w:rPr>
      <w:t xml:space="preserve"> of </w:t>
    </w:r>
    <w:r w:rsidR="0047626A" w:rsidRPr="0047626A">
      <w:rPr>
        <w:b/>
        <w:color w:val="104068"/>
        <w:sz w:val="18"/>
      </w:rPr>
      <w:fldChar w:fldCharType="begin"/>
    </w:r>
    <w:r w:rsidR="0047626A" w:rsidRPr="0047626A">
      <w:rPr>
        <w:b/>
        <w:color w:val="104068"/>
        <w:sz w:val="18"/>
      </w:rPr>
      <w:instrText xml:space="preserve"> NUMPAGES  \* Arabic  \* MERGEFORMAT </w:instrText>
    </w:r>
    <w:r w:rsidR="0047626A" w:rsidRPr="0047626A">
      <w:rPr>
        <w:b/>
        <w:color w:val="104068"/>
        <w:sz w:val="18"/>
      </w:rPr>
      <w:fldChar w:fldCharType="separate"/>
    </w:r>
    <w:r w:rsidR="001043AD">
      <w:rPr>
        <w:b/>
        <w:noProof/>
        <w:color w:val="104068"/>
        <w:sz w:val="18"/>
      </w:rPr>
      <w:t>3</w:t>
    </w:r>
    <w:r w:rsidR="0047626A" w:rsidRPr="0047626A">
      <w:rPr>
        <w:b/>
        <w:color w:val="104068"/>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02B" w:rsidRDefault="001360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6B1D" w:rsidRDefault="00B96B1D" w:rsidP="004A7069">
      <w:pPr>
        <w:spacing w:after="0" w:line="240" w:lineRule="auto"/>
      </w:pPr>
      <w:r>
        <w:separator/>
      </w:r>
    </w:p>
  </w:footnote>
  <w:footnote w:type="continuationSeparator" w:id="0">
    <w:p w:rsidR="00B96B1D" w:rsidRDefault="00B96B1D" w:rsidP="004A7069">
      <w:pPr>
        <w:spacing w:after="0" w:line="240" w:lineRule="auto"/>
      </w:pPr>
      <w:r>
        <w:continuationSeparator/>
      </w:r>
    </w:p>
  </w:footnote>
  <w:footnote w:id="1">
    <w:p w:rsidR="0047626A" w:rsidRPr="0047626A" w:rsidRDefault="0047626A" w:rsidP="0047626A">
      <w:pPr>
        <w:pStyle w:val="FootnoteText"/>
        <w:rPr>
          <w:sz w:val="18"/>
          <w:szCs w:val="18"/>
          <w:lang w:val="da-DK"/>
        </w:rPr>
      </w:pPr>
      <w:r w:rsidRPr="0047626A">
        <w:rPr>
          <w:rStyle w:val="FootnoteReference"/>
          <w:sz w:val="18"/>
          <w:szCs w:val="18"/>
        </w:rPr>
        <w:footnoteRef/>
      </w:r>
      <w:r w:rsidRPr="0047626A">
        <w:rPr>
          <w:sz w:val="18"/>
          <w:szCs w:val="18"/>
        </w:rPr>
        <w:t xml:space="preserve"> </w:t>
      </w:r>
      <w:hyperlink r:id="rId1" w:history="1">
        <w:r w:rsidRPr="0047626A">
          <w:rPr>
            <w:rStyle w:val="Hyperlink"/>
            <w:sz w:val="18"/>
            <w:szCs w:val="18"/>
            <w:lang w:val="da-DK"/>
          </w:rPr>
          <w:t>http://www.eurashe.eu/wp-content/uploads/2012/06/EURASHE_Sem_QA_120927-28_Report.pdf</w:t>
        </w:r>
      </w:hyperlink>
    </w:p>
  </w:footnote>
  <w:footnote w:id="2">
    <w:p w:rsidR="0047626A" w:rsidRPr="0047626A" w:rsidRDefault="0047626A" w:rsidP="0047626A">
      <w:pPr>
        <w:pStyle w:val="FootnoteText"/>
        <w:rPr>
          <w:sz w:val="18"/>
          <w:szCs w:val="18"/>
          <w:lang w:val="da-DK"/>
        </w:rPr>
      </w:pPr>
      <w:r w:rsidRPr="0047626A">
        <w:rPr>
          <w:rStyle w:val="FootnoteReference"/>
          <w:sz w:val="18"/>
          <w:szCs w:val="18"/>
        </w:rPr>
        <w:footnoteRef/>
      </w:r>
      <w:r w:rsidRPr="0047626A">
        <w:rPr>
          <w:sz w:val="18"/>
          <w:szCs w:val="18"/>
        </w:rPr>
        <w:t xml:space="preserve"> </w:t>
      </w:r>
      <w:hyperlink r:id="rId2" w:history="1">
        <w:r w:rsidRPr="0047626A">
          <w:rPr>
            <w:rStyle w:val="Hyperlink"/>
            <w:sz w:val="18"/>
            <w:szCs w:val="18"/>
            <w:lang w:val="da-DK"/>
          </w:rPr>
          <w:t>http://www.eurashe.eu/wp-content/uploads/2012/10/EURASHE_Report_Implementation_ESG_August_2012_full.pdf</w:t>
        </w:r>
      </w:hyperlink>
    </w:p>
  </w:footnote>
  <w:footnote w:id="3">
    <w:p w:rsidR="00315CF4" w:rsidRPr="0047626A" w:rsidRDefault="00315CF4" w:rsidP="00315CF4">
      <w:pPr>
        <w:pStyle w:val="FootnoteText"/>
        <w:rPr>
          <w:sz w:val="18"/>
          <w:szCs w:val="18"/>
          <w:lang w:val="da-DK"/>
        </w:rPr>
      </w:pPr>
      <w:r w:rsidRPr="0047626A">
        <w:rPr>
          <w:rStyle w:val="FootnoteReference"/>
          <w:sz w:val="18"/>
          <w:szCs w:val="18"/>
        </w:rPr>
        <w:footnoteRef/>
      </w:r>
      <w:r w:rsidRPr="0047626A">
        <w:rPr>
          <w:sz w:val="18"/>
          <w:szCs w:val="18"/>
        </w:rPr>
        <w:t xml:space="preserve"> </w:t>
      </w:r>
      <w:r w:rsidRPr="0047626A">
        <w:rPr>
          <w:sz w:val="18"/>
          <w:szCs w:val="18"/>
          <w:lang w:val="da-DK"/>
        </w:rPr>
        <w:t>HAPHE is a project financed by the Lifelong Learning Programme of the European Union</w:t>
      </w:r>
      <w:r>
        <w:rPr>
          <w:sz w:val="18"/>
          <w:szCs w:val="18"/>
          <w:lang w:val="da-DK"/>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26A" w:rsidRDefault="0047626A" w:rsidP="0047626A">
    <w:pPr>
      <w:pStyle w:val="Header"/>
      <w:jc w:val="right"/>
      <w:rPr>
        <w:rFonts w:ascii="Calibri" w:eastAsia="Calibri" w:hAnsi="Calibri" w:cs="Times New Roman"/>
        <w:b/>
        <w:color w:val="104068"/>
        <w:sz w:val="28"/>
      </w:rPr>
    </w:pPr>
  </w:p>
  <w:p w:rsidR="0047626A" w:rsidRPr="0047626A" w:rsidRDefault="0047626A" w:rsidP="0047626A">
    <w:pPr>
      <w:pStyle w:val="Header"/>
      <w:jc w:val="right"/>
      <w:rPr>
        <w:rFonts w:ascii="Calibri" w:eastAsia="Calibri" w:hAnsi="Calibri" w:cs="Times New Roman"/>
        <w:b/>
        <w:color w:val="104068"/>
        <w:sz w:val="28"/>
      </w:rPr>
    </w:pPr>
    <w:r w:rsidRPr="0047626A">
      <w:rPr>
        <w:rFonts w:ascii="Calibri" w:eastAsia="Calibri" w:hAnsi="Calibri" w:cs="Times New Roman"/>
        <w:b/>
        <w:color w:val="104068"/>
        <w:sz w:val="28"/>
      </w:rPr>
      <w:t>Update for the BFUG</w:t>
    </w:r>
  </w:p>
  <w:p w:rsidR="004A7069" w:rsidRPr="0047626A" w:rsidRDefault="0047626A" w:rsidP="0047626A">
    <w:pPr>
      <w:pStyle w:val="Header"/>
      <w:jc w:val="right"/>
      <w:rPr>
        <w:rFonts w:ascii="Calibri" w:eastAsia="Calibri" w:hAnsi="Calibri" w:cs="Times New Roman"/>
        <w:b/>
        <w:color w:val="104068"/>
        <w:sz w:val="28"/>
      </w:rPr>
    </w:pPr>
    <w:r w:rsidRPr="0047626A">
      <w:rPr>
        <w:rFonts w:ascii="Calibri" w:eastAsia="Calibri" w:hAnsi="Calibri" w:cs="Times New Roman"/>
        <w:b/>
        <w:color w:val="104068"/>
        <w:sz w:val="28"/>
      </w:rPr>
      <w:t>14-15 March 2013, Dublin (Ireland)</w:t>
    </w:r>
    <w:r w:rsidR="004A7069" w:rsidRPr="0047626A">
      <w:rPr>
        <w:rFonts w:ascii="Calibri" w:eastAsia="Calibri" w:hAnsi="Calibri" w:cs="Times New Roman"/>
        <w:b/>
        <w:noProof/>
        <w:color w:val="104068"/>
        <w:sz w:val="28"/>
        <w:lang w:eastAsia="en-GB"/>
      </w:rPr>
      <w:drawing>
        <wp:anchor distT="0" distB="0" distL="114300" distR="114300" simplePos="0" relativeHeight="251660288" behindDoc="1" locked="1" layoutInCell="1" allowOverlap="1" wp14:anchorId="029DD8DB" wp14:editId="7C94EFC5">
          <wp:simplePos x="0" y="0"/>
          <wp:positionH relativeFrom="page">
            <wp:align>center</wp:align>
          </wp:positionH>
          <wp:positionV relativeFrom="page">
            <wp:align>center</wp:align>
          </wp:positionV>
          <wp:extent cx="7585200" cy="107280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RASHE_layout_portrai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85200" cy="107280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26A" w:rsidRPr="0047626A" w:rsidRDefault="0047626A" w:rsidP="0047626A">
    <w:pPr>
      <w:pStyle w:val="Header"/>
      <w:jc w:val="right"/>
      <w:rPr>
        <w:rFonts w:ascii="Calibri" w:eastAsia="Calibri" w:hAnsi="Calibri" w:cs="Times New Roman"/>
        <w:b/>
        <w:color w:val="104068"/>
        <w:sz w:val="28"/>
      </w:rPr>
    </w:pPr>
  </w:p>
  <w:p w:rsidR="0047626A" w:rsidRPr="0047626A" w:rsidRDefault="0047626A" w:rsidP="0047626A">
    <w:pPr>
      <w:pStyle w:val="Header"/>
      <w:jc w:val="right"/>
      <w:rPr>
        <w:rFonts w:ascii="Calibri" w:eastAsia="Calibri" w:hAnsi="Calibri" w:cs="Times New Roman"/>
        <w:b/>
        <w:color w:val="104068"/>
        <w:sz w:val="28"/>
      </w:rPr>
    </w:pPr>
    <w:r w:rsidRPr="0047626A">
      <w:rPr>
        <w:rFonts w:ascii="Calibri" w:eastAsia="Calibri" w:hAnsi="Calibri" w:cs="Times New Roman"/>
        <w:b/>
        <w:color w:val="104068"/>
        <w:sz w:val="28"/>
      </w:rPr>
      <w:t>Update for the BFUG</w:t>
    </w:r>
  </w:p>
  <w:p w:rsidR="004A7069" w:rsidRPr="0047626A" w:rsidRDefault="0047626A" w:rsidP="0047626A">
    <w:pPr>
      <w:pStyle w:val="Header"/>
      <w:jc w:val="right"/>
      <w:rPr>
        <w:rFonts w:ascii="Calibri" w:eastAsia="Calibri" w:hAnsi="Calibri" w:cs="Times New Roman"/>
        <w:b/>
        <w:color w:val="104068"/>
        <w:sz w:val="28"/>
      </w:rPr>
    </w:pPr>
    <w:r w:rsidRPr="0047626A">
      <w:rPr>
        <w:rFonts w:ascii="Calibri" w:eastAsia="Calibri" w:hAnsi="Calibri" w:cs="Times New Roman"/>
        <w:b/>
        <w:color w:val="104068"/>
        <w:sz w:val="28"/>
      </w:rPr>
      <w:t>14-15 March 2013, Dublin (Ireland)</w:t>
    </w:r>
    <w:r w:rsidR="004A7069" w:rsidRPr="0047626A">
      <w:rPr>
        <w:rFonts w:ascii="Calibri" w:eastAsia="Calibri" w:hAnsi="Calibri" w:cs="Times New Roman"/>
        <w:b/>
        <w:noProof/>
        <w:color w:val="104068"/>
        <w:sz w:val="28"/>
        <w:lang w:eastAsia="en-GB"/>
      </w:rPr>
      <w:drawing>
        <wp:anchor distT="0" distB="0" distL="114300" distR="114300" simplePos="0" relativeHeight="251658240" behindDoc="1" locked="1" layoutInCell="1" allowOverlap="1" wp14:anchorId="78BF4AD5" wp14:editId="5DA6BE4B">
          <wp:simplePos x="0" y="0"/>
          <wp:positionH relativeFrom="page">
            <wp:align>center</wp:align>
          </wp:positionH>
          <wp:positionV relativeFrom="page">
            <wp:align>center</wp:align>
          </wp:positionV>
          <wp:extent cx="7585200" cy="107280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RASHE_layout_portrai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85200" cy="107280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02B" w:rsidRDefault="001360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E1979"/>
    <w:multiLevelType w:val="hybridMultilevel"/>
    <w:tmpl w:val="B868E5A4"/>
    <w:lvl w:ilvl="0" w:tplc="83BE870C">
      <w:start w:val="1"/>
      <w:numFmt w:val="bullet"/>
      <w:lvlText w:val="★"/>
      <w:lvlJc w:val="left"/>
      <w:pPr>
        <w:ind w:left="720" w:hanging="360"/>
      </w:pPr>
      <w:rPr>
        <w:rFonts w:ascii="SimSun" w:eastAsia="SimSun" w:hAnsi="SimSun" w:hint="eastAsia"/>
        <w:color w:val="548DD4" w:themeColor="text2" w:themeTint="99"/>
        <w:u w:color="FFFFFF" w:themeColor="background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4824498"/>
    <w:multiLevelType w:val="hybridMultilevel"/>
    <w:tmpl w:val="581A54F0"/>
    <w:lvl w:ilvl="0" w:tplc="BE38EE4C">
      <w:start w:val="1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7860AD1"/>
    <w:multiLevelType w:val="hybridMultilevel"/>
    <w:tmpl w:val="6B4CBB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0697BEC"/>
    <w:multiLevelType w:val="hybridMultilevel"/>
    <w:tmpl w:val="CD863A48"/>
    <w:lvl w:ilvl="0" w:tplc="BE38EE4C">
      <w:start w:val="14"/>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0AC63A3"/>
    <w:multiLevelType w:val="hybridMultilevel"/>
    <w:tmpl w:val="7BB42C5E"/>
    <w:lvl w:ilvl="0" w:tplc="BE38EE4C">
      <w:start w:val="1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E190854"/>
    <w:multiLevelType w:val="hybridMultilevel"/>
    <w:tmpl w:val="788027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68D51E9"/>
    <w:multiLevelType w:val="hybridMultilevel"/>
    <w:tmpl w:val="20B87A7E"/>
    <w:lvl w:ilvl="0" w:tplc="BE38EE4C">
      <w:start w:val="1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7169291E"/>
    <w:multiLevelType w:val="hybridMultilevel"/>
    <w:tmpl w:val="4D6480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2"/>
  </w:num>
  <w:num w:numId="4">
    <w:abstractNumId w:val="0"/>
  </w:num>
  <w:num w:numId="5">
    <w:abstractNumId w:val="4"/>
  </w:num>
  <w:num w:numId="6">
    <w:abstractNumId w:val="3"/>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26A"/>
    <w:rsid w:val="00043E60"/>
    <w:rsid w:val="00084E7C"/>
    <w:rsid w:val="001043AD"/>
    <w:rsid w:val="0013602B"/>
    <w:rsid w:val="00315CF4"/>
    <w:rsid w:val="003A5FF4"/>
    <w:rsid w:val="003C7462"/>
    <w:rsid w:val="0047626A"/>
    <w:rsid w:val="00493780"/>
    <w:rsid w:val="004A7069"/>
    <w:rsid w:val="006118E0"/>
    <w:rsid w:val="00635701"/>
    <w:rsid w:val="00717199"/>
    <w:rsid w:val="00727CE0"/>
    <w:rsid w:val="007316F1"/>
    <w:rsid w:val="008F1B7E"/>
    <w:rsid w:val="00985982"/>
    <w:rsid w:val="00995C5C"/>
    <w:rsid w:val="00A64ABC"/>
    <w:rsid w:val="00A7772C"/>
    <w:rsid w:val="00A93EAD"/>
    <w:rsid w:val="00B20B46"/>
    <w:rsid w:val="00B96B1D"/>
    <w:rsid w:val="00C021FF"/>
    <w:rsid w:val="00EE22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7069"/>
    <w:pPr>
      <w:tabs>
        <w:tab w:val="center" w:pos="4536"/>
        <w:tab w:val="right" w:pos="9072"/>
      </w:tabs>
      <w:spacing w:after="0" w:line="240" w:lineRule="auto"/>
    </w:pPr>
  </w:style>
  <w:style w:type="character" w:customStyle="1" w:styleId="HeaderChar">
    <w:name w:val="Header Char"/>
    <w:basedOn w:val="DefaultParagraphFont"/>
    <w:link w:val="Header"/>
    <w:uiPriority w:val="99"/>
    <w:rsid w:val="004A7069"/>
  </w:style>
  <w:style w:type="paragraph" w:styleId="Footer">
    <w:name w:val="footer"/>
    <w:basedOn w:val="Normal"/>
    <w:link w:val="FooterChar"/>
    <w:uiPriority w:val="99"/>
    <w:unhideWhenUsed/>
    <w:rsid w:val="004A7069"/>
    <w:pPr>
      <w:tabs>
        <w:tab w:val="center" w:pos="4536"/>
        <w:tab w:val="right" w:pos="9072"/>
      </w:tabs>
      <w:spacing w:after="0" w:line="240" w:lineRule="auto"/>
    </w:pPr>
  </w:style>
  <w:style w:type="character" w:customStyle="1" w:styleId="FooterChar">
    <w:name w:val="Footer Char"/>
    <w:basedOn w:val="DefaultParagraphFont"/>
    <w:link w:val="Footer"/>
    <w:uiPriority w:val="99"/>
    <w:rsid w:val="004A7069"/>
  </w:style>
  <w:style w:type="paragraph" w:styleId="BalloonText">
    <w:name w:val="Balloon Text"/>
    <w:basedOn w:val="Normal"/>
    <w:link w:val="BalloonTextChar"/>
    <w:uiPriority w:val="99"/>
    <w:semiHidden/>
    <w:unhideWhenUsed/>
    <w:rsid w:val="004A70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7069"/>
    <w:rPr>
      <w:rFonts w:ascii="Tahoma" w:hAnsi="Tahoma" w:cs="Tahoma"/>
      <w:sz w:val="16"/>
      <w:szCs w:val="16"/>
    </w:rPr>
  </w:style>
  <w:style w:type="table" w:styleId="TableGrid">
    <w:name w:val="Table Grid"/>
    <w:basedOn w:val="TableNormal"/>
    <w:uiPriority w:val="59"/>
    <w:rsid w:val="004A70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nhideWhenUsed/>
    <w:rsid w:val="004A7069"/>
    <w:rPr>
      <w:color w:val="0000FF" w:themeColor="hyperlink"/>
      <w:u w:val="single"/>
    </w:rPr>
  </w:style>
  <w:style w:type="paragraph" w:styleId="FootnoteText">
    <w:name w:val="footnote text"/>
    <w:basedOn w:val="Normal"/>
    <w:link w:val="FootnoteTextChar"/>
    <w:uiPriority w:val="99"/>
    <w:unhideWhenUsed/>
    <w:rsid w:val="0047626A"/>
    <w:pPr>
      <w:spacing w:after="0" w:line="240" w:lineRule="auto"/>
    </w:pPr>
    <w:rPr>
      <w:rFonts w:ascii="Calibri" w:eastAsia="Calibri" w:hAnsi="Calibri" w:cs="Times New Roman"/>
      <w:sz w:val="20"/>
      <w:szCs w:val="20"/>
      <w:lang w:val="it-IT"/>
    </w:rPr>
  </w:style>
  <w:style w:type="character" w:customStyle="1" w:styleId="FootnoteTextChar">
    <w:name w:val="Footnote Text Char"/>
    <w:basedOn w:val="DefaultParagraphFont"/>
    <w:link w:val="FootnoteText"/>
    <w:uiPriority w:val="99"/>
    <w:rsid w:val="0047626A"/>
    <w:rPr>
      <w:rFonts w:ascii="Calibri" w:eastAsia="Calibri" w:hAnsi="Calibri" w:cs="Times New Roman"/>
      <w:sz w:val="20"/>
      <w:szCs w:val="20"/>
      <w:lang w:val="it-IT"/>
    </w:rPr>
  </w:style>
  <w:style w:type="character" w:styleId="FootnoteReference">
    <w:name w:val="footnote reference"/>
    <w:basedOn w:val="DefaultParagraphFont"/>
    <w:uiPriority w:val="99"/>
    <w:unhideWhenUsed/>
    <w:rsid w:val="0047626A"/>
    <w:rPr>
      <w:vertAlign w:val="superscript"/>
    </w:rPr>
  </w:style>
  <w:style w:type="paragraph" w:styleId="ListParagraph">
    <w:name w:val="List Paragraph"/>
    <w:basedOn w:val="Normal"/>
    <w:uiPriority w:val="34"/>
    <w:qFormat/>
    <w:rsid w:val="0047626A"/>
    <w:pPr>
      <w:spacing w:after="0" w:line="240" w:lineRule="auto"/>
      <w:ind w:left="720"/>
      <w:contextualSpacing/>
    </w:pPr>
    <w:rPr>
      <w:rFonts w:ascii="Times New Roman" w:eastAsia="Times New Roman" w:hAnsi="Times New Roman" w:cs="Times New Roman"/>
      <w:sz w:val="24"/>
      <w:szCs w:val="24"/>
      <w:lang w:val="fr-FR" w:eastAsia="fr-FR"/>
    </w:rPr>
  </w:style>
  <w:style w:type="character" w:styleId="FollowedHyperlink">
    <w:name w:val="FollowedHyperlink"/>
    <w:basedOn w:val="DefaultParagraphFont"/>
    <w:uiPriority w:val="99"/>
    <w:semiHidden/>
    <w:unhideWhenUsed/>
    <w:rsid w:val="00995C5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7069"/>
    <w:pPr>
      <w:tabs>
        <w:tab w:val="center" w:pos="4536"/>
        <w:tab w:val="right" w:pos="9072"/>
      </w:tabs>
      <w:spacing w:after="0" w:line="240" w:lineRule="auto"/>
    </w:pPr>
  </w:style>
  <w:style w:type="character" w:customStyle="1" w:styleId="HeaderChar">
    <w:name w:val="Header Char"/>
    <w:basedOn w:val="DefaultParagraphFont"/>
    <w:link w:val="Header"/>
    <w:uiPriority w:val="99"/>
    <w:rsid w:val="004A7069"/>
  </w:style>
  <w:style w:type="paragraph" w:styleId="Footer">
    <w:name w:val="footer"/>
    <w:basedOn w:val="Normal"/>
    <w:link w:val="FooterChar"/>
    <w:uiPriority w:val="99"/>
    <w:unhideWhenUsed/>
    <w:rsid w:val="004A7069"/>
    <w:pPr>
      <w:tabs>
        <w:tab w:val="center" w:pos="4536"/>
        <w:tab w:val="right" w:pos="9072"/>
      </w:tabs>
      <w:spacing w:after="0" w:line="240" w:lineRule="auto"/>
    </w:pPr>
  </w:style>
  <w:style w:type="character" w:customStyle="1" w:styleId="FooterChar">
    <w:name w:val="Footer Char"/>
    <w:basedOn w:val="DefaultParagraphFont"/>
    <w:link w:val="Footer"/>
    <w:uiPriority w:val="99"/>
    <w:rsid w:val="004A7069"/>
  </w:style>
  <w:style w:type="paragraph" w:styleId="BalloonText">
    <w:name w:val="Balloon Text"/>
    <w:basedOn w:val="Normal"/>
    <w:link w:val="BalloonTextChar"/>
    <w:uiPriority w:val="99"/>
    <w:semiHidden/>
    <w:unhideWhenUsed/>
    <w:rsid w:val="004A70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7069"/>
    <w:rPr>
      <w:rFonts w:ascii="Tahoma" w:hAnsi="Tahoma" w:cs="Tahoma"/>
      <w:sz w:val="16"/>
      <w:szCs w:val="16"/>
    </w:rPr>
  </w:style>
  <w:style w:type="table" w:styleId="TableGrid">
    <w:name w:val="Table Grid"/>
    <w:basedOn w:val="TableNormal"/>
    <w:uiPriority w:val="59"/>
    <w:rsid w:val="004A70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nhideWhenUsed/>
    <w:rsid w:val="004A7069"/>
    <w:rPr>
      <w:color w:val="0000FF" w:themeColor="hyperlink"/>
      <w:u w:val="single"/>
    </w:rPr>
  </w:style>
  <w:style w:type="paragraph" w:styleId="FootnoteText">
    <w:name w:val="footnote text"/>
    <w:basedOn w:val="Normal"/>
    <w:link w:val="FootnoteTextChar"/>
    <w:uiPriority w:val="99"/>
    <w:unhideWhenUsed/>
    <w:rsid w:val="0047626A"/>
    <w:pPr>
      <w:spacing w:after="0" w:line="240" w:lineRule="auto"/>
    </w:pPr>
    <w:rPr>
      <w:rFonts w:ascii="Calibri" w:eastAsia="Calibri" w:hAnsi="Calibri" w:cs="Times New Roman"/>
      <w:sz w:val="20"/>
      <w:szCs w:val="20"/>
      <w:lang w:val="it-IT"/>
    </w:rPr>
  </w:style>
  <w:style w:type="character" w:customStyle="1" w:styleId="FootnoteTextChar">
    <w:name w:val="Footnote Text Char"/>
    <w:basedOn w:val="DefaultParagraphFont"/>
    <w:link w:val="FootnoteText"/>
    <w:uiPriority w:val="99"/>
    <w:rsid w:val="0047626A"/>
    <w:rPr>
      <w:rFonts w:ascii="Calibri" w:eastAsia="Calibri" w:hAnsi="Calibri" w:cs="Times New Roman"/>
      <w:sz w:val="20"/>
      <w:szCs w:val="20"/>
      <w:lang w:val="it-IT"/>
    </w:rPr>
  </w:style>
  <w:style w:type="character" w:styleId="FootnoteReference">
    <w:name w:val="footnote reference"/>
    <w:basedOn w:val="DefaultParagraphFont"/>
    <w:uiPriority w:val="99"/>
    <w:unhideWhenUsed/>
    <w:rsid w:val="0047626A"/>
    <w:rPr>
      <w:vertAlign w:val="superscript"/>
    </w:rPr>
  </w:style>
  <w:style w:type="paragraph" w:styleId="ListParagraph">
    <w:name w:val="List Paragraph"/>
    <w:basedOn w:val="Normal"/>
    <w:uiPriority w:val="34"/>
    <w:qFormat/>
    <w:rsid w:val="0047626A"/>
    <w:pPr>
      <w:spacing w:after="0" w:line="240" w:lineRule="auto"/>
      <w:ind w:left="720"/>
      <w:contextualSpacing/>
    </w:pPr>
    <w:rPr>
      <w:rFonts w:ascii="Times New Roman" w:eastAsia="Times New Roman" w:hAnsi="Times New Roman" w:cs="Times New Roman"/>
      <w:sz w:val="24"/>
      <w:szCs w:val="24"/>
      <w:lang w:val="fr-FR" w:eastAsia="fr-FR"/>
    </w:rPr>
  </w:style>
  <w:style w:type="character" w:styleId="FollowedHyperlink">
    <w:name w:val="FollowedHyperlink"/>
    <w:basedOn w:val="DefaultParagraphFont"/>
    <w:uiPriority w:val="99"/>
    <w:semiHidden/>
    <w:unhideWhenUsed/>
    <w:rsid w:val="00995C5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8756">
      <w:bodyDiv w:val="1"/>
      <w:marLeft w:val="0"/>
      <w:marRight w:val="0"/>
      <w:marTop w:val="0"/>
      <w:marBottom w:val="0"/>
      <w:divBdr>
        <w:top w:val="none" w:sz="0" w:space="0" w:color="auto"/>
        <w:left w:val="none" w:sz="0" w:space="0" w:color="auto"/>
        <w:bottom w:val="none" w:sz="0" w:space="0" w:color="auto"/>
        <w:right w:val="none" w:sz="0" w:space="0" w:color="auto"/>
      </w:divBdr>
    </w:div>
    <w:div w:id="24793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urashe.eu/haphe"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eurashe.eu/nicosia"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urashe.eu/prague" TargetMode="External"/><Relationship Id="rId24"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customXml" Target="../customXml/item3.xml"/><Relationship Id="rId10" Type="http://schemas.openxmlformats.org/officeDocument/2006/relationships/hyperlink" Target="http://www.eurashe.eu/roundtable"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eurashe.eu/split" TargetMode="External"/><Relationship Id="rId14" Type="http://schemas.openxmlformats.org/officeDocument/2006/relationships/header" Target="header1.xml"/><Relationship Id="rId22" Type="http://schemas.openxmlformats.org/officeDocument/2006/relationships/customXml" Target="../customXml/item2.xml"/></Relationships>
</file>

<file path=word/_rels/footer1.xml.rels><?xml version="1.0" encoding="UTF-8" standalone="yes"?>
<Relationships xmlns="http://schemas.openxmlformats.org/package/2006/relationships"><Relationship Id="rId3" Type="http://schemas.openxmlformats.org/officeDocument/2006/relationships/hyperlink" Target="mailto:eurashe@eurashe.eu" TargetMode="External"/><Relationship Id="rId2" Type="http://schemas.openxmlformats.org/officeDocument/2006/relationships/hyperlink" Target="http://www.eurashe.eu" TargetMode="External"/><Relationship Id="rId1" Type="http://schemas.openxmlformats.org/officeDocument/2006/relationships/hyperlink" Target="mailto:eurashe@eurashe.eu" TargetMode="External"/><Relationship Id="rId4" Type="http://schemas.openxmlformats.org/officeDocument/2006/relationships/hyperlink" Target="http://www.eurashe.e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urashe.eu/wp-content/uploads/2012/10/EURASHE_Report_Implementation_ESG_August_2012_full.pdf" TargetMode="External"/><Relationship Id="rId1" Type="http://schemas.openxmlformats.org/officeDocument/2006/relationships/hyperlink" Target="http://www.eurashe.eu/wp-content/uploads/2012/06/EURASHE_Sem_QA_120927-28_Report.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andre\AppData\Roaming\Microsoft\Sjablonen\EURASHE_document_footer_p1-motto_p2-addres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73F7CF842B0E24AA6C7C4E6F5B069E9" ma:contentTypeVersion="0" ma:contentTypeDescription="Create a new document." ma:contentTypeScope="" ma:versionID="7bae795dcadf6c0c26748871d2c4d08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B18EA75-E8A0-4BD4-9402-3D40E6D59288}"/>
</file>

<file path=customXml/itemProps2.xml><?xml version="1.0" encoding="utf-8"?>
<ds:datastoreItem xmlns:ds="http://schemas.openxmlformats.org/officeDocument/2006/customXml" ds:itemID="{50A4261E-6B83-4FA3-8BA4-D8698189AF1C}"/>
</file>

<file path=customXml/itemProps3.xml><?xml version="1.0" encoding="utf-8"?>
<ds:datastoreItem xmlns:ds="http://schemas.openxmlformats.org/officeDocument/2006/customXml" ds:itemID="{0E37440D-8F99-4710-A6BC-5B9B3926ED1D}"/>
</file>

<file path=customXml/itemProps4.xml><?xml version="1.0" encoding="utf-8"?>
<ds:datastoreItem xmlns:ds="http://schemas.openxmlformats.org/officeDocument/2006/customXml" ds:itemID="{0F0B6512-3F13-42D0-960A-897C5F8D1859}"/>
</file>

<file path=docProps/app.xml><?xml version="1.0" encoding="utf-8"?>
<Properties xmlns="http://schemas.openxmlformats.org/officeDocument/2006/extended-properties" xmlns:vt="http://schemas.openxmlformats.org/officeDocument/2006/docPropsVTypes">
  <Template>EURASHE_document_footer_p1-motto_p2-address.dotx</Template>
  <TotalTime>0</TotalTime>
  <Pages>3</Pages>
  <Words>1109</Words>
  <Characters>6327</Characters>
  <Application>Microsoft Office Word</Application>
  <DocSecurity>0</DocSecurity>
  <Lines>52</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EURASHE</Company>
  <LinksUpToDate>false</LinksUpToDate>
  <CharactersWithSpaces>7422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Alexandre Wipf</dc:creator>
  <cp:lastModifiedBy>Alexandre Wipf</cp:lastModifiedBy>
  <cp:revision>3</cp:revision>
  <dcterms:created xsi:type="dcterms:W3CDTF">2013-02-18T09:40:00Z</dcterms:created>
  <dcterms:modified xsi:type="dcterms:W3CDTF">2013-02-18T09:49:00Z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0x010100C73F7CF842B0E24AA6C7C4E6F5B069E9</vt:lpwstr>
  </property>
</Properties>
</file>