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49E9F" w14:textId="77777777" w:rsidR="00D03667" w:rsidRDefault="00D03667" w:rsidP="006B481F">
      <w:pPr>
        <w:ind w:left="-141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14:paraId="2C4D7AD4" w14:textId="77777777" w:rsidR="00D03667" w:rsidRDefault="00D03667" w:rsidP="006B481F">
      <w:pPr>
        <w:ind w:left="-141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14:paraId="3171400B" w14:textId="199E8BAD" w:rsidR="00063C0B" w:rsidRPr="00D03667" w:rsidRDefault="00D03667" w:rsidP="006B481F">
      <w:pPr>
        <w:ind w:left="-1418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 </w:t>
      </w:r>
      <w:r w:rsidR="00063C0B" w:rsidRPr="00D03667">
        <w:rPr>
          <w:b/>
          <w:sz w:val="32"/>
          <w:szCs w:val="32"/>
        </w:rPr>
        <w:t>Annex 1: The Early Phase (1998-2001): Implicit Rathe</w:t>
      </w:r>
      <w:r w:rsidR="00FD4D7D" w:rsidRPr="00D03667">
        <w:rPr>
          <w:b/>
          <w:sz w:val="32"/>
          <w:szCs w:val="32"/>
        </w:rPr>
        <w:t xml:space="preserve">r than explicit “Principles and </w:t>
      </w:r>
      <w:r w:rsidR="00063C0B" w:rsidRPr="00D03667">
        <w:rPr>
          <w:b/>
          <w:sz w:val="32"/>
          <w:szCs w:val="32"/>
        </w:rPr>
        <w:t>Objectives”</w:t>
      </w:r>
    </w:p>
    <w:p w14:paraId="0B09ACAC" w14:textId="77777777" w:rsidR="002C65FE" w:rsidRDefault="002C65FE" w:rsidP="00FD4D7D">
      <w:pPr>
        <w:tabs>
          <w:tab w:val="left" w:pos="14884"/>
        </w:tabs>
        <w:ind w:right="-568"/>
      </w:pPr>
    </w:p>
    <w:tbl>
      <w:tblPr>
        <w:tblStyle w:val="TableGrid"/>
        <w:tblpPr w:leftFromText="180" w:rightFromText="180" w:vertAnchor="text" w:horzAnchor="page" w:tblpX="408" w:tblpY="350"/>
        <w:tblW w:w="1621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"/>
        <w:gridCol w:w="3748"/>
        <w:gridCol w:w="416"/>
        <w:gridCol w:w="3750"/>
        <w:gridCol w:w="416"/>
        <w:gridCol w:w="3887"/>
        <w:gridCol w:w="416"/>
        <w:gridCol w:w="3193"/>
      </w:tblGrid>
      <w:tr w:rsidR="00D03667" w:rsidRPr="00D03667" w14:paraId="3D75FBDA" w14:textId="77777777" w:rsidTr="00D03667">
        <w:trPr>
          <w:trHeight w:val="304"/>
        </w:trPr>
        <w:tc>
          <w:tcPr>
            <w:tcW w:w="41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11964B" w14:textId="77777777" w:rsidR="00D03667" w:rsidRPr="00D03667" w:rsidRDefault="00D03667" w:rsidP="00D03667">
            <w:pPr>
              <w:rPr>
                <w:i/>
              </w:rPr>
            </w:pPr>
            <w:r w:rsidRPr="00D03667">
              <w:t xml:space="preserve">       </w:t>
            </w:r>
            <w:r w:rsidRPr="00D03667">
              <w:rPr>
                <w:i/>
              </w:rPr>
              <w:t>Common denominators</w:t>
            </w:r>
          </w:p>
        </w:tc>
        <w:tc>
          <w:tcPr>
            <w:tcW w:w="41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BF7FF5" w14:textId="77777777" w:rsidR="00D03667" w:rsidRPr="00D03667" w:rsidRDefault="00D03667" w:rsidP="00D03667">
            <w:r w:rsidRPr="00D03667">
              <w:t xml:space="preserve">       Sorbonne 1998</w:t>
            </w:r>
          </w:p>
        </w:tc>
        <w:tc>
          <w:tcPr>
            <w:tcW w:w="43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9CA322" w14:textId="77777777" w:rsidR="00D03667" w:rsidRPr="00D03667" w:rsidRDefault="00D03667" w:rsidP="00D03667">
            <w:r w:rsidRPr="00D03667">
              <w:t xml:space="preserve">        Bologna 1999</w:t>
            </w:r>
          </w:p>
        </w:tc>
        <w:tc>
          <w:tcPr>
            <w:tcW w:w="3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2B33FB" w14:textId="77777777" w:rsidR="00D03667" w:rsidRPr="00D03667" w:rsidRDefault="00D03667" w:rsidP="00D03667">
            <w:r w:rsidRPr="00D03667">
              <w:t xml:space="preserve">        Prague 2001</w:t>
            </w:r>
          </w:p>
        </w:tc>
      </w:tr>
      <w:tr w:rsidR="00D03667" w:rsidRPr="00D03667" w14:paraId="01AC7290" w14:textId="77777777" w:rsidTr="00D03667">
        <w:trPr>
          <w:trHeight w:val="913"/>
        </w:trPr>
        <w:tc>
          <w:tcPr>
            <w:tcW w:w="384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24BA199" w14:textId="77777777" w:rsidR="00D03667" w:rsidRPr="00D03667" w:rsidRDefault="00D03667" w:rsidP="00D03667">
            <w:r w:rsidRPr="00D03667">
              <w:t>A</w:t>
            </w:r>
          </w:p>
        </w:tc>
        <w:tc>
          <w:tcPr>
            <w:tcW w:w="374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A836EC1" w14:textId="77777777" w:rsidR="00D03667" w:rsidRPr="00D03667" w:rsidRDefault="00D03667" w:rsidP="00D03667">
            <w:r w:rsidRPr="00D03667">
              <w:t>Respecting cultural, linguistic, HE etc. diversities; democratic values</w:t>
            </w:r>
          </w:p>
        </w:tc>
        <w:tc>
          <w:tcPr>
            <w:tcW w:w="416" w:type="dxa"/>
            <w:tcBorders>
              <w:top w:val="single" w:sz="4" w:space="0" w:color="auto"/>
            </w:tcBorders>
          </w:tcPr>
          <w:p w14:paraId="7F3CCBD5" w14:textId="77777777" w:rsidR="00D03667" w:rsidRPr="00D03667" w:rsidRDefault="00D03667" w:rsidP="00D03667">
            <w:r w:rsidRPr="00D03667">
              <w:t>_</w:t>
            </w:r>
          </w:p>
        </w:tc>
        <w:tc>
          <w:tcPr>
            <w:tcW w:w="3750" w:type="dxa"/>
            <w:tcBorders>
              <w:top w:val="single" w:sz="4" w:space="0" w:color="auto"/>
            </w:tcBorders>
          </w:tcPr>
          <w:p w14:paraId="5A64B5E5" w14:textId="77777777" w:rsidR="00D03667" w:rsidRPr="00D03667" w:rsidRDefault="00D03667" w:rsidP="00D03667">
            <w:r w:rsidRPr="00D03667">
              <w:t>Europe is not only that of the Euro; it must be a Europe of Knowledge as well</w:t>
            </w:r>
          </w:p>
        </w:tc>
        <w:tc>
          <w:tcPr>
            <w:tcW w:w="416" w:type="dxa"/>
            <w:tcBorders>
              <w:top w:val="single" w:sz="4" w:space="0" w:color="auto"/>
            </w:tcBorders>
          </w:tcPr>
          <w:p w14:paraId="64A2F46C" w14:textId="77777777" w:rsidR="00D03667" w:rsidRPr="00D03667" w:rsidRDefault="00D03667" w:rsidP="00D03667">
            <w:r w:rsidRPr="00D03667">
              <w:t>C</w:t>
            </w:r>
          </w:p>
        </w:tc>
        <w:tc>
          <w:tcPr>
            <w:tcW w:w="3887" w:type="dxa"/>
            <w:tcBorders>
              <w:top w:val="single" w:sz="4" w:space="0" w:color="auto"/>
            </w:tcBorders>
          </w:tcPr>
          <w:p w14:paraId="5A87B218" w14:textId="77777777" w:rsidR="00D03667" w:rsidRPr="00D03667" w:rsidRDefault="00D03667" w:rsidP="00D03667">
            <w:r w:rsidRPr="00D03667">
              <w:t xml:space="preserve">Fundamental principles laid down in the Bologna Magna Charta </w:t>
            </w:r>
            <w:proofErr w:type="spellStart"/>
            <w:r w:rsidRPr="00D03667">
              <w:t>Universitatum</w:t>
            </w:r>
            <w:proofErr w:type="spellEnd"/>
            <w:r w:rsidRPr="00D03667">
              <w:t xml:space="preserve"> of 1988</w:t>
            </w:r>
          </w:p>
        </w:tc>
        <w:tc>
          <w:tcPr>
            <w:tcW w:w="416" w:type="dxa"/>
            <w:tcBorders>
              <w:top w:val="single" w:sz="4" w:space="0" w:color="auto"/>
            </w:tcBorders>
          </w:tcPr>
          <w:p w14:paraId="22C81AE9" w14:textId="77777777" w:rsidR="00D03667" w:rsidRPr="00D03667" w:rsidRDefault="00D03667" w:rsidP="00D03667">
            <w:r w:rsidRPr="00D03667">
              <w:t>A</w:t>
            </w:r>
          </w:p>
        </w:tc>
        <w:tc>
          <w:tcPr>
            <w:tcW w:w="3193" w:type="dxa"/>
            <w:tcBorders>
              <w:top w:val="single" w:sz="4" w:space="0" w:color="auto"/>
            </w:tcBorders>
          </w:tcPr>
          <w:p w14:paraId="71BD2E77" w14:textId="77777777" w:rsidR="00D03667" w:rsidRPr="00D03667" w:rsidRDefault="00D03667" w:rsidP="00D03667">
            <w:r w:rsidRPr="00D03667">
              <w:t>Democratic values, diversity of cultures languages and HE</w:t>
            </w:r>
          </w:p>
        </w:tc>
      </w:tr>
      <w:tr w:rsidR="00D03667" w:rsidRPr="00D03667" w14:paraId="17BA7982" w14:textId="77777777" w:rsidTr="00D03667">
        <w:trPr>
          <w:trHeight w:val="933"/>
        </w:trPr>
        <w:tc>
          <w:tcPr>
            <w:tcW w:w="384" w:type="dxa"/>
            <w:shd w:val="clear" w:color="auto" w:fill="BFBFBF" w:themeFill="background1" w:themeFillShade="BF"/>
          </w:tcPr>
          <w:p w14:paraId="4FB39E02" w14:textId="77777777" w:rsidR="00D03667" w:rsidRPr="00D03667" w:rsidRDefault="00D03667" w:rsidP="00D03667">
            <w:r w:rsidRPr="00D03667">
              <w:t>B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38C18633" w14:textId="77777777" w:rsidR="00D03667" w:rsidRPr="00D03667" w:rsidRDefault="00D03667" w:rsidP="00D03667">
            <w:r w:rsidRPr="00D03667">
              <w:t>HE is a public good and a public responsibility</w:t>
            </w:r>
          </w:p>
        </w:tc>
        <w:tc>
          <w:tcPr>
            <w:tcW w:w="416" w:type="dxa"/>
          </w:tcPr>
          <w:p w14:paraId="73462A57" w14:textId="77777777" w:rsidR="00D03667" w:rsidRPr="00D03667" w:rsidRDefault="00D03667" w:rsidP="00D03667">
            <w:r w:rsidRPr="00D03667">
              <w:t>E</w:t>
            </w:r>
          </w:p>
        </w:tc>
        <w:tc>
          <w:tcPr>
            <w:tcW w:w="3750" w:type="dxa"/>
          </w:tcPr>
          <w:p w14:paraId="65D3474F" w14:textId="77777777" w:rsidR="00D03667" w:rsidRPr="00D03667" w:rsidRDefault="00D03667" w:rsidP="00D03667">
            <w:r w:rsidRPr="00D03667">
              <w:t>Intellectual, cultural, social and technical dimensions; universities play a private role</w:t>
            </w:r>
          </w:p>
        </w:tc>
        <w:tc>
          <w:tcPr>
            <w:tcW w:w="416" w:type="dxa"/>
          </w:tcPr>
          <w:p w14:paraId="75639DB4" w14:textId="77777777" w:rsidR="00D03667" w:rsidRPr="00D03667" w:rsidRDefault="00D03667" w:rsidP="00D03667">
            <w:r w:rsidRPr="00D03667">
              <w:t>_</w:t>
            </w:r>
          </w:p>
        </w:tc>
        <w:tc>
          <w:tcPr>
            <w:tcW w:w="3887" w:type="dxa"/>
          </w:tcPr>
          <w:p w14:paraId="09A5F3D6" w14:textId="77777777" w:rsidR="00D03667" w:rsidRPr="00D03667" w:rsidRDefault="00D03667" w:rsidP="00D03667">
            <w:r w:rsidRPr="00D03667">
              <w:t xml:space="preserve">General principles laid down </w:t>
            </w:r>
          </w:p>
          <w:p w14:paraId="3E880C85" w14:textId="77777777" w:rsidR="00D03667" w:rsidRPr="00D03667" w:rsidRDefault="00D03667" w:rsidP="00D03667">
            <w:r w:rsidRPr="00D03667">
              <w:t>In the Sorbonne Declaration</w:t>
            </w:r>
          </w:p>
        </w:tc>
        <w:tc>
          <w:tcPr>
            <w:tcW w:w="416" w:type="dxa"/>
          </w:tcPr>
          <w:p w14:paraId="04551181" w14:textId="77777777" w:rsidR="00D03667" w:rsidRPr="00D03667" w:rsidRDefault="00D03667" w:rsidP="00D03667">
            <w:r w:rsidRPr="00D03667">
              <w:t>B</w:t>
            </w:r>
          </w:p>
        </w:tc>
        <w:tc>
          <w:tcPr>
            <w:tcW w:w="3193" w:type="dxa"/>
          </w:tcPr>
          <w:p w14:paraId="4E8D2468" w14:textId="77777777" w:rsidR="00D03667" w:rsidRPr="00D03667" w:rsidRDefault="00D03667" w:rsidP="00D03667">
            <w:r w:rsidRPr="00D03667">
              <w:t>HE should be considered a public good and a public responsibility</w:t>
            </w:r>
          </w:p>
        </w:tc>
      </w:tr>
      <w:tr w:rsidR="00D03667" w:rsidRPr="00D03667" w14:paraId="4CFFE4A1" w14:textId="77777777" w:rsidTr="00D03667">
        <w:trPr>
          <w:trHeight w:val="1237"/>
        </w:trPr>
        <w:tc>
          <w:tcPr>
            <w:tcW w:w="384" w:type="dxa"/>
            <w:shd w:val="clear" w:color="auto" w:fill="BFBFBF" w:themeFill="background1" w:themeFillShade="BF"/>
          </w:tcPr>
          <w:p w14:paraId="67D42DE4" w14:textId="77777777" w:rsidR="00D03667" w:rsidRPr="00D03667" w:rsidRDefault="00D03667" w:rsidP="00D03667">
            <w:r w:rsidRPr="00D03667">
              <w:t>C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51F17079" w14:textId="77777777" w:rsidR="00D03667" w:rsidRPr="00D03667" w:rsidRDefault="00D03667" w:rsidP="00D03667">
            <w:r w:rsidRPr="00D03667">
              <w:t>Institutional autonomy (and academic freedom); academic values</w:t>
            </w:r>
          </w:p>
        </w:tc>
        <w:tc>
          <w:tcPr>
            <w:tcW w:w="416" w:type="dxa"/>
          </w:tcPr>
          <w:p w14:paraId="3674BA55" w14:textId="77777777" w:rsidR="00D03667" w:rsidRPr="00D03667" w:rsidRDefault="00D03667" w:rsidP="00D03667">
            <w:r w:rsidRPr="00D03667">
              <w:t>A</w:t>
            </w:r>
          </w:p>
        </w:tc>
        <w:tc>
          <w:tcPr>
            <w:tcW w:w="3750" w:type="dxa"/>
          </w:tcPr>
          <w:p w14:paraId="371D29B1" w14:textId="77777777" w:rsidR="00D03667" w:rsidRPr="00D03667" w:rsidRDefault="00D03667" w:rsidP="00D03667">
            <w:r w:rsidRPr="00D03667">
              <w:t>Respecting our diversities; efforts to remove barriers</w:t>
            </w:r>
          </w:p>
        </w:tc>
        <w:tc>
          <w:tcPr>
            <w:tcW w:w="416" w:type="dxa"/>
          </w:tcPr>
          <w:p w14:paraId="74D54AD5" w14:textId="77777777" w:rsidR="00D03667" w:rsidRPr="00D03667" w:rsidRDefault="00D03667" w:rsidP="00D03667">
            <w:r w:rsidRPr="00D03667">
              <w:t>_</w:t>
            </w:r>
          </w:p>
        </w:tc>
        <w:tc>
          <w:tcPr>
            <w:tcW w:w="3887" w:type="dxa"/>
          </w:tcPr>
          <w:p w14:paraId="35A4BDEC" w14:textId="77777777" w:rsidR="00D03667" w:rsidRPr="00D03667" w:rsidRDefault="00D03667" w:rsidP="00D03667">
            <w:r w:rsidRPr="00D03667">
              <w:t xml:space="preserve">The importance of educational </w:t>
            </w:r>
          </w:p>
          <w:p w14:paraId="0C16D9FC" w14:textId="77777777" w:rsidR="00D03667" w:rsidRPr="00D03667" w:rsidRDefault="00D03667" w:rsidP="00D03667">
            <w:r w:rsidRPr="00D03667">
              <w:t>Co-operation in the strengthening stable, peaceful and democratic societies</w:t>
            </w:r>
          </w:p>
        </w:tc>
        <w:tc>
          <w:tcPr>
            <w:tcW w:w="416" w:type="dxa"/>
          </w:tcPr>
          <w:p w14:paraId="63B54474" w14:textId="77777777" w:rsidR="00D03667" w:rsidRPr="00D03667" w:rsidRDefault="00D03667" w:rsidP="00D03667">
            <w:r w:rsidRPr="00D03667">
              <w:t>G</w:t>
            </w:r>
          </w:p>
        </w:tc>
        <w:tc>
          <w:tcPr>
            <w:tcW w:w="3193" w:type="dxa"/>
          </w:tcPr>
          <w:p w14:paraId="3C1000EA" w14:textId="77777777" w:rsidR="00D03667" w:rsidRPr="00D03667" w:rsidRDefault="00D03667" w:rsidP="00D03667">
            <w:r w:rsidRPr="00D03667">
              <w:t>Academic and professional recognition</w:t>
            </w:r>
          </w:p>
        </w:tc>
      </w:tr>
      <w:tr w:rsidR="00D03667" w:rsidRPr="00D03667" w14:paraId="77A7F7B9" w14:textId="77777777" w:rsidTr="00D03667">
        <w:trPr>
          <w:trHeight w:val="1237"/>
        </w:trPr>
        <w:tc>
          <w:tcPr>
            <w:tcW w:w="384" w:type="dxa"/>
            <w:shd w:val="clear" w:color="auto" w:fill="BFBFBF" w:themeFill="background1" w:themeFillShade="BF"/>
          </w:tcPr>
          <w:p w14:paraId="0FF2C33E" w14:textId="77777777" w:rsidR="00D03667" w:rsidRPr="00D03667" w:rsidRDefault="00D03667" w:rsidP="00D03667">
            <w:r w:rsidRPr="00D03667">
              <w:t>D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6F38D153" w14:textId="77777777" w:rsidR="00D03667" w:rsidRPr="00D03667" w:rsidRDefault="00D03667" w:rsidP="00D03667">
            <w:r w:rsidRPr="00D03667">
              <w:t>Responsiveness to the needs of society; accountability</w:t>
            </w:r>
          </w:p>
        </w:tc>
        <w:tc>
          <w:tcPr>
            <w:tcW w:w="416" w:type="dxa"/>
          </w:tcPr>
          <w:p w14:paraId="71C35902" w14:textId="77777777" w:rsidR="00D03667" w:rsidRPr="00D03667" w:rsidRDefault="00D03667" w:rsidP="00D03667">
            <w:r w:rsidRPr="00D03667">
              <w:t>H</w:t>
            </w:r>
          </w:p>
        </w:tc>
        <w:tc>
          <w:tcPr>
            <w:tcW w:w="3750" w:type="dxa"/>
          </w:tcPr>
          <w:p w14:paraId="6E3A854E" w14:textId="77777777" w:rsidR="00D03667" w:rsidRPr="00D03667" w:rsidRDefault="00D03667" w:rsidP="00D03667">
            <w:r w:rsidRPr="00D03667">
              <w:t>Enhance mobility and ever closer co-operation; one semester outside one’s own country</w:t>
            </w:r>
          </w:p>
        </w:tc>
        <w:tc>
          <w:tcPr>
            <w:tcW w:w="416" w:type="dxa"/>
          </w:tcPr>
          <w:p w14:paraId="5618EA9C" w14:textId="77777777" w:rsidR="00D03667" w:rsidRPr="00D03667" w:rsidRDefault="00D03667" w:rsidP="00D03667">
            <w:r w:rsidRPr="00D03667">
              <w:t>D</w:t>
            </w:r>
          </w:p>
        </w:tc>
        <w:tc>
          <w:tcPr>
            <w:tcW w:w="3887" w:type="dxa"/>
          </w:tcPr>
          <w:p w14:paraId="14ED4475" w14:textId="77777777" w:rsidR="00D03667" w:rsidRPr="00D03667" w:rsidRDefault="00D03667" w:rsidP="00D03667">
            <w:r w:rsidRPr="00D03667">
              <w:t>Changing needs, society’s demands</w:t>
            </w:r>
          </w:p>
        </w:tc>
        <w:tc>
          <w:tcPr>
            <w:tcW w:w="416" w:type="dxa"/>
          </w:tcPr>
          <w:p w14:paraId="6D67F18D" w14:textId="77777777" w:rsidR="00D03667" w:rsidRPr="00D03667" w:rsidRDefault="00D03667" w:rsidP="00D03667">
            <w:r w:rsidRPr="00D03667">
              <w:t>D</w:t>
            </w:r>
          </w:p>
        </w:tc>
        <w:tc>
          <w:tcPr>
            <w:tcW w:w="3193" w:type="dxa"/>
          </w:tcPr>
          <w:p w14:paraId="47AA9F24" w14:textId="77777777" w:rsidR="00D03667" w:rsidRPr="00D03667" w:rsidRDefault="00D03667" w:rsidP="00D03667">
            <w:r w:rsidRPr="00D03667">
              <w:t xml:space="preserve">Accommodating the diversity of individual, academic and </w:t>
            </w:r>
            <w:proofErr w:type="spellStart"/>
            <w:r w:rsidRPr="00D03667">
              <w:t>labour</w:t>
            </w:r>
            <w:proofErr w:type="spellEnd"/>
            <w:r w:rsidRPr="00D03667">
              <w:t xml:space="preserve"> market needs</w:t>
            </w:r>
          </w:p>
        </w:tc>
      </w:tr>
      <w:tr w:rsidR="00D03667" w:rsidRPr="00D03667" w14:paraId="08DBEEC6" w14:textId="77777777" w:rsidTr="00D03667">
        <w:trPr>
          <w:trHeight w:val="913"/>
        </w:trPr>
        <w:tc>
          <w:tcPr>
            <w:tcW w:w="384" w:type="dxa"/>
            <w:shd w:val="clear" w:color="auto" w:fill="BFBFBF" w:themeFill="background1" w:themeFillShade="BF"/>
          </w:tcPr>
          <w:p w14:paraId="01D777A3" w14:textId="77777777" w:rsidR="00D03667" w:rsidRPr="00D03667" w:rsidRDefault="00D03667" w:rsidP="00D03667">
            <w:r w:rsidRPr="00D03667">
              <w:t>E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42154C68" w14:textId="77777777" w:rsidR="00D03667" w:rsidRPr="00D03667" w:rsidRDefault="00D03667" w:rsidP="00D03667">
            <w:r w:rsidRPr="00D03667">
              <w:t xml:space="preserve">HE, </w:t>
            </w:r>
            <w:proofErr w:type="spellStart"/>
            <w:r w:rsidRPr="00D03667">
              <w:t>innovation</w:t>
            </w:r>
            <w:proofErr w:type="gramStart"/>
            <w:r w:rsidRPr="00D03667">
              <w:t>,competitiveness</w:t>
            </w:r>
            <w:proofErr w:type="spellEnd"/>
            <w:proofErr w:type="gramEnd"/>
            <w:r w:rsidRPr="00D03667">
              <w:t>, employability, LLL</w:t>
            </w:r>
          </w:p>
        </w:tc>
        <w:tc>
          <w:tcPr>
            <w:tcW w:w="416" w:type="dxa"/>
          </w:tcPr>
          <w:p w14:paraId="4621015B" w14:textId="77777777" w:rsidR="00D03667" w:rsidRPr="00D03667" w:rsidRDefault="00D03667" w:rsidP="00D03667">
            <w:r w:rsidRPr="00D03667">
              <w:t>N</w:t>
            </w:r>
          </w:p>
        </w:tc>
        <w:tc>
          <w:tcPr>
            <w:tcW w:w="3750" w:type="dxa"/>
          </w:tcPr>
          <w:p w14:paraId="7B3DED27" w14:textId="77777777" w:rsidR="00D03667" w:rsidRPr="00D03667" w:rsidRDefault="00D03667" w:rsidP="00D03667">
            <w:r w:rsidRPr="00D03667">
              <w:t>International recognition and attractive potential of our systems</w:t>
            </w:r>
          </w:p>
        </w:tc>
        <w:tc>
          <w:tcPr>
            <w:tcW w:w="416" w:type="dxa"/>
          </w:tcPr>
          <w:p w14:paraId="11BFDCFE" w14:textId="77777777" w:rsidR="00D03667" w:rsidRPr="00D03667" w:rsidRDefault="00D03667" w:rsidP="00D03667">
            <w:r w:rsidRPr="00D03667">
              <w:t>E</w:t>
            </w:r>
          </w:p>
        </w:tc>
        <w:tc>
          <w:tcPr>
            <w:tcW w:w="3887" w:type="dxa"/>
          </w:tcPr>
          <w:p w14:paraId="088DBE70" w14:textId="77777777" w:rsidR="00D03667" w:rsidRPr="00D03667" w:rsidRDefault="00D03667" w:rsidP="00D03667">
            <w:r w:rsidRPr="00D03667">
              <w:t>International competitiveness</w:t>
            </w:r>
          </w:p>
          <w:p w14:paraId="40CF9113" w14:textId="77777777" w:rsidR="00D03667" w:rsidRPr="00D03667" w:rsidRDefault="00D03667" w:rsidP="00D03667">
            <w:proofErr w:type="gramStart"/>
            <w:r w:rsidRPr="00D03667">
              <w:t>of</w:t>
            </w:r>
            <w:proofErr w:type="gramEnd"/>
            <w:r w:rsidRPr="00D03667">
              <w:t xml:space="preserve"> the European systems of HE</w:t>
            </w:r>
          </w:p>
        </w:tc>
        <w:tc>
          <w:tcPr>
            <w:tcW w:w="416" w:type="dxa"/>
          </w:tcPr>
          <w:p w14:paraId="75FD5D31" w14:textId="77777777" w:rsidR="00D03667" w:rsidRPr="00D03667" w:rsidRDefault="00D03667" w:rsidP="00D03667">
            <w:r w:rsidRPr="00D03667">
              <w:t>F</w:t>
            </w:r>
          </w:p>
        </w:tc>
        <w:tc>
          <w:tcPr>
            <w:tcW w:w="3193" w:type="dxa"/>
          </w:tcPr>
          <w:p w14:paraId="13ED1218" w14:textId="77777777" w:rsidR="00D03667" w:rsidRPr="00D03667" w:rsidRDefault="00D03667" w:rsidP="00D03667">
            <w:r w:rsidRPr="00D03667">
              <w:t>Common cornerstone of qualifications</w:t>
            </w:r>
          </w:p>
        </w:tc>
      </w:tr>
      <w:tr w:rsidR="00D03667" w:rsidRPr="00D03667" w14:paraId="10885C95" w14:textId="77777777" w:rsidTr="00D03667">
        <w:trPr>
          <w:trHeight w:val="933"/>
        </w:trPr>
        <w:tc>
          <w:tcPr>
            <w:tcW w:w="384" w:type="dxa"/>
            <w:shd w:val="clear" w:color="auto" w:fill="BFBFBF" w:themeFill="background1" w:themeFillShade="BF"/>
          </w:tcPr>
          <w:p w14:paraId="7863E36A" w14:textId="77777777" w:rsidR="00D03667" w:rsidRPr="00D03667" w:rsidRDefault="00D03667" w:rsidP="00D03667">
            <w:r w:rsidRPr="00D03667">
              <w:t>F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2B185045" w14:textId="77777777" w:rsidR="00D03667" w:rsidRPr="00D03667" w:rsidRDefault="00D03667" w:rsidP="00D03667">
            <w:r w:rsidRPr="00D03667">
              <w:t>Compatibility and common cornerstone qualifications</w:t>
            </w:r>
          </w:p>
        </w:tc>
        <w:tc>
          <w:tcPr>
            <w:tcW w:w="416" w:type="dxa"/>
          </w:tcPr>
          <w:p w14:paraId="5ECC3D28" w14:textId="77777777" w:rsidR="00D03667" w:rsidRPr="00D03667" w:rsidRDefault="00D03667" w:rsidP="00D03667">
            <w:r w:rsidRPr="00D03667">
              <w:t>F</w:t>
            </w:r>
          </w:p>
        </w:tc>
        <w:tc>
          <w:tcPr>
            <w:tcW w:w="3750" w:type="dxa"/>
          </w:tcPr>
          <w:p w14:paraId="5C531C6B" w14:textId="77777777" w:rsidR="00D03667" w:rsidRPr="00D03667" w:rsidRDefault="00D03667" w:rsidP="00D03667">
            <w:r w:rsidRPr="00D03667">
              <w:t>Two main cycles; international comparison and equivalence</w:t>
            </w:r>
          </w:p>
        </w:tc>
        <w:tc>
          <w:tcPr>
            <w:tcW w:w="416" w:type="dxa"/>
          </w:tcPr>
          <w:p w14:paraId="7B761C7E" w14:textId="77777777" w:rsidR="00D03667" w:rsidRPr="00D03667" w:rsidRDefault="00D03667" w:rsidP="00D03667">
            <w:r w:rsidRPr="00D03667">
              <w:t>N</w:t>
            </w:r>
          </w:p>
        </w:tc>
        <w:tc>
          <w:tcPr>
            <w:tcW w:w="3887" w:type="dxa"/>
          </w:tcPr>
          <w:p w14:paraId="7D3015FD" w14:textId="77777777" w:rsidR="00D03667" w:rsidRPr="00D03667" w:rsidRDefault="00D03667" w:rsidP="00D03667">
            <w:r w:rsidRPr="00D03667">
              <w:t xml:space="preserve">To promote the European system </w:t>
            </w:r>
          </w:p>
          <w:p w14:paraId="38C893CE" w14:textId="77777777" w:rsidR="00D03667" w:rsidRPr="00D03667" w:rsidRDefault="00D03667" w:rsidP="00D03667">
            <w:proofErr w:type="gramStart"/>
            <w:r w:rsidRPr="00D03667">
              <w:t>of</w:t>
            </w:r>
            <w:proofErr w:type="gramEnd"/>
            <w:r w:rsidRPr="00D03667">
              <w:t xml:space="preserve"> higher education worldwide</w:t>
            </w:r>
          </w:p>
        </w:tc>
        <w:tc>
          <w:tcPr>
            <w:tcW w:w="416" w:type="dxa"/>
          </w:tcPr>
          <w:p w14:paraId="01DB1A49" w14:textId="77777777" w:rsidR="00D03667" w:rsidRPr="00D03667" w:rsidRDefault="00D03667" w:rsidP="00D03667">
            <w:r w:rsidRPr="00D03667">
              <w:t>E</w:t>
            </w:r>
          </w:p>
        </w:tc>
        <w:tc>
          <w:tcPr>
            <w:tcW w:w="3193" w:type="dxa"/>
          </w:tcPr>
          <w:p w14:paraId="4D8C0AD5" w14:textId="77777777" w:rsidR="00D03667" w:rsidRPr="00D03667" w:rsidRDefault="00D03667" w:rsidP="00D03667">
            <w:r w:rsidRPr="00D03667">
              <w:t>Compatibility, attractiveness and competitiveness</w:t>
            </w:r>
          </w:p>
        </w:tc>
      </w:tr>
      <w:tr w:rsidR="00D03667" w:rsidRPr="00D03667" w14:paraId="13628A43" w14:textId="77777777" w:rsidTr="00D03667">
        <w:trPr>
          <w:trHeight w:val="1237"/>
        </w:trPr>
        <w:tc>
          <w:tcPr>
            <w:tcW w:w="384" w:type="dxa"/>
            <w:shd w:val="clear" w:color="auto" w:fill="BFBFBF" w:themeFill="background1" w:themeFillShade="BF"/>
          </w:tcPr>
          <w:p w14:paraId="5A548A62" w14:textId="77777777" w:rsidR="00D03667" w:rsidRPr="00D03667" w:rsidRDefault="00D03667" w:rsidP="00D03667">
            <w:r w:rsidRPr="00D03667">
              <w:t>G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784DABAA" w14:textId="77777777" w:rsidR="00D03667" w:rsidRPr="00D03667" w:rsidRDefault="00D03667" w:rsidP="00D03667">
            <w:r w:rsidRPr="00D03667">
              <w:t>Recognition of HE qualifications, periods of study and prior learning</w:t>
            </w:r>
          </w:p>
        </w:tc>
        <w:tc>
          <w:tcPr>
            <w:tcW w:w="416" w:type="dxa"/>
          </w:tcPr>
          <w:p w14:paraId="56BF7F55" w14:textId="77777777" w:rsidR="00D03667" w:rsidRPr="00D03667" w:rsidRDefault="00D03667" w:rsidP="00D03667">
            <w:r w:rsidRPr="00D03667">
              <w:t>E</w:t>
            </w:r>
          </w:p>
          <w:p w14:paraId="0B84D359" w14:textId="77777777" w:rsidR="00D03667" w:rsidRPr="00D03667" w:rsidRDefault="00D03667" w:rsidP="00D03667">
            <w:r w:rsidRPr="00D03667">
              <w:t>M</w:t>
            </w:r>
          </w:p>
        </w:tc>
        <w:tc>
          <w:tcPr>
            <w:tcW w:w="3750" w:type="dxa"/>
          </w:tcPr>
          <w:p w14:paraId="01ACAD4A" w14:textId="77777777" w:rsidR="00D03667" w:rsidRPr="00D03667" w:rsidRDefault="00D03667" w:rsidP="00D03667">
            <w:r w:rsidRPr="00D03667">
              <w:t>Initial or continuing education in different European universities; LLL</w:t>
            </w:r>
          </w:p>
        </w:tc>
        <w:tc>
          <w:tcPr>
            <w:tcW w:w="416" w:type="dxa"/>
          </w:tcPr>
          <w:p w14:paraId="5880ACF3" w14:textId="77777777" w:rsidR="00D03667" w:rsidRPr="00D03667" w:rsidRDefault="00D03667" w:rsidP="00D03667">
            <w:r w:rsidRPr="00D03667">
              <w:t>E</w:t>
            </w:r>
          </w:p>
          <w:p w14:paraId="5B77C18A" w14:textId="77777777" w:rsidR="00D03667" w:rsidRPr="00D03667" w:rsidRDefault="00D03667" w:rsidP="00D03667">
            <w:r w:rsidRPr="00D03667">
              <w:t>F</w:t>
            </w:r>
          </w:p>
        </w:tc>
        <w:tc>
          <w:tcPr>
            <w:tcW w:w="3887" w:type="dxa"/>
          </w:tcPr>
          <w:p w14:paraId="1C48C51E" w14:textId="77777777" w:rsidR="00D03667" w:rsidRPr="00D03667" w:rsidRDefault="00D03667" w:rsidP="00D03667">
            <w:r w:rsidRPr="00D03667">
              <w:rPr>
                <w:i/>
              </w:rPr>
              <w:t xml:space="preserve">Objective1: </w:t>
            </w:r>
            <w:r w:rsidRPr="00D03667">
              <w:t>a system of easily</w:t>
            </w:r>
          </w:p>
          <w:p w14:paraId="2EBEDEA6" w14:textId="77777777" w:rsidR="00D03667" w:rsidRPr="00D03667" w:rsidRDefault="00D03667" w:rsidP="00D03667">
            <w:proofErr w:type="gramStart"/>
            <w:r w:rsidRPr="00D03667">
              <w:t>readable</w:t>
            </w:r>
            <w:proofErr w:type="gramEnd"/>
            <w:r w:rsidRPr="00D03667">
              <w:t xml:space="preserve"> and comparable degrees;</w:t>
            </w:r>
          </w:p>
          <w:p w14:paraId="6B705C78" w14:textId="77777777" w:rsidR="00D03667" w:rsidRPr="00D03667" w:rsidRDefault="00D03667" w:rsidP="00D03667">
            <w:pPr>
              <w:rPr>
                <w:i/>
              </w:rPr>
            </w:pPr>
            <w:proofErr w:type="gramStart"/>
            <w:r w:rsidRPr="00D03667">
              <w:t>employability</w:t>
            </w:r>
            <w:proofErr w:type="gramEnd"/>
            <w:r w:rsidRPr="00D03667">
              <w:t>; competitiveness</w:t>
            </w:r>
          </w:p>
        </w:tc>
        <w:tc>
          <w:tcPr>
            <w:tcW w:w="416" w:type="dxa"/>
          </w:tcPr>
          <w:p w14:paraId="50986373" w14:textId="77777777" w:rsidR="00D03667" w:rsidRPr="00D03667" w:rsidRDefault="00D03667" w:rsidP="00D03667">
            <w:r w:rsidRPr="00D03667">
              <w:t>I</w:t>
            </w:r>
          </w:p>
        </w:tc>
        <w:tc>
          <w:tcPr>
            <w:tcW w:w="3193" w:type="dxa"/>
          </w:tcPr>
          <w:p w14:paraId="012C165C" w14:textId="77777777" w:rsidR="00D03667" w:rsidRPr="00D03667" w:rsidRDefault="00D03667" w:rsidP="00D03667">
            <w:r w:rsidRPr="00D03667">
              <w:t>Mutually recognized quality assurance systems</w:t>
            </w:r>
          </w:p>
        </w:tc>
      </w:tr>
      <w:tr w:rsidR="00D03667" w:rsidRPr="00D03667" w14:paraId="06E7C2EA" w14:textId="77777777" w:rsidTr="00D03667">
        <w:trPr>
          <w:trHeight w:val="929"/>
        </w:trPr>
        <w:tc>
          <w:tcPr>
            <w:tcW w:w="384" w:type="dxa"/>
            <w:shd w:val="clear" w:color="auto" w:fill="BFBFBF" w:themeFill="background1" w:themeFillShade="BF"/>
          </w:tcPr>
          <w:p w14:paraId="465EE0B7" w14:textId="77777777" w:rsidR="00D03667" w:rsidRPr="00D03667" w:rsidRDefault="00D03667" w:rsidP="00D03667">
            <w:r w:rsidRPr="00D03667">
              <w:t>H</w:t>
            </w:r>
          </w:p>
        </w:tc>
        <w:tc>
          <w:tcPr>
            <w:tcW w:w="3748" w:type="dxa"/>
            <w:shd w:val="clear" w:color="auto" w:fill="BFBFBF" w:themeFill="background1" w:themeFillShade="BF"/>
          </w:tcPr>
          <w:p w14:paraId="40DFB08C" w14:textId="77777777" w:rsidR="00D03667" w:rsidRPr="00D03667" w:rsidRDefault="00D03667" w:rsidP="00D03667">
            <w:r w:rsidRPr="00D03667">
              <w:t xml:space="preserve">Educational co-operation in enhanced mobility </w:t>
            </w:r>
          </w:p>
          <w:p w14:paraId="6084C7C5" w14:textId="77777777" w:rsidR="00D03667" w:rsidRPr="00D03667" w:rsidRDefault="00D03667" w:rsidP="00D03667">
            <w:proofErr w:type="gramStart"/>
            <w:r w:rsidRPr="00D03667">
              <w:t>of</w:t>
            </w:r>
            <w:proofErr w:type="gramEnd"/>
            <w:r w:rsidRPr="00D03667">
              <w:t xml:space="preserve"> students and staff</w:t>
            </w:r>
          </w:p>
        </w:tc>
        <w:tc>
          <w:tcPr>
            <w:tcW w:w="416" w:type="dxa"/>
          </w:tcPr>
          <w:p w14:paraId="60F0B365" w14:textId="77777777" w:rsidR="00D03667" w:rsidRPr="00D03667" w:rsidRDefault="00D03667" w:rsidP="00D03667">
            <w:r w:rsidRPr="00D03667">
              <w:t>G</w:t>
            </w:r>
          </w:p>
        </w:tc>
        <w:tc>
          <w:tcPr>
            <w:tcW w:w="3750" w:type="dxa"/>
          </w:tcPr>
          <w:p w14:paraId="0D1F19F0" w14:textId="77777777" w:rsidR="00D03667" w:rsidRPr="00D03667" w:rsidRDefault="00D03667" w:rsidP="00D03667">
            <w:r w:rsidRPr="00D03667">
              <w:t>Mutual recognition in the EU; the Lisbon recognition Convention</w:t>
            </w:r>
          </w:p>
        </w:tc>
        <w:tc>
          <w:tcPr>
            <w:tcW w:w="416" w:type="dxa"/>
          </w:tcPr>
          <w:p w14:paraId="7D32C368" w14:textId="77777777" w:rsidR="00D03667" w:rsidRPr="00D03667" w:rsidRDefault="00D03667" w:rsidP="00D03667">
            <w:r w:rsidRPr="00D03667">
              <w:t>E</w:t>
            </w:r>
          </w:p>
          <w:p w14:paraId="1F7F67F7" w14:textId="77777777" w:rsidR="00D03667" w:rsidRPr="00D03667" w:rsidRDefault="00D03667" w:rsidP="00D03667">
            <w:r w:rsidRPr="00D03667">
              <w:t>F</w:t>
            </w:r>
          </w:p>
        </w:tc>
        <w:tc>
          <w:tcPr>
            <w:tcW w:w="3887" w:type="dxa"/>
          </w:tcPr>
          <w:p w14:paraId="75C439E1" w14:textId="77777777" w:rsidR="00D03667" w:rsidRPr="00D03667" w:rsidRDefault="00D03667" w:rsidP="00D03667">
            <w:r w:rsidRPr="00D03667">
              <w:rPr>
                <w:i/>
              </w:rPr>
              <w:t xml:space="preserve">Obj. 2: </w:t>
            </w:r>
            <w:r w:rsidRPr="00D03667">
              <w:t>two main cycles, relevant</w:t>
            </w:r>
          </w:p>
          <w:p w14:paraId="03ED7410" w14:textId="77777777" w:rsidR="00D03667" w:rsidRPr="00D03667" w:rsidRDefault="00D03667" w:rsidP="00D03667">
            <w:proofErr w:type="gramStart"/>
            <w:r w:rsidRPr="00D03667">
              <w:t>to</w:t>
            </w:r>
            <w:proofErr w:type="gramEnd"/>
            <w:r w:rsidRPr="00D03667">
              <w:t xml:space="preserve"> the European </w:t>
            </w:r>
            <w:proofErr w:type="spellStart"/>
            <w:r w:rsidRPr="00D03667">
              <w:t>labour</w:t>
            </w:r>
            <w:proofErr w:type="spellEnd"/>
            <w:r w:rsidRPr="00D03667">
              <w:t xml:space="preserve"> market</w:t>
            </w:r>
          </w:p>
        </w:tc>
        <w:tc>
          <w:tcPr>
            <w:tcW w:w="416" w:type="dxa"/>
          </w:tcPr>
          <w:p w14:paraId="478A3F16" w14:textId="77777777" w:rsidR="00D03667" w:rsidRPr="00D03667" w:rsidRDefault="00D03667" w:rsidP="00D03667">
            <w:r w:rsidRPr="00D03667">
              <w:t>H</w:t>
            </w:r>
          </w:p>
        </w:tc>
        <w:tc>
          <w:tcPr>
            <w:tcW w:w="3193" w:type="dxa"/>
          </w:tcPr>
          <w:p w14:paraId="1DA30E74" w14:textId="77777777" w:rsidR="00D03667" w:rsidRPr="00D03667" w:rsidRDefault="00D03667" w:rsidP="00D03667">
            <w:r w:rsidRPr="00D03667">
              <w:t>The objective of improving mobility of the utmost importance</w:t>
            </w:r>
          </w:p>
          <w:p w14:paraId="136E3B5B" w14:textId="77777777" w:rsidR="00D03667" w:rsidRPr="00D03667" w:rsidRDefault="00D03667" w:rsidP="00D03667"/>
        </w:tc>
      </w:tr>
    </w:tbl>
    <w:p w14:paraId="0D31F464" w14:textId="77777777" w:rsidR="002C65FE" w:rsidRDefault="002C65FE"/>
    <w:p w14:paraId="507952C1" w14:textId="77777777" w:rsidR="002C65FE" w:rsidRDefault="002C65FE"/>
    <w:p w14:paraId="59689951" w14:textId="77777777" w:rsidR="00774E3B" w:rsidRDefault="00774E3B">
      <w:pPr>
        <w:rPr>
          <w:sz w:val="28"/>
          <w:szCs w:val="28"/>
        </w:rPr>
      </w:pPr>
    </w:p>
    <w:p w14:paraId="79B3A421" w14:textId="77777777" w:rsidR="002C30BB" w:rsidRDefault="002C30BB">
      <w:pPr>
        <w:rPr>
          <w:sz w:val="28"/>
          <w:szCs w:val="28"/>
        </w:rPr>
      </w:pPr>
    </w:p>
    <w:p w14:paraId="7BAC9087" w14:textId="77777777" w:rsidR="002C30BB" w:rsidRDefault="002C30BB">
      <w:pPr>
        <w:rPr>
          <w:sz w:val="28"/>
          <w:szCs w:val="28"/>
        </w:rPr>
      </w:pPr>
    </w:p>
    <w:p w14:paraId="263185B4" w14:textId="77777777" w:rsidR="002C30BB" w:rsidRDefault="002C30BB">
      <w:pPr>
        <w:rPr>
          <w:sz w:val="28"/>
          <w:szCs w:val="28"/>
        </w:rPr>
      </w:pPr>
    </w:p>
    <w:p w14:paraId="2531A84D" w14:textId="7F8E9B3C" w:rsidR="002C30BB" w:rsidRDefault="00D03667" w:rsidP="00D03667">
      <w:pPr>
        <w:ind w:hanging="1276"/>
        <w:rPr>
          <w:sz w:val="28"/>
          <w:szCs w:val="28"/>
        </w:rPr>
      </w:pPr>
      <w:r w:rsidRPr="00141DDA">
        <w:rPr>
          <w:b/>
          <w:sz w:val="28"/>
          <w:szCs w:val="28"/>
        </w:rPr>
        <w:t>Annex 1</w:t>
      </w:r>
      <w:r>
        <w:rPr>
          <w:sz w:val="28"/>
          <w:szCs w:val="28"/>
        </w:rPr>
        <w:t xml:space="preserve"> (continued)</w:t>
      </w:r>
    </w:p>
    <w:tbl>
      <w:tblPr>
        <w:tblStyle w:val="TableGrid"/>
        <w:tblpPr w:leftFromText="180" w:rightFromText="180" w:vertAnchor="page" w:horzAnchor="page" w:tblpX="409" w:tblpY="1430"/>
        <w:tblW w:w="16302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420"/>
        <w:gridCol w:w="3407"/>
        <w:gridCol w:w="431"/>
        <w:gridCol w:w="4105"/>
        <w:gridCol w:w="426"/>
        <w:gridCol w:w="3685"/>
      </w:tblGrid>
      <w:tr w:rsidR="00292ABA" w:rsidRPr="00D03667" w14:paraId="12A71534" w14:textId="77777777" w:rsidTr="00801B20"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EA526" w14:textId="0655B679" w:rsidR="00292ABA" w:rsidRPr="00D03667" w:rsidRDefault="00801B20" w:rsidP="00801B20">
            <w:r w:rsidRPr="00D03667">
              <w:rPr>
                <w:i/>
              </w:rPr>
              <w:t xml:space="preserve">       </w:t>
            </w:r>
            <w:r w:rsidR="0066792C" w:rsidRPr="00D03667">
              <w:rPr>
                <w:i/>
              </w:rPr>
              <w:t>Common denominators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A26BC9" w14:textId="2145E37A" w:rsidR="00292ABA" w:rsidRPr="00D03667" w:rsidRDefault="00801B20" w:rsidP="00801B20">
            <w:r w:rsidRPr="00D03667">
              <w:t xml:space="preserve">       </w:t>
            </w:r>
            <w:r w:rsidR="0066792C" w:rsidRPr="00D03667">
              <w:t>Sorbonne 1998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0DD4B5" w14:textId="68B0AD8B" w:rsidR="00292ABA" w:rsidRPr="00D03667" w:rsidRDefault="00431C03" w:rsidP="00801B20">
            <w:r w:rsidRPr="00D03667">
              <w:t xml:space="preserve">       </w:t>
            </w:r>
            <w:r w:rsidR="0066792C" w:rsidRPr="00D03667">
              <w:t>Bologna 1999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A62A06" w14:textId="5CFEAA1A" w:rsidR="00292ABA" w:rsidRPr="00D03667" w:rsidRDefault="00431C03" w:rsidP="00801B20">
            <w:r w:rsidRPr="00D03667">
              <w:t xml:space="preserve">       </w:t>
            </w:r>
            <w:r w:rsidR="0066792C" w:rsidRPr="00D03667">
              <w:t>Prague 2001</w:t>
            </w:r>
          </w:p>
        </w:tc>
      </w:tr>
      <w:tr w:rsidR="00801B20" w:rsidRPr="00D03667" w14:paraId="035EDF77" w14:textId="77777777" w:rsidTr="00801B20"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EE52A62" w14:textId="77777777" w:rsidR="00292ABA" w:rsidRPr="00D03667" w:rsidRDefault="0066792C" w:rsidP="00801B20">
            <w:r w:rsidRPr="00D03667">
              <w:t>I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897B7D0" w14:textId="77777777" w:rsidR="0066792C" w:rsidRPr="00D03667" w:rsidRDefault="0066792C" w:rsidP="00801B20">
            <w:r w:rsidRPr="00D03667">
              <w:t xml:space="preserve">Co-operation in quality assurance; European  </w:t>
            </w:r>
          </w:p>
          <w:p w14:paraId="5F73619B" w14:textId="77777777" w:rsidR="00292ABA" w:rsidRPr="00D03667" w:rsidRDefault="0066792C" w:rsidP="00801B20">
            <w:r w:rsidRPr="00D03667">
              <w:t>QA register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4563E" w14:textId="77777777" w:rsidR="00292ABA" w:rsidRPr="00D03667" w:rsidRDefault="0066792C" w:rsidP="00801B20">
            <w:r w:rsidRPr="00D03667">
              <w:t>F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D67AE" w14:textId="24B48751" w:rsidR="00292ABA" w:rsidRPr="00D03667" w:rsidRDefault="00801B20" w:rsidP="00801B20">
            <w:r w:rsidRPr="00D03667">
              <w:t>Harmonization of the overall framework of our degrees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F7246" w14:textId="77777777" w:rsidR="00292ABA" w:rsidRPr="00D03667" w:rsidRDefault="0066792C" w:rsidP="00801B20">
            <w:r w:rsidRPr="00D03667">
              <w:t>H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FCF21" w14:textId="13A2E000" w:rsidR="00292ABA" w:rsidRPr="00D03667" w:rsidRDefault="00801B20" w:rsidP="00801B20">
            <w:r w:rsidRPr="00D03667">
              <w:rPr>
                <w:i/>
              </w:rPr>
              <w:t>Obj. 3</w:t>
            </w:r>
            <w:r w:rsidRPr="00D03667">
              <w:t>: system of credits, promoting widespread mobility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A0DD0" w14:textId="5B235B85" w:rsidR="00292ABA" w:rsidRPr="00D03667" w:rsidRDefault="00801B20" w:rsidP="00801B20">
            <w:r w:rsidRPr="00D03667">
              <w:t>M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0C2D4" w14:textId="423C176A" w:rsidR="00292ABA" w:rsidRPr="00D03667" w:rsidRDefault="00801B20" w:rsidP="00801B20">
            <w:r w:rsidRPr="00D03667">
              <w:t>European dimensions in HE; courses with a “European” content</w:t>
            </w:r>
          </w:p>
        </w:tc>
      </w:tr>
      <w:tr w:rsidR="00801B20" w:rsidRPr="00D03667" w14:paraId="06A00AF6" w14:textId="77777777" w:rsidTr="00801B2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9AF7E4B" w14:textId="77777777" w:rsidR="00292ABA" w:rsidRPr="00D03667" w:rsidRDefault="0066792C" w:rsidP="00801B20">
            <w:r w:rsidRPr="00D03667">
              <w:t>J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0C8CE794" w14:textId="78EE83B8" w:rsidR="00292ABA" w:rsidRPr="00D03667" w:rsidRDefault="0066792C" w:rsidP="00801B20">
            <w:r w:rsidRPr="00D03667">
              <w:t xml:space="preserve">Working in </w:t>
            </w:r>
            <w:r w:rsidR="00801B20" w:rsidRPr="00D03667">
              <w:t>partnerships</w:t>
            </w:r>
            <w:r w:rsidRPr="00D03667">
              <w:t>; HE stakeholders</w:t>
            </w:r>
          </w:p>
          <w:p w14:paraId="149CD490" w14:textId="77777777" w:rsidR="0066792C" w:rsidRPr="00D03667" w:rsidRDefault="0066792C" w:rsidP="00801B20"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F9349D7" w14:textId="1A86798F" w:rsidR="00292ABA" w:rsidRPr="00D03667" w:rsidRDefault="0066792C" w:rsidP="00801B20">
            <w:r w:rsidRPr="00D03667">
              <w:t>H</w:t>
            </w:r>
            <w:r w:rsidR="00801B20" w:rsidRPr="00D03667">
              <w:t xml:space="preserve"> E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3084996B" w14:textId="43792B7F" w:rsidR="00801B20" w:rsidRPr="00D03667" w:rsidRDefault="00801B20" w:rsidP="00801B20">
            <w:r w:rsidRPr="00D03667">
              <w:t>Recognition vs. facilitating student mobility as well as employability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69FE6F51" w14:textId="547B7789" w:rsidR="00292ABA" w:rsidRPr="00D03667" w:rsidRDefault="0066792C" w:rsidP="00801B20">
            <w:r w:rsidRPr="00D03667">
              <w:t>G</w:t>
            </w:r>
            <w:r w:rsidR="00801B20" w:rsidRPr="00D03667">
              <w:t>H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14:paraId="61016146" w14:textId="2118EE52" w:rsidR="00292ABA" w:rsidRPr="00D03667" w:rsidRDefault="00801B20" w:rsidP="00801B20">
            <w:r w:rsidRPr="00D03667">
              <w:rPr>
                <w:i/>
              </w:rPr>
              <w:t>Obj. 4</w:t>
            </w:r>
            <w:r w:rsidRPr="00D03667">
              <w:t xml:space="preserve">: free movement, mobility, recognition and </w:t>
            </w:r>
            <w:proofErr w:type="spellStart"/>
            <w:r w:rsidRPr="00D03667">
              <w:t>valorisation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CFD9505" w14:textId="7F70DBC1" w:rsidR="00292ABA" w:rsidRPr="00D03667" w:rsidRDefault="00801B20" w:rsidP="00801B20">
            <w:r w:rsidRPr="00D03667">
              <w:t>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74AAB71" w14:textId="7F2D9F17" w:rsidR="00292ABA" w:rsidRPr="00D03667" w:rsidRDefault="00801B20" w:rsidP="00801B20">
            <w:r w:rsidRPr="00D03667">
              <w:rPr>
                <w:i/>
              </w:rPr>
              <w:t>Obj. 7</w:t>
            </w:r>
            <w:r w:rsidRPr="00D03667">
              <w:t>: LLL as an essential element of the EHEA</w:t>
            </w:r>
          </w:p>
        </w:tc>
      </w:tr>
      <w:tr w:rsidR="00801B20" w:rsidRPr="00D03667" w14:paraId="567156B3" w14:textId="77777777" w:rsidTr="00801B2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4D12B0D" w14:textId="4E73971E" w:rsidR="00292ABA" w:rsidRPr="00D03667" w:rsidRDefault="0066792C" w:rsidP="00801B20">
            <w:r w:rsidRPr="00D03667">
              <w:t>K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76D6798" w14:textId="77777777" w:rsidR="00292ABA" w:rsidRPr="00D03667" w:rsidRDefault="0066792C" w:rsidP="00801B20">
            <w:pPr>
              <w:ind w:left="-1038" w:firstLine="1038"/>
            </w:pPr>
            <w:r w:rsidRPr="00D03667">
              <w:t>Linking HE research;</w:t>
            </w:r>
          </w:p>
          <w:p w14:paraId="2B2BEBD7" w14:textId="77777777" w:rsidR="0066792C" w:rsidRPr="00D03667" w:rsidRDefault="0066792C" w:rsidP="00801B20">
            <w:r w:rsidRPr="00D03667">
              <w:t xml:space="preserve">Doctoral </w:t>
            </w:r>
            <w:proofErr w:type="spellStart"/>
            <w:r w:rsidRPr="00D03667">
              <w:t>programmes</w:t>
            </w:r>
            <w:proofErr w:type="spellEnd"/>
            <w:r w:rsidRPr="00D03667">
              <w:t>; research capacity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4F0364BB" w14:textId="33F2354C" w:rsidR="00292ABA" w:rsidRPr="00D03667" w:rsidRDefault="00801B20" w:rsidP="00801B20">
            <w:r w:rsidRPr="00D03667">
              <w:t>_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503C3AAA" w14:textId="6DF36FFC" w:rsidR="00292ABA" w:rsidRPr="00D03667" w:rsidRDefault="00801B20" w:rsidP="00801B20">
            <w:r w:rsidRPr="00D03667">
              <w:t>National identities and common interests can strengthen each other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31A378B4" w14:textId="1FA5A201" w:rsidR="00292ABA" w:rsidRPr="00D03667" w:rsidRDefault="00801B20" w:rsidP="00801B20">
            <w:r w:rsidRPr="00D03667">
              <w:t>I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14:paraId="675A6F46" w14:textId="337B52B1" w:rsidR="00292ABA" w:rsidRPr="00D03667" w:rsidRDefault="00801B20" w:rsidP="00801B20">
            <w:r w:rsidRPr="00D03667">
              <w:rPr>
                <w:i/>
              </w:rPr>
              <w:t>Obj. 5</w:t>
            </w:r>
            <w:r w:rsidRPr="00D03667">
              <w:t>: European co-operation in quality assurance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36BC120" w14:textId="143D32B7" w:rsidR="00292ABA" w:rsidRPr="00D03667" w:rsidRDefault="00801B20" w:rsidP="00801B20">
            <w:r w:rsidRPr="00D03667">
              <w:t>J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7DCA34C" w14:textId="7CEFEF61" w:rsidR="00292ABA" w:rsidRPr="00D03667" w:rsidRDefault="00801B20" w:rsidP="00801B20">
            <w:r w:rsidRPr="00D03667">
              <w:rPr>
                <w:i/>
              </w:rPr>
              <w:t>Obj. 8</w:t>
            </w:r>
            <w:r w:rsidRPr="00D03667">
              <w:t>: involvement of HEIs students as partners</w:t>
            </w:r>
          </w:p>
        </w:tc>
      </w:tr>
      <w:tr w:rsidR="00801B20" w:rsidRPr="00D03667" w14:paraId="2228B562" w14:textId="77777777" w:rsidTr="00801B2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51804CA" w14:textId="77777777" w:rsidR="00292ABA" w:rsidRPr="00D03667" w:rsidRDefault="0066792C" w:rsidP="00801B20">
            <w:r w:rsidRPr="00D03667">
              <w:t>L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57CAB94" w14:textId="77777777" w:rsidR="00292ABA" w:rsidRPr="00D03667" w:rsidRDefault="0066792C" w:rsidP="00801B20">
            <w:r w:rsidRPr="00D03667">
              <w:t>The social dimension</w:t>
            </w:r>
          </w:p>
          <w:p w14:paraId="6ACEF958" w14:textId="77777777" w:rsidR="0066792C" w:rsidRPr="00D03667" w:rsidRDefault="0066792C" w:rsidP="00801B20"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140A818" w14:textId="2F1C0C69" w:rsidR="00292ABA" w:rsidRPr="00D03667" w:rsidRDefault="00801B20" w:rsidP="00801B20">
            <w:r w:rsidRPr="00D03667">
              <w:t>N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487D75C3" w14:textId="5903EE96" w:rsidR="00292ABA" w:rsidRPr="00D03667" w:rsidRDefault="00801B20" w:rsidP="00801B20">
            <w:r w:rsidRPr="00D03667">
              <w:t>Europe’s standing in the world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101B99E7" w14:textId="1D201EC1" w:rsidR="00292ABA" w:rsidRPr="00D03667" w:rsidRDefault="00801B20" w:rsidP="00801B20">
            <w:r w:rsidRPr="00D03667">
              <w:t>M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14:paraId="0DEBE127" w14:textId="75E6E96A" w:rsidR="00292ABA" w:rsidRPr="00D03667" w:rsidRDefault="00801B20" w:rsidP="00801B20">
            <w:pPr>
              <w:rPr>
                <w:i/>
              </w:rPr>
            </w:pPr>
            <w:r w:rsidRPr="00D03667">
              <w:rPr>
                <w:i/>
              </w:rPr>
              <w:t xml:space="preserve">Obj. </w:t>
            </w:r>
            <w:r w:rsidRPr="00D03667">
              <w:t xml:space="preserve">6: European dimensions in HE (integrated </w:t>
            </w:r>
            <w:proofErr w:type="spellStart"/>
            <w:r w:rsidRPr="00D03667">
              <w:t>programmes</w:t>
            </w:r>
            <w:proofErr w:type="spellEnd"/>
            <w:r w:rsidRPr="00D03667">
              <w:t xml:space="preserve"> etc.)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D294B6B" w14:textId="1BBF557A" w:rsidR="00292ABA" w:rsidRPr="00D03667" w:rsidRDefault="00801B20" w:rsidP="00801B20">
            <w:r w:rsidRPr="00D03667">
              <w:t>L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43F0ED5" w14:textId="428AA10A" w:rsidR="00292ABA" w:rsidRPr="00D03667" w:rsidRDefault="00801B20" w:rsidP="00801B20">
            <w:r w:rsidRPr="00D03667">
              <w:t>The social dimension of the BP</w:t>
            </w:r>
          </w:p>
        </w:tc>
      </w:tr>
      <w:tr w:rsidR="00801B20" w:rsidRPr="00D03667" w14:paraId="777285D7" w14:textId="77777777" w:rsidTr="00801B2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0EC32654" w14:textId="77777777" w:rsidR="00292ABA" w:rsidRPr="00D03667" w:rsidRDefault="0066792C" w:rsidP="00801B20">
            <w:r w:rsidRPr="00D03667">
              <w:t>M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FA2210E" w14:textId="45D91D43" w:rsidR="0066792C" w:rsidRPr="00D03667" w:rsidRDefault="0066792C" w:rsidP="00801B20">
            <w:r w:rsidRPr="00D03667">
              <w:t xml:space="preserve">The European dimension: joint </w:t>
            </w:r>
            <w:proofErr w:type="spellStart"/>
            <w:r w:rsidRPr="00D03667">
              <w:t>programmes</w:t>
            </w:r>
            <w:proofErr w:type="spellEnd"/>
            <w:r w:rsidRPr="00D03667">
              <w:t xml:space="preserve"> and </w:t>
            </w:r>
            <w:r w:rsidR="00801B20" w:rsidRPr="00D03667">
              <w:t>degrees</w:t>
            </w:r>
            <w:r w:rsidRPr="00D03667">
              <w:t xml:space="preserve"> etc.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9DB0D4C" w14:textId="77777777" w:rsidR="00292ABA" w:rsidRPr="00D03667" w:rsidRDefault="00292ABA" w:rsidP="00801B20"/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2399F627" w14:textId="77777777" w:rsidR="00292ABA" w:rsidRPr="00D03667" w:rsidRDefault="00292ABA" w:rsidP="00801B20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6484EBF7" w14:textId="369576B4" w:rsidR="00292ABA" w:rsidRPr="00D03667" w:rsidRDefault="00801B20" w:rsidP="00801B20">
            <w:r w:rsidRPr="00D03667">
              <w:t>A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14:paraId="5A5D4C9A" w14:textId="378299A1" w:rsidR="00292ABA" w:rsidRPr="00D03667" w:rsidRDefault="00801B20" w:rsidP="00801B20">
            <w:r w:rsidRPr="00D03667">
              <w:t xml:space="preserve">Full respect of </w:t>
            </w:r>
            <w:r w:rsidR="00431C03" w:rsidRPr="00D03667">
              <w:t>diversity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850A309" w14:textId="5B50E60E" w:rsidR="00292ABA" w:rsidRPr="00D03667" w:rsidRDefault="00801B20" w:rsidP="00801B20">
            <w:r w:rsidRPr="00D03667">
              <w:t>E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88B6A1B" w14:textId="5DA0462A" w:rsidR="00292ABA" w:rsidRPr="00D03667" w:rsidRDefault="00801B20" w:rsidP="00801B20">
            <w:r w:rsidRPr="00D03667">
              <w:t xml:space="preserve">Combining academic quality with </w:t>
            </w:r>
            <w:r w:rsidR="00431C03" w:rsidRPr="00D03667">
              <w:t>relevance</w:t>
            </w:r>
            <w:r w:rsidRPr="00D03667">
              <w:t xml:space="preserve"> to lasting employability</w:t>
            </w:r>
          </w:p>
        </w:tc>
      </w:tr>
      <w:tr w:rsidR="00801B20" w:rsidRPr="00D03667" w14:paraId="2ADBA52E" w14:textId="77777777" w:rsidTr="00801B2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F8588DB" w14:textId="77777777" w:rsidR="00292ABA" w:rsidRPr="00D03667" w:rsidRDefault="0066792C" w:rsidP="00801B20">
            <w:r w:rsidRPr="00D03667">
              <w:t>N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0E02E39" w14:textId="77777777" w:rsidR="00292ABA" w:rsidRPr="00D03667" w:rsidRDefault="0066792C" w:rsidP="00801B20">
            <w:r w:rsidRPr="00D03667">
              <w:t>The global dimension: attractiveness, competitiveness, co-operation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35A1380" w14:textId="77777777" w:rsidR="00292ABA" w:rsidRPr="00D03667" w:rsidRDefault="00292ABA" w:rsidP="00801B20"/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61AB0AB0" w14:textId="77777777" w:rsidR="00292ABA" w:rsidRPr="00D03667" w:rsidRDefault="00292ABA" w:rsidP="00801B20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9C5DF12" w14:textId="1CC79398" w:rsidR="00292ABA" w:rsidRPr="00D03667" w:rsidRDefault="00801B20" w:rsidP="00801B20">
            <w:r w:rsidRPr="00D03667">
              <w:t>C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14:paraId="370BAD46" w14:textId="2F75F421" w:rsidR="00292ABA" w:rsidRPr="00D03667" w:rsidRDefault="00801B20" w:rsidP="00801B20">
            <w:r w:rsidRPr="00D03667">
              <w:t>University autonomy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033A75" w14:textId="64035C14" w:rsidR="00292ABA" w:rsidRPr="00D03667" w:rsidRDefault="00801B20" w:rsidP="00801B20">
            <w:r w:rsidRPr="00D03667">
              <w:t>N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010A90C" w14:textId="1A0133C3" w:rsidR="00292ABA" w:rsidRPr="00D03667" w:rsidRDefault="00801B20" w:rsidP="00801B20">
            <w:r w:rsidRPr="00D03667">
              <w:rPr>
                <w:i/>
              </w:rPr>
              <w:t>Obj. 9</w:t>
            </w:r>
            <w:r w:rsidRPr="00D03667">
              <w:t xml:space="preserve">: promoting the </w:t>
            </w:r>
            <w:r w:rsidR="00431C03" w:rsidRPr="00D03667">
              <w:t>attractiveness</w:t>
            </w:r>
            <w:r w:rsidRPr="00D03667">
              <w:t xml:space="preserve"> </w:t>
            </w:r>
          </w:p>
          <w:p w14:paraId="54E68726" w14:textId="72304E63" w:rsidR="00801B20" w:rsidRPr="00D03667" w:rsidRDefault="00801B20" w:rsidP="00801B20">
            <w:r w:rsidRPr="00D03667">
              <w:t>Of the EHEA</w:t>
            </w:r>
          </w:p>
        </w:tc>
      </w:tr>
      <w:tr w:rsidR="00801B20" w:rsidRPr="00D03667" w14:paraId="4977395D" w14:textId="77777777" w:rsidTr="00801B20"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75CB086" w14:textId="4A321D7B" w:rsidR="0066792C" w:rsidRPr="00D03667" w:rsidRDefault="0066792C" w:rsidP="00801B20">
            <w:r w:rsidRPr="00D03667">
              <w:t>O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9ECE437" w14:textId="77777777" w:rsidR="0066792C" w:rsidRPr="00D03667" w:rsidRDefault="0066792C" w:rsidP="00801B20">
            <w:r w:rsidRPr="00D03667">
              <w:t>HEIs continue to fulfill their full range of purposes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BDC29" w14:textId="77777777" w:rsidR="0066792C" w:rsidRPr="00D03667" w:rsidRDefault="0066792C" w:rsidP="00801B20"/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9E3FE" w14:textId="77777777" w:rsidR="0066792C" w:rsidRPr="00D03667" w:rsidRDefault="0066792C" w:rsidP="00801B20"/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C4B9B" w14:textId="77777777" w:rsidR="0066792C" w:rsidRPr="00D03667" w:rsidRDefault="0066792C" w:rsidP="00801B20"/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D6C53" w14:textId="77777777" w:rsidR="0066792C" w:rsidRPr="00D03667" w:rsidRDefault="0066792C" w:rsidP="00801B20"/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17F19" w14:textId="77777777" w:rsidR="0066792C" w:rsidRPr="00D03667" w:rsidRDefault="0066792C" w:rsidP="00801B20"/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05BED7" w14:textId="77777777" w:rsidR="0066792C" w:rsidRPr="00D03667" w:rsidRDefault="0066792C" w:rsidP="00801B20"/>
        </w:tc>
      </w:tr>
    </w:tbl>
    <w:p w14:paraId="0DCDFCE0" w14:textId="77777777" w:rsidR="00D03667" w:rsidRDefault="00D03667" w:rsidP="00141DDA">
      <w:pPr>
        <w:ind w:left="-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DE076FA" w14:textId="40831377" w:rsidR="00292ABA" w:rsidRDefault="00292ABA" w:rsidP="00141DDA">
      <w:pPr>
        <w:ind w:left="-1134"/>
        <w:rPr>
          <w:sz w:val="28"/>
          <w:szCs w:val="28"/>
        </w:rPr>
      </w:pPr>
    </w:p>
    <w:p w14:paraId="7D1266B7" w14:textId="77777777" w:rsidR="002C30BB" w:rsidRDefault="002C30BB" w:rsidP="00141DDA">
      <w:pPr>
        <w:ind w:left="-1134"/>
        <w:rPr>
          <w:sz w:val="28"/>
          <w:szCs w:val="28"/>
        </w:rPr>
      </w:pPr>
    </w:p>
    <w:p w14:paraId="45FB6507" w14:textId="77777777" w:rsidR="002C30BB" w:rsidRDefault="002C30BB" w:rsidP="00141DDA">
      <w:pPr>
        <w:ind w:left="-1134"/>
        <w:rPr>
          <w:sz w:val="28"/>
          <w:szCs w:val="28"/>
        </w:rPr>
      </w:pPr>
    </w:p>
    <w:p w14:paraId="165B0345" w14:textId="77777777" w:rsidR="00801B20" w:rsidRDefault="00801B20">
      <w:pPr>
        <w:rPr>
          <w:sz w:val="28"/>
          <w:szCs w:val="28"/>
        </w:rPr>
      </w:pPr>
    </w:p>
    <w:p w14:paraId="30943102" w14:textId="77777777" w:rsidR="00E35BAB" w:rsidRDefault="00E35BAB">
      <w:pPr>
        <w:rPr>
          <w:sz w:val="28"/>
          <w:szCs w:val="28"/>
        </w:rPr>
      </w:pPr>
    </w:p>
    <w:p w14:paraId="3C9925AA" w14:textId="77777777" w:rsidR="00801B20" w:rsidRDefault="00801B20">
      <w:pPr>
        <w:rPr>
          <w:sz w:val="28"/>
          <w:szCs w:val="28"/>
        </w:rPr>
      </w:pPr>
    </w:p>
    <w:p w14:paraId="5A46BC0E" w14:textId="77777777" w:rsidR="00801B20" w:rsidRDefault="00801B20">
      <w:pPr>
        <w:rPr>
          <w:sz w:val="28"/>
          <w:szCs w:val="28"/>
        </w:rPr>
      </w:pPr>
    </w:p>
    <w:p w14:paraId="66A941FF" w14:textId="77777777" w:rsidR="00801B20" w:rsidRDefault="00801B20">
      <w:pPr>
        <w:rPr>
          <w:sz w:val="28"/>
          <w:szCs w:val="28"/>
        </w:rPr>
      </w:pPr>
    </w:p>
    <w:p w14:paraId="6C2FAC35" w14:textId="77777777" w:rsidR="00141DDA" w:rsidRDefault="00141DDA">
      <w:pPr>
        <w:rPr>
          <w:sz w:val="28"/>
          <w:szCs w:val="28"/>
        </w:rPr>
      </w:pPr>
    </w:p>
    <w:p w14:paraId="3287BE85" w14:textId="77777777" w:rsidR="002C30BB" w:rsidRDefault="002C30BB" w:rsidP="0056604F">
      <w:pPr>
        <w:ind w:left="-1134"/>
        <w:rPr>
          <w:b/>
          <w:sz w:val="36"/>
          <w:szCs w:val="36"/>
        </w:rPr>
      </w:pPr>
    </w:p>
    <w:p w14:paraId="1CA4CF5B" w14:textId="77777777" w:rsidR="002C30BB" w:rsidRDefault="002C30BB" w:rsidP="0056604F">
      <w:pPr>
        <w:ind w:left="-1134"/>
        <w:rPr>
          <w:b/>
          <w:sz w:val="36"/>
          <w:szCs w:val="36"/>
        </w:rPr>
      </w:pPr>
    </w:p>
    <w:p w14:paraId="593B5044" w14:textId="77777777" w:rsidR="00D03667" w:rsidRDefault="00D03667" w:rsidP="00312C91">
      <w:pPr>
        <w:rPr>
          <w:b/>
          <w:sz w:val="36"/>
          <w:szCs w:val="36"/>
        </w:rPr>
      </w:pPr>
      <w:bookmarkStart w:id="0" w:name="_GoBack"/>
      <w:bookmarkEnd w:id="0"/>
    </w:p>
    <w:sectPr w:rsidR="00D03667" w:rsidSect="002C30BB">
      <w:pgSz w:w="16840" w:h="11900" w:orient="landscape"/>
      <w:pgMar w:top="-65" w:right="113" w:bottom="425" w:left="1559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006AD" w14:textId="77777777" w:rsidR="00FD60DF" w:rsidRDefault="00FD60DF" w:rsidP="00FD4D7D">
      <w:r>
        <w:separator/>
      </w:r>
    </w:p>
  </w:endnote>
  <w:endnote w:type="continuationSeparator" w:id="0">
    <w:p w14:paraId="7C2F0A5F" w14:textId="77777777" w:rsidR="00FD60DF" w:rsidRDefault="00FD60DF" w:rsidP="00FD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15EFD" w14:textId="77777777" w:rsidR="00FD60DF" w:rsidRDefault="00FD60DF" w:rsidP="00FD4D7D">
      <w:r>
        <w:separator/>
      </w:r>
    </w:p>
  </w:footnote>
  <w:footnote w:type="continuationSeparator" w:id="0">
    <w:p w14:paraId="3BF4C00B" w14:textId="77777777" w:rsidR="00FD60DF" w:rsidRDefault="00FD60DF" w:rsidP="00FD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F686D"/>
    <w:multiLevelType w:val="hybridMultilevel"/>
    <w:tmpl w:val="CC848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2E3218"/>
    <w:multiLevelType w:val="multilevel"/>
    <w:tmpl w:val="CC848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0B"/>
    <w:rsid w:val="00001B91"/>
    <w:rsid w:val="00063C0B"/>
    <w:rsid w:val="00086A86"/>
    <w:rsid w:val="00141DDA"/>
    <w:rsid w:val="00292ABA"/>
    <w:rsid w:val="002A6BC1"/>
    <w:rsid w:val="002C30BB"/>
    <w:rsid w:val="002C65FE"/>
    <w:rsid w:val="00312C91"/>
    <w:rsid w:val="00431C03"/>
    <w:rsid w:val="00455001"/>
    <w:rsid w:val="004A6FC9"/>
    <w:rsid w:val="0056604F"/>
    <w:rsid w:val="005B4F83"/>
    <w:rsid w:val="005F77FB"/>
    <w:rsid w:val="0060110E"/>
    <w:rsid w:val="0066792C"/>
    <w:rsid w:val="006B481F"/>
    <w:rsid w:val="00774E3B"/>
    <w:rsid w:val="00801B20"/>
    <w:rsid w:val="00921165"/>
    <w:rsid w:val="00963053"/>
    <w:rsid w:val="009A7240"/>
    <w:rsid w:val="009D344D"/>
    <w:rsid w:val="00A17FC0"/>
    <w:rsid w:val="00B01E56"/>
    <w:rsid w:val="00B21C76"/>
    <w:rsid w:val="00BF2BC7"/>
    <w:rsid w:val="00C20CA7"/>
    <w:rsid w:val="00C561DF"/>
    <w:rsid w:val="00CB407E"/>
    <w:rsid w:val="00D03667"/>
    <w:rsid w:val="00D91DE9"/>
    <w:rsid w:val="00E17A38"/>
    <w:rsid w:val="00E35BAB"/>
    <w:rsid w:val="00F00751"/>
    <w:rsid w:val="00F408F1"/>
    <w:rsid w:val="00FB57D6"/>
    <w:rsid w:val="00FD4D7D"/>
    <w:rsid w:val="00FD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A784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30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4D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D7D"/>
  </w:style>
  <w:style w:type="paragraph" w:styleId="Footer">
    <w:name w:val="footer"/>
    <w:basedOn w:val="Normal"/>
    <w:link w:val="FooterChar"/>
    <w:uiPriority w:val="99"/>
    <w:unhideWhenUsed/>
    <w:rsid w:val="00FD4D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D7D"/>
  </w:style>
  <w:style w:type="character" w:customStyle="1" w:styleId="Heading1Char">
    <w:name w:val="Heading 1 Char"/>
    <w:basedOn w:val="DefaultParagraphFont"/>
    <w:link w:val="Heading1"/>
    <w:uiPriority w:val="9"/>
    <w:rsid w:val="002C30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C30BB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0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BB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C30B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C30BB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C30BB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C30B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C30B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C30B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C30B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C30B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C30BB"/>
    <w:pPr>
      <w:ind w:left="19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30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4D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D7D"/>
  </w:style>
  <w:style w:type="paragraph" w:styleId="Footer">
    <w:name w:val="footer"/>
    <w:basedOn w:val="Normal"/>
    <w:link w:val="FooterChar"/>
    <w:uiPriority w:val="99"/>
    <w:unhideWhenUsed/>
    <w:rsid w:val="00FD4D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D7D"/>
  </w:style>
  <w:style w:type="character" w:customStyle="1" w:styleId="Heading1Char">
    <w:name w:val="Heading 1 Char"/>
    <w:basedOn w:val="DefaultParagraphFont"/>
    <w:link w:val="Heading1"/>
    <w:uiPriority w:val="9"/>
    <w:rsid w:val="002C30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C30BB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0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BB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C30B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C30BB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C30BB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C30B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C30B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C30B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C30B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C30B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C30BB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6C2FC8-F938-F14C-A9D4-2D8E08E037C3}"/>
</file>

<file path=customXml/itemProps2.xml><?xml version="1.0" encoding="utf-8"?>
<ds:datastoreItem xmlns:ds="http://schemas.openxmlformats.org/officeDocument/2006/customXml" ds:itemID="{2CBDC1B5-FEF0-453B-B59E-A8FC86EAD4A5}"/>
</file>

<file path=customXml/itemProps3.xml><?xml version="1.0" encoding="utf-8"?>
<ds:datastoreItem xmlns:ds="http://schemas.openxmlformats.org/officeDocument/2006/customXml" ds:itemID="{ACE5AB2E-E21D-4F3A-A88D-5C093F0C9555}"/>
</file>

<file path=customXml/itemProps4.xml><?xml version="1.0" encoding="utf-8"?>
<ds:datastoreItem xmlns:ds="http://schemas.openxmlformats.org/officeDocument/2006/customXml" ds:itemID="{8FD4D842-A099-409A-93D9-C379601586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549</Words>
  <Characters>3132</Characters>
  <Application>Microsoft Macintosh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Bologna 2</dc:creator>
  <cp:keywords/>
  <dc:description/>
  <cp:lastModifiedBy>Bologna 2</cp:lastModifiedBy>
  <cp:revision>24</cp:revision>
  <cp:lastPrinted>2012-10-09T08:51:00Z</cp:lastPrinted>
  <dcterms:created xsi:type="dcterms:W3CDTF">2012-10-09T05:56:00Z</dcterms:created>
  <dcterms:modified xsi:type="dcterms:W3CDTF">2012-11-29T10:46:00Z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